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XLabel"/>
      </w:pPr>
      <w:r>
        <w:t>DOCUMENT</w:t>
      </w:r>
    </w:p>
    <w:p>
      <w:pPr>
        <w:pStyle w:val="Title"/>
      </w:pPr>
      <w:r>
        <w:t>Document title</w:t>
      </w:r>
    </w:p>
    <w:p>
      <w:pPr>
        <w:pStyle w:val="Subtitle"/>
      </w:pPr>
      <w:r>
        <w:t>Subtitle or short description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DATE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VERSION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STATUS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CONFIDENTIALITY</w:t>
            </w:r>
          </w:p>
        </w:tc>
      </w:tr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19.10.2026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1.0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Draft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Confidential</w:t>
            </w:r>
          </w:p>
        </w:tc>
      </w:tr>
    </w:tbl>
    <w:p>
      <w:pPr>
        <w:spacing w:after="40"/>
      </w:pPr>
    </w:p>
    <w:p>
      <w:pPr>
        <w:pStyle w:val="Heading1"/>
      </w:pPr>
      <w:r>
        <w:t>1. Summary</w:t>
      </w:r>
    </w:p>
    <w:p>
      <w:r>
        <w:t>The introduction goes here. In two to four sentences it says what this is about and what the reader should take away.</w:t>
      </w:r>
    </w:p>
    <w:p>
      <w:pPr>
        <w:pStyle w:val="Heading1"/>
      </w:pPr>
      <w:r>
        <w:t>2. Section</w:t>
      </w:r>
    </w:p>
    <w:p>
      <w:pPr>
        <w:pStyle w:val="Heading2"/>
      </w:pPr>
      <w:r>
        <w:t>2.1 Subsection</w:t>
      </w:r>
    </w:p>
    <w:p>
      <w:r>
        <w:t>Body text in Open Sans, 10.5 pt. Headings and accents use the NexonAI blue.</w:t>
      </w:r>
    </w:p>
    <w:p>
      <w:pPr>
        <w:pStyle w:val="ListBullet"/>
      </w:pPr>
      <w:r>
        <w:t>First list item</w:t>
      </w:r>
    </w:p>
    <w:p>
      <w:pPr>
        <w:pStyle w:val="ListBullet"/>
      </w:pPr>
      <w:r>
        <w:t>Second list item</w:t>
      </w:r>
    </w:p>
    <w:p>
      <w:pPr>
        <w:pStyle w:val="ListBullet"/>
      </w:pPr>
      <w:r>
        <w:t>Third list item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Heading2"/>
      </w:pPr>
      <w:r>
        <w:t>2.2 Subsection</w:t>
      </w:r>
    </w:p>
    <w:tbl>
      <w:tblPr>
        <w:tblW w:type="auto" w:w="0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839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4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A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Short description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Open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B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Short description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In progress</w:t>
            </w:r>
          </w:p>
        </w:tc>
      </w:tr>
    </w:tbl>
    <w:p>
      <w:pPr>
        <w:spacing w:after="0"/>
      </w:pPr>
    </w:p>
    <w:p>
      <w:pPr>
        <w:pStyle w:val="NXNote"/>
      </w:pPr>
      <w:r>
        <w:rPr>
          <w:rFonts w:ascii="DejaVu Sans Mono" w:hAnsi="DejaVu Sans Mono" w:eastAsia="DejaVu Sans Mono" w:cs="DejaVu Sans Mono"/>
          <w:b/>
          <w:color w:val="307098"/>
          <w:sz w:val="17"/>
        </w:rPr>
        <w:t xml:space="preserve">Note  </w:t>
      </w:r>
      <w:r>
        <w:t>An important remark, warning or side note in a highlighted box.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814" w:right="1417" w:bottom="1361" w:left="1417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Romania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Page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of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Romania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Page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of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655999" cy="600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6003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0"/>
      <w:pBdr>
        <w:bottom w:val="single" w:sz="6" w:space="6" w:color="D9DFE3"/>
      </w:pBdr>
    </w:pPr>
    <w:r>
      <w:drawing>
        <wp:inline xmlns:a="http://schemas.openxmlformats.org/drawingml/2006/main" xmlns:pic="http://schemas.openxmlformats.org/drawingml/2006/picture">
          <wp:extent cx="936000" cy="339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93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DejaVu Sans Mono" w:hAnsi="DejaVu Sans Mono" w:eastAsia="DejaVu Sans Mono" w:cs="DejaVu Sans Mono"/>
        <w:color w:val="505B63"/>
        <w:sz w:val="16"/>
      </w:rPr>
      <w:tab/>
      <w:t>NexonAI Consulting SRL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Open Sans" w:hAnsi="Open Sans" w:eastAsia="Open Sans" w:cs="Open Sans"/>
      <w:b w:val="0"/>
      <w:i w:val="0"/>
      <w:color w:val="172733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="Open Sans" w:hAnsi="Open Sans" w:eastAsia="Open Sans" w:cs="Open Sans"/>
      <w:b/>
      <w:bCs/>
      <w:i w:val="0"/>
      <w:color w:val="30709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88" w:lineRule="auto"/>
      <w:outlineLvl w:val="1"/>
    </w:pPr>
    <w:rPr>
      <w:rFonts w:ascii="Open Sans" w:hAnsi="Open Sans" w:eastAsia="Open Sans" w:cs="Open Sans"/>
      <w:b/>
      <w:bCs/>
      <w:i w:val="0"/>
      <w:color w:val="1727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Open Sans" w:hAnsi="Open Sans" w:eastAsia="Open Sans" w:cs="Open Sans"/>
      <w:b/>
      <w:bCs/>
      <w:i w:val="0"/>
      <w:color w:val="3070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40"/>
      <w:contextualSpacing/>
    </w:pPr>
    <w:rPr>
      <w:rFonts w:ascii="Open Sans" w:hAnsi="Open Sans" w:eastAsia="Open Sans" w:cs="Open Sans"/>
      <w:b/>
      <w:i w:val="0"/>
      <w:color w:val="1727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12" w:lineRule="auto"/>
    </w:pPr>
    <w:rPr>
      <w:rFonts w:ascii="Open Sans" w:hAnsi="Open Sans" w:eastAsia="Open Sans" w:cs="Open Sans"/>
      <w:b w:val="0"/>
      <w:i w:val="0"/>
      <w:iCs/>
      <w:color w:val="505B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XLabel">
    <w:name w:val="NX Label"/>
    <w:basedOn w:val="Normal"/>
    <w:pPr>
      <w:spacing w:before="0" w:after="120" w:line="264" w:lineRule="auto"/>
    </w:pPr>
    <w:rPr>
      <w:rFonts w:ascii="DejaVu Sans Mono" w:hAnsi="DejaVu Sans Mono" w:eastAsia="DejaVu Sans Mono" w:cs="DejaVu Sans Mono"/>
      <w:b w:val="0"/>
      <w:i w:val="0"/>
      <w:caps/>
      <w:color w:val="307098"/>
      <w:sz w:val="17"/>
    </w:rPr>
  </w:style>
  <w:style w:type="paragraph" w:customStyle="1" w:styleId="NXNote">
    <w:name w:val="NX Note"/>
    <w:basedOn w:val="Normal"/>
    <w:pPr>
      <w:spacing w:before="160" w:after="160" w:line="336" w:lineRule="auto"/>
      <w:ind w:left="227" w:right="113"/>
      <w:shd w:val="clear" w:color="auto" w:fill="E3EEF6"/>
      <w:pBdr>
        <w:left w:val="single" w:sz="24" w:space="8" w:color="307098"/>
      </w:pBdr>
    </w:pPr>
    <w:rPr>
      <w:rFonts w:ascii="Open Sans" w:hAnsi="Open Sans" w:eastAsia="Open Sans" w:cs="Open Sans"/>
      <w:b w:val="0"/>
      <w:i w:val="0"/>
      <w:color w:val="172733"/>
      <w:sz w:val="20"/>
    </w:rPr>
  </w:style>
  <w:style w:type="paragraph" w:customStyle="1" w:styleId="NXSmall">
    <w:name w:val="NX Small"/>
    <w:basedOn w:val="Normal"/>
    <w:pPr>
      <w:spacing w:before="0" w:after="0" w:line="288" w:lineRule="auto"/>
    </w:pPr>
    <w:rPr>
      <w:rFonts w:ascii="Open Sans" w:hAnsi="Open Sans" w:eastAsia="Open Sans" w:cs="Open Sans"/>
      <w:b w:val="0"/>
      <w:i w:val="0"/>
      <w:color w:val="50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NexonAI Consulting SRL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