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XLabel"/>
      </w:pPr>
      <w:r>
        <w:t>DOCUMENT</w:t>
      </w:r>
    </w:p>
    <w:p>
      <w:pPr>
        <w:pStyle w:val="Title"/>
      </w:pPr>
      <w:r>
        <w:t>Titlul documentului</w:t>
      </w:r>
    </w:p>
    <w:p>
      <w:pPr>
        <w:pStyle w:val="Subtitle"/>
      </w:pPr>
      <w:r>
        <w:t>Subtitlu sau scurtă descriere</w:t>
      </w:r>
    </w:p>
    <w:tbl>
      <w:tblPr>
        <w:tblW w:type="auto" w:w="0"/>
        <w:jc w:val="left"/>
        <w:tblLook w:firstColumn="1" w:firstRow="1" w:lastColumn="0" w:lastRow="0" w:noHBand="0" w:noVBand="1" w:val="04A0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DejaVu Sans Mono" w:hAnsi="DejaVu Sans Mono" w:eastAsia="DejaVu Sans Mono" w:cs="DejaVu Sans Mono"/>
                <w:b w:val="0"/>
                <w:color w:val="307098"/>
                <w:sz w:val="15"/>
              </w:rPr>
              <w:t>DATA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DejaVu Sans Mono" w:hAnsi="DejaVu Sans Mono" w:eastAsia="DejaVu Sans Mono" w:cs="DejaVu Sans Mono"/>
                <w:b w:val="0"/>
                <w:color w:val="307098"/>
                <w:sz w:val="15"/>
              </w:rPr>
              <w:t>VERSIUNE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DejaVu Sans Mono" w:hAnsi="DejaVu Sans Mono" w:eastAsia="DejaVu Sans Mono" w:cs="DejaVu Sans Mono"/>
                <w:b w:val="0"/>
                <w:color w:val="307098"/>
                <w:sz w:val="15"/>
              </w:rPr>
              <w:t>STARE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DejaVu Sans Mono" w:hAnsi="DejaVu Sans Mono" w:eastAsia="DejaVu Sans Mono" w:cs="DejaVu Sans Mono"/>
                <w:b w:val="0"/>
                <w:color w:val="307098"/>
                <w:sz w:val="15"/>
              </w:rPr>
              <w:t>CONFIDENȚIALITATE</w:t>
            </w:r>
          </w:p>
        </w:tc>
      </w:tr>
      <w:tr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172733"/>
                <w:sz w:val="20"/>
              </w:rPr>
              <w:t>19.10.2026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172733"/>
                <w:sz w:val="20"/>
              </w:rPr>
              <w:t>1.0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172733"/>
                <w:sz w:val="20"/>
              </w:rPr>
              <w:t>Ciornă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EAF2F8"/>
              <w:left w:val="single" w:sz="4" w:color="EAF2F8"/>
              <w:bottom w:val="single" w:sz="4" w:color="EAF2F8"/>
              <w:right w:val="single" w:sz="4" w:color="EAF2F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172733"/>
                <w:sz w:val="20"/>
              </w:rPr>
              <w:t>Confidențial</w:t>
            </w:r>
          </w:p>
        </w:tc>
      </w:tr>
    </w:tbl>
    <w:p>
      <w:pPr>
        <w:spacing w:after="40"/>
      </w:pPr>
    </w:p>
    <w:p>
      <w:pPr>
        <w:pStyle w:val="Heading1"/>
      </w:pPr>
      <w:r>
        <w:t>1. Rezumat</w:t>
      </w:r>
    </w:p>
    <w:p>
      <w:r>
        <w:t>Aici se află textul introductiv. În două până la patru propoziții spune despre ce este vorba și ce trebuie să rețină cititorul.</w:t>
      </w:r>
    </w:p>
    <w:p>
      <w:pPr>
        <w:pStyle w:val="Heading1"/>
      </w:pPr>
      <w:r>
        <w:t>2. Secțiune</w:t>
      </w:r>
    </w:p>
    <w:p>
      <w:pPr>
        <w:pStyle w:val="Heading2"/>
      </w:pPr>
      <w:r>
        <w:t>2.1 Subsecțiune</w:t>
      </w:r>
    </w:p>
    <w:p>
      <w:r>
        <w:t>Text curent în Open Sans, 10,5 puncte. Titlurile și accentele folosesc albastrul NexonAI.</w:t>
      </w:r>
    </w:p>
    <w:p>
      <w:pPr>
        <w:pStyle w:val="ListBullet"/>
      </w:pPr>
      <w:r>
        <w:t>Primul punct din listă</w:t>
      </w:r>
    </w:p>
    <w:p>
      <w:pPr>
        <w:pStyle w:val="ListBullet"/>
      </w:pPr>
      <w:r>
        <w:t>Al doilea punct din listă</w:t>
      </w:r>
    </w:p>
    <w:p>
      <w:pPr>
        <w:pStyle w:val="ListBullet"/>
      </w:pPr>
      <w:r>
        <w:t>Al treilea punct din listă</w:t>
      </w:r>
    </w:p>
    <w:p>
      <w:pPr>
        <w:pStyle w:val="ListNumber"/>
      </w:pPr>
      <w:r>
        <w:t>Primul pas</w:t>
      </w:r>
    </w:p>
    <w:p>
      <w:pPr>
        <w:pStyle w:val="ListNumber"/>
      </w:pPr>
      <w:r>
        <w:t>Al doilea pas</w:t>
      </w:r>
    </w:p>
    <w:p>
      <w:pPr>
        <w:pStyle w:val="ListNumber"/>
      </w:pPr>
      <w:r>
        <w:t>Al treilea pas</w:t>
      </w:r>
    </w:p>
    <w:p>
      <w:pPr>
        <w:pStyle w:val="Heading2"/>
      </w:pPr>
      <w:r>
        <w:t>2.2 Subsecțiune</w:t>
      </w:r>
    </w:p>
    <w:tbl>
      <w:tblPr>
        <w:tblW w:type="auto" w:w="0"/>
        <w:tblLook w:firstColumn="1" w:firstRow="1" w:lastColumn="0" w:lastRow="0" w:noHBand="0" w:noVBand="1" w:val="04A0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024"/>
        <w:gridCol w:w="3024"/>
        <w:gridCol w:w="3024"/>
      </w:tblGrid>
      <w:tr>
        <w:tc>
          <w:tcPr>
            <w:tcW w:type="dxa" w:w="1247"/>
            <w:shd w:val="clear" w:color="auto" w:fill="307098"/>
            <w:tcBorders>
              <w:top w:val="single" w:sz="4" w:color="307098"/>
              <w:left w:val="single" w:sz="4" w:color="307098"/>
              <w:bottom w:val="single" w:sz="4" w:color="307098"/>
              <w:right w:val="single" w:sz="4" w:color="30709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FFFFFF"/>
                <w:sz w:val="19"/>
              </w:rPr>
              <w:t>Punct</w:t>
            </w:r>
          </w:p>
        </w:tc>
        <w:tc>
          <w:tcPr>
            <w:tcW w:type="dxa" w:w="5839"/>
            <w:shd w:val="clear" w:color="auto" w:fill="307098"/>
            <w:tcBorders>
              <w:top w:val="single" w:sz="4" w:color="307098"/>
              <w:left w:val="single" w:sz="4" w:color="307098"/>
              <w:bottom w:val="single" w:sz="4" w:color="307098"/>
              <w:right w:val="single" w:sz="4" w:color="30709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FFFFFF"/>
                <w:sz w:val="19"/>
              </w:rPr>
              <w:t>Descriere</w:t>
            </w:r>
          </w:p>
        </w:tc>
        <w:tc>
          <w:tcPr>
            <w:tcW w:type="dxa" w:w="1984"/>
            <w:shd w:val="clear" w:color="auto" w:fill="307098"/>
            <w:tcBorders>
              <w:top w:val="single" w:sz="4" w:color="307098"/>
              <w:left w:val="single" w:sz="4" w:color="307098"/>
              <w:bottom w:val="single" w:sz="4" w:color="307098"/>
              <w:right w:val="single" w:sz="4" w:color="307098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/>
                <w:color w:val="FFFFFF"/>
                <w:sz w:val="19"/>
              </w:rPr>
              <w:t>Stare</w:t>
            </w:r>
          </w:p>
        </w:tc>
      </w:tr>
      <w:tr>
        <w:tc>
          <w:tcPr>
            <w:tcW w:type="dxa" w:w="1247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A</w:t>
            </w:r>
          </w:p>
        </w:tc>
        <w:tc>
          <w:tcPr>
            <w:tcW w:type="dxa" w:w="5839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Scurtă descriere</w:t>
            </w:r>
          </w:p>
        </w:tc>
        <w:tc>
          <w:tcPr>
            <w:tcW w:type="dxa" w:w="1984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Deschis</w:t>
            </w:r>
          </w:p>
        </w:tc>
      </w:tr>
      <w:tr>
        <w:tc>
          <w:tcPr>
            <w:tcW w:type="dxa" w:w="1247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B</w:t>
            </w:r>
          </w:p>
        </w:tc>
        <w:tc>
          <w:tcPr>
            <w:tcW w:type="dxa" w:w="5839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Scurtă descriere</w:t>
            </w:r>
          </w:p>
        </w:tc>
        <w:tc>
          <w:tcPr>
            <w:tcW w:type="dxa" w:w="1984"/>
            <w:tcBorders>
              <w:top w:val="single" w:sz="4" w:color="D9DFE3"/>
              <w:left w:val="single" w:sz="4" w:color="D9DFE3"/>
              <w:bottom w:val="single" w:sz="4" w:color="D9DFE3"/>
              <w:right w:val="single" w:sz="4" w:color="D9DFE3"/>
            </w:tcBorders>
          </w:tcPr>
          <w:p>
            <w:pPr>
              <w:spacing w:after="40" w:before="40"/>
            </w:pPr>
            <w:r>
              <w:rPr>
                <w:rFonts w:ascii="Open Sans" w:hAnsi="Open Sans" w:eastAsia="Open Sans" w:cs="Open Sans"/>
                <w:b w:val="0"/>
                <w:color w:val="172733"/>
                <w:sz w:val="19"/>
              </w:rPr>
              <w:t>În lucru</w:t>
            </w:r>
          </w:p>
        </w:tc>
      </w:tr>
    </w:tbl>
    <w:p>
      <w:pPr>
        <w:spacing w:after="0"/>
      </w:pPr>
    </w:p>
    <w:p>
      <w:pPr>
        <w:pStyle w:val="NXNote"/>
      </w:pPr>
      <w:r>
        <w:rPr>
          <w:rFonts w:ascii="DejaVu Sans Mono" w:hAnsi="DejaVu Sans Mono" w:eastAsia="DejaVu Sans Mono" w:cs="DejaVu Sans Mono"/>
          <w:b/>
          <w:color w:val="307098"/>
          <w:sz w:val="17"/>
        </w:rPr>
        <w:t xml:space="preserve">Notă  </w:t>
      </w:r>
      <w:r>
        <w:t>O observație importantă, un avertisment sau o mențiune într-o casetă evidențiată.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814" w:right="1417" w:bottom="1361" w:left="1417" w:header="73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pBdr>
        <w:top w:val="single" w:sz="6" w:space="6" w:color="D9DFE3"/>
      </w:pBdr>
    </w:pPr>
    <w:r>
      <w:rPr>
        <w:rFonts w:ascii="Open Sans" w:hAnsi="Open Sans" w:eastAsia="Open Sans" w:cs="Open Sans"/>
        <w:color w:val="505B63"/>
        <w:sz w:val="15"/>
      </w:rPr>
      <w:t>NexonAI Consulting SRL · Alba Iulia, România · gabriel@nexonai.ro · +40 773 829 646</w:t>
    </w:r>
    <w:r>
      <w:rPr>
        <w:rFonts w:ascii="DejaVu Sans Mono" w:hAnsi="DejaVu Sans Mono" w:eastAsia="DejaVu Sans Mono" w:cs="DejaVu Sans Mono"/>
        <w:color w:val="505B63"/>
        <w:sz w:val="16"/>
      </w:rPr>
      <w:tab/>
      <w:t xml:space="preserve">Pagina </w:t>
    </w:r>
    <w:r>
      <w:rPr>
        <w:rFonts w:ascii="DejaVu Sans Mono" w:hAnsi="DejaVu Sans Mono" w:eastAsia="DejaVu Sans Mono" w:cs="DejaVu Sans Mono"/>
        <w:color w:val="505B6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DejaVu Sans Mono" w:hAnsi="DejaVu Sans Mono" w:eastAsia="DejaVu Sans Mono" w:cs="DejaVu Sans Mono"/>
        <w:color w:val="505B63"/>
        <w:sz w:val="16"/>
      </w:rPr>
      <w:t xml:space="preserve"> din </w:t>
    </w:r>
    <w:r>
      <w:rPr>
        <w:rFonts w:ascii="DejaVu Sans Mono" w:hAnsi="DejaVu Sans Mono" w:eastAsia="DejaVu Sans Mono" w:cs="DejaVu Sans Mono"/>
        <w:color w:val="505B6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pBdr>
        <w:top w:val="single" w:sz="6" w:space="6" w:color="D9DFE3"/>
      </w:pBdr>
    </w:pPr>
    <w:r>
      <w:rPr>
        <w:rFonts w:ascii="Open Sans" w:hAnsi="Open Sans" w:eastAsia="Open Sans" w:cs="Open Sans"/>
        <w:color w:val="505B63"/>
        <w:sz w:val="15"/>
      </w:rPr>
      <w:t>NexonAI Consulting SRL · Alba Iulia, România · gabriel@nexonai.ro · +40 773 829 646</w:t>
    </w:r>
    <w:r>
      <w:rPr>
        <w:rFonts w:ascii="DejaVu Sans Mono" w:hAnsi="DejaVu Sans Mono" w:eastAsia="DejaVu Sans Mono" w:cs="DejaVu Sans Mono"/>
        <w:color w:val="505B63"/>
        <w:sz w:val="16"/>
      </w:rPr>
      <w:tab/>
      <w:t xml:space="preserve">Pagina </w:t>
    </w:r>
    <w:r>
      <w:rPr>
        <w:rFonts w:ascii="DejaVu Sans Mono" w:hAnsi="DejaVu Sans Mono" w:eastAsia="DejaVu Sans Mono" w:cs="DejaVu Sans Mono"/>
        <w:color w:val="505B6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DejaVu Sans Mono" w:hAnsi="DejaVu Sans Mono" w:eastAsia="DejaVu Sans Mono" w:cs="DejaVu Sans Mono"/>
        <w:color w:val="505B63"/>
        <w:sz w:val="16"/>
      </w:rPr>
      <w:t xml:space="preserve"> din </w:t>
    </w:r>
    <w:r>
      <w:rPr>
        <w:rFonts w:ascii="DejaVu Sans Mono" w:hAnsi="DejaVu Sans Mono" w:eastAsia="DejaVu Sans Mono" w:cs="DejaVu Sans Mono"/>
        <w:color w:val="505B6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655999" cy="6003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xonai-logo-800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5999" cy="6003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spacing w:after="0"/>
      <w:pBdr>
        <w:bottom w:val="single" w:sz="6" w:space="6" w:color="D9DFE3"/>
      </w:pBdr>
    </w:pPr>
    <w:r>
      <w:drawing>
        <wp:inline xmlns:a="http://schemas.openxmlformats.org/drawingml/2006/main" xmlns:pic="http://schemas.openxmlformats.org/drawingml/2006/picture">
          <wp:extent cx="936000" cy="3393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xonai-logo-800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000" cy="3393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DejaVu Sans Mono" w:hAnsi="DejaVu Sans Mono" w:eastAsia="DejaVu Sans Mono" w:cs="DejaVu Sans Mono"/>
        <w:color w:val="505B63"/>
        <w:sz w:val="16"/>
      </w:rPr>
      <w:tab/>
      <w:t>NexonAI Consulting SRL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24" w:lineRule="auto"/>
    </w:pPr>
    <w:rPr>
      <w:rFonts w:ascii="Open Sans" w:hAnsi="Open Sans" w:eastAsia="Open Sans" w:cs="Open Sans"/>
      <w:b w:val="0"/>
      <w:i w:val="0"/>
      <w:color w:val="172733"/>
      <w:sz w:val="21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="Open Sans" w:hAnsi="Open Sans" w:eastAsia="Open Sans" w:cs="Open Sans"/>
      <w:b/>
      <w:bCs/>
      <w:i w:val="0"/>
      <w:color w:val="30709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 w:line="288" w:lineRule="auto"/>
      <w:outlineLvl w:val="1"/>
    </w:pPr>
    <w:rPr>
      <w:rFonts w:ascii="Open Sans" w:hAnsi="Open Sans" w:eastAsia="Open Sans" w:cs="Open Sans"/>
      <w:b/>
      <w:bCs/>
      <w:i w:val="0"/>
      <w:color w:val="1727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Open Sans" w:hAnsi="Open Sans" w:eastAsia="Open Sans" w:cs="Open Sans"/>
      <w:b/>
      <w:bCs/>
      <w:i w:val="0"/>
      <w:color w:val="30709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 w:before="40"/>
      <w:contextualSpacing/>
    </w:pPr>
    <w:rPr>
      <w:rFonts w:ascii="Open Sans" w:hAnsi="Open Sans" w:eastAsia="Open Sans" w:cs="Open Sans"/>
      <w:b/>
      <w:i w:val="0"/>
      <w:color w:val="1727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312" w:lineRule="auto"/>
    </w:pPr>
    <w:rPr>
      <w:rFonts w:ascii="Open Sans" w:hAnsi="Open Sans" w:eastAsia="Open Sans" w:cs="Open Sans"/>
      <w:b w:val="0"/>
      <w:i w:val="0"/>
      <w:iCs/>
      <w:color w:val="505B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24" w:lineRule="auto"/>
      <w:contextualSpacing/>
    </w:pPr>
    <w:rPr>
      <w:rFonts w:ascii="Open Sans" w:hAnsi="Open Sans" w:eastAsia="Open Sans" w:cs="Open Sans"/>
      <w:b w:val="0"/>
      <w:i w:val="0"/>
      <w:color w:val="1727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24" w:lineRule="auto"/>
      <w:contextualSpacing/>
    </w:pPr>
    <w:rPr>
      <w:rFonts w:ascii="Open Sans" w:hAnsi="Open Sans" w:eastAsia="Open Sans" w:cs="Open Sans"/>
      <w:b w:val="0"/>
      <w:i w:val="0"/>
      <w:color w:val="1727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XLabel">
    <w:name w:val="NX Label"/>
    <w:basedOn w:val="Normal"/>
    <w:pPr>
      <w:spacing w:before="0" w:after="120" w:line="264" w:lineRule="auto"/>
    </w:pPr>
    <w:rPr>
      <w:rFonts w:ascii="DejaVu Sans Mono" w:hAnsi="DejaVu Sans Mono" w:eastAsia="DejaVu Sans Mono" w:cs="DejaVu Sans Mono"/>
      <w:b w:val="0"/>
      <w:i w:val="0"/>
      <w:caps/>
      <w:color w:val="307098"/>
      <w:sz w:val="17"/>
    </w:rPr>
  </w:style>
  <w:style w:type="paragraph" w:customStyle="1" w:styleId="NXNote">
    <w:name w:val="NX Note"/>
    <w:basedOn w:val="Normal"/>
    <w:pPr>
      <w:spacing w:before="160" w:after="160" w:line="336" w:lineRule="auto"/>
      <w:ind w:left="227" w:right="113"/>
      <w:shd w:val="clear" w:color="auto" w:fill="E3EEF6"/>
      <w:pBdr>
        <w:left w:val="single" w:sz="24" w:space="8" w:color="307098"/>
      </w:pBdr>
    </w:pPr>
    <w:rPr>
      <w:rFonts w:ascii="Open Sans" w:hAnsi="Open Sans" w:eastAsia="Open Sans" w:cs="Open Sans"/>
      <w:b w:val="0"/>
      <w:i w:val="0"/>
      <w:color w:val="172733"/>
      <w:sz w:val="20"/>
    </w:rPr>
  </w:style>
  <w:style w:type="paragraph" w:customStyle="1" w:styleId="NXSmall">
    <w:name w:val="NX Small"/>
    <w:basedOn w:val="Normal"/>
    <w:pPr>
      <w:spacing w:before="0" w:after="0" w:line="288" w:lineRule="auto"/>
    </w:pPr>
    <w:rPr>
      <w:rFonts w:ascii="Open Sans" w:hAnsi="Open Sans" w:eastAsia="Open Sans" w:cs="Open Sans"/>
      <w:b w:val="0"/>
      <w:i w:val="0"/>
      <w:color w:val="505B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Titlul documentului</dc:title>
  <dc:subject/>
  <dc:creator>NexonAI Consulting SRL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