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olor w:val="0F2A3A"/>
        </w:rPr>
        <w:t>Request for quotation: independent security audit of the unpruuf system</w:t>
      </w:r>
    </w:p>
    <w:p>
      <w:r>
        <w:t>NexonAI Consulting SRL, Alba Iulia, Romania · 28 October 2026 · Contact: Gabriel Hategan, unpruuf@nexonai.ro</w:t>
      </w:r>
    </w:p>
    <w:p>
      <w:r>
        <w:t>We are asking a small number of security firms for a quotation for an independent security audit of unpruuf, a communication system without user identities in which every server is run by the customer. This document says what we want audited, what we will deliver to you, what we expect from you and how we will choose. It contains no protocol details: the source code, the claims list, the list of limits we already know and our own pre-audit findings go to the firm we shortlist, under a confidentiality agreement that we will send on request.</w:t>
      </w:r>
    </w:p>
    <w:tbl>
      <w:tblPr>
        <w:tblW w:type="auto" w:w="0"/>
        <w:tblLook w:firstColumn="1" w:firstRow="1" w:lastColumn="0" w:lastRow="0" w:noHBand="0" w:noVBand="1" w:val="04A0"/>
        <w:tblBorders>
          <w:top w:val="single" w:sz="6" w:space="0" w:color="D9E4EA"/>
          <w:bottom w:val="single" w:sz="6" w:space="0" w:color="D9E4EA"/>
          <w:insideH w:val="single" w:sz="6" w:space="0" w:color="D9E4EA"/>
        </w:tblBorders>
      </w:tblPr>
      <w:tblGrid>
        <w:gridCol w:w="4873"/>
        <w:gridCol w:w="4873"/>
      </w:tblGrid>
      <w:tr>
        <w:tc>
          <w:tcPr>
            <w:tcW w:type="dxa" w:w="4873"/>
            <w:shd w:val="clear" w:color="auto" w:fill="F2F6F9"/>
          </w:tcPr>
          <w:p>
            <w:r>
              <w:rPr>
                <w:rFonts w:ascii="Open Sans" w:hAnsi="Open Sans"/>
                <w:b/>
                <w:sz w:val="17"/>
              </w:rPr>
            </w:r>
          </w:p>
        </w:tc>
        <w:tc>
          <w:tcPr>
            <w:tcW w:type="dxa" w:w="4873"/>
            <w:shd w:val="clear" w:color="auto" w:fill="F2F6F9"/>
          </w:tcPr>
          <w:p>
            <w:r>
              <w:rPr>
                <w:rFonts w:ascii="Open Sans" w:hAnsi="Open Sans"/>
                <w:b/>
                <w:sz w:val="17"/>
              </w:rPr>
            </w:r>
          </w:p>
        </w:tc>
      </w:tr>
      <w:tr>
        <w:tc>
          <w:tcPr>
            <w:tcW w:type="dxa" w:w="4873"/>
          </w:tcPr>
          <w:p>
            <w:r>
              <w:rPr>
                <w:rFonts w:ascii="DejaVu Sans Mono" w:hAnsi="DejaVu Sans Mono"/>
                <w:color w:val="307098"/>
                <w:sz w:val="17"/>
              </w:rPr>
            </w:r>
            <w:r>
              <w:rPr>
                <w:rFonts w:ascii="DejaVu Sans Mono" w:hAnsi="DejaVu Sans Mono"/>
                <w:b/>
                <w:color w:val="307098"/>
                <w:sz w:val="17"/>
              </w:rPr>
              <w:t>What</w:t>
            </w:r>
          </w:p>
        </w:tc>
        <w:tc>
          <w:tcPr>
            <w:tcW w:type="dxa" w:w="4873"/>
          </w:tcPr>
          <w:p>
            <w:r>
              <w:rPr>
                <w:rFonts w:ascii="Open Sans" w:hAnsi="Open Sans"/>
                <w:sz w:val="17"/>
              </w:rPr>
            </w:r>
            <w:r>
              <w:rPr>
                <w:rFonts w:ascii="Open Sans" w:hAnsi="Open Sans"/>
                <w:sz w:val="17"/>
              </w:rPr>
              <w:t>Independent security audit, round one: node server and Business app, with options</w:t>
            </w:r>
          </w:p>
        </w:tc>
      </w:tr>
      <w:tr>
        <w:tc>
          <w:tcPr>
            <w:tcW w:type="dxa" w:w="4873"/>
          </w:tcPr>
          <w:p>
            <w:r>
              <w:rPr>
                <w:rFonts w:ascii="Open Sans" w:hAnsi="Open Sans"/>
                <w:sz w:val="17"/>
              </w:rPr>
            </w:r>
            <w:r>
              <w:rPr>
                <w:rFonts w:ascii="Open Sans" w:hAnsi="Open Sans"/>
                <w:b/>
                <w:sz w:val="17"/>
              </w:rPr>
              <w:t>Who is asking</w:t>
            </w:r>
          </w:p>
        </w:tc>
        <w:tc>
          <w:tcPr>
            <w:tcW w:type="dxa" w:w="4873"/>
          </w:tcPr>
          <w:p>
            <w:r>
              <w:rPr>
                <w:rFonts w:ascii="Open Sans" w:hAnsi="Open Sans"/>
                <w:sz w:val="17"/>
              </w:rPr>
            </w:r>
            <w:r>
              <w:rPr>
                <w:rFonts w:ascii="Open Sans" w:hAnsi="Open Sans"/>
                <w:sz w:val="17"/>
              </w:rPr>
              <w:t>NexonAI Consulting SRL, a small company; the technical contact is the developer</w:t>
            </w:r>
          </w:p>
        </w:tc>
      </w:tr>
      <w:tr>
        <w:tc>
          <w:tcPr>
            <w:tcW w:type="dxa" w:w="4873"/>
          </w:tcPr>
          <w:p>
            <w:r>
              <w:rPr>
                <w:rFonts w:ascii="Open Sans" w:hAnsi="Open Sans"/>
                <w:sz w:val="17"/>
              </w:rPr>
            </w:r>
            <w:r>
              <w:rPr>
                <w:rFonts w:ascii="Open Sans" w:hAnsi="Open Sans"/>
                <w:b/>
                <w:sz w:val="17"/>
              </w:rPr>
              <w:t>Status of the system</w:t>
            </w:r>
          </w:p>
        </w:tc>
        <w:tc>
          <w:tcPr>
            <w:tcW w:type="dxa" w:w="4873"/>
          </w:tcPr>
          <w:p>
            <w:r>
              <w:rPr>
                <w:rFonts w:ascii="Open Sans" w:hAnsi="Open Sans"/>
                <w:sz w:val="17"/>
              </w:rPr>
            </w:r>
            <w:r>
              <w:rPr>
                <w:rFonts w:ascii="Open Sans" w:hAnsi="Open Sans"/>
                <w:sz w:val="17"/>
              </w:rPr>
              <w:t xml:space="preserve">Pilot phase; </w:t>
            </w:r>
            <w:r>
              <w:rPr>
                <w:rFonts w:ascii="Open Sans" w:hAnsi="Open Sans"/>
                <w:b/>
                <w:sz w:val="17"/>
              </w:rPr>
              <w:t>not yet independently audited</w:t>
            </w:r>
            <w:r>
              <w:rPr>
                <w:rFonts w:ascii="Open Sans" w:hAnsi="Open Sans"/>
                <w:sz w:val="17"/>
              </w:rPr>
              <w:t>; no customer in production</w:t>
            </w:r>
          </w:p>
        </w:tc>
      </w:tr>
      <w:tr>
        <w:tc>
          <w:tcPr>
            <w:tcW w:type="dxa" w:w="4873"/>
          </w:tcPr>
          <w:p>
            <w:r>
              <w:rPr>
                <w:rFonts w:ascii="Open Sans" w:hAnsi="Open Sans"/>
                <w:sz w:val="17"/>
              </w:rPr>
            </w:r>
            <w:r>
              <w:rPr>
                <w:rFonts w:ascii="Open Sans" w:hAnsi="Open Sans"/>
                <w:b/>
                <w:sz w:val="17"/>
              </w:rPr>
              <w:t>What we need from you</w:t>
            </w:r>
          </w:p>
        </w:tc>
        <w:tc>
          <w:tcPr>
            <w:tcW w:type="dxa" w:w="4873"/>
          </w:tcPr>
          <w:p>
            <w:r>
              <w:rPr>
                <w:rFonts w:ascii="Open Sans" w:hAnsi="Open Sans"/>
                <w:sz w:val="17"/>
              </w:rPr>
            </w:r>
            <w:r>
              <w:rPr>
                <w:rFonts w:ascii="Open Sans" w:hAnsi="Open Sans"/>
                <w:sz w:val="17"/>
              </w:rPr>
              <w:t>A quotation (price per scope item, person-days per person), your team, references, and your answers to section 7</w:t>
            </w:r>
          </w:p>
        </w:tc>
      </w:tr>
      <w:tr>
        <w:tc>
          <w:tcPr>
            <w:tcW w:type="dxa" w:w="4873"/>
          </w:tcPr>
          <w:p>
            <w:r>
              <w:rPr>
                <w:rFonts w:ascii="DejaVu Sans Mono" w:hAnsi="DejaVu Sans Mono"/>
                <w:color w:val="307098"/>
                <w:sz w:val="17"/>
              </w:rPr>
            </w:r>
            <w:r>
              <w:rPr>
                <w:rFonts w:ascii="DejaVu Sans Mono" w:hAnsi="DejaVu Sans Mono"/>
                <w:b/>
                <w:color w:val="307098"/>
                <w:sz w:val="17"/>
              </w:rPr>
              <w:t>Deadline</w:t>
            </w:r>
          </w:p>
        </w:tc>
        <w:tc>
          <w:tcPr>
            <w:tcW w:type="dxa" w:w="4873"/>
          </w:tcPr>
          <w:p>
            <w:r>
              <w:rPr>
                <w:rFonts w:ascii="Open Sans" w:hAnsi="Open Sans"/>
                <w:sz w:val="17"/>
              </w:rPr>
            </w:r>
            <w:r>
              <w:rPr>
                <w:rFonts w:ascii="Open Sans" w:hAnsi="Open Sans"/>
                <w:sz w:val="17"/>
              </w:rPr>
              <w:t>14 calendar days after you receive this document; questions are welcome until day 7</w:t>
            </w:r>
          </w:p>
        </w:tc>
      </w:tr>
      <w:tr>
        <w:tc>
          <w:tcPr>
            <w:tcW w:type="dxa" w:w="4873"/>
          </w:tcPr>
          <w:p>
            <w:r>
              <w:rPr>
                <w:rFonts w:ascii="DejaVu Sans Mono" w:hAnsi="DejaVu Sans Mono"/>
                <w:color w:val="307098"/>
                <w:sz w:val="17"/>
              </w:rPr>
            </w:r>
            <w:r>
              <w:rPr>
                <w:rFonts w:ascii="DejaVu Sans Mono" w:hAnsi="DejaVu Sans Mono"/>
                <w:b/>
                <w:color w:val="307098"/>
                <w:sz w:val="17"/>
              </w:rPr>
              <w:t>Language</w:t>
            </w:r>
          </w:p>
        </w:tc>
        <w:tc>
          <w:tcPr>
            <w:tcW w:type="dxa" w:w="4873"/>
          </w:tcPr>
          <w:p>
            <w:r>
              <w:rPr>
                <w:rFonts w:ascii="Open Sans" w:hAnsi="Open Sans"/>
                <w:sz w:val="17"/>
              </w:rPr>
            </w:r>
            <w:r>
              <w:rPr>
                <w:rFonts w:ascii="Open Sans" w:hAnsi="Open Sans"/>
                <w:sz w:val="17"/>
              </w:rPr>
              <w:t>English or Romanian for the quotation; report in English and Romanian (see section 5)</w:t>
            </w:r>
          </w:p>
        </w:tc>
      </w:tr>
      <w:tr>
        <w:tc>
          <w:tcPr>
            <w:tcW w:type="dxa" w:w="4873"/>
          </w:tcPr>
          <w:p>
            <w:r>
              <w:rPr>
                <w:rFonts w:ascii="DejaVu Sans Mono" w:hAnsi="DejaVu Sans Mono"/>
                <w:color w:val="307098"/>
                <w:sz w:val="17"/>
              </w:rPr>
            </w:r>
            <w:r>
              <w:rPr>
                <w:rFonts w:ascii="DejaVu Sans Mono" w:hAnsi="DejaVu Sans Mono"/>
                <w:b/>
                <w:color w:val="307098"/>
                <w:sz w:val="17"/>
              </w:rPr>
              <w:t>Start</w:t>
            </w:r>
          </w:p>
        </w:tc>
        <w:tc>
          <w:tcPr>
            <w:tcW w:type="dxa" w:w="4873"/>
          </w:tcPr>
          <w:p>
            <w:r>
              <w:rPr>
                <w:rFonts w:ascii="Open Sans" w:hAnsi="Open Sans"/>
                <w:sz w:val="17"/>
              </w:rPr>
            </w:r>
            <w:r>
              <w:rPr>
                <w:rFonts w:ascii="Open Sans" w:hAnsi="Open Sans"/>
                <w:sz w:val="17"/>
              </w:rPr>
              <w:t>When we hand over a frozen version, which we expect in December 2026; the date will be fixed in the contract</w:t>
            </w:r>
          </w:p>
        </w:tc>
      </w:tr>
    </w:tbl>
    <w:p/>
    <w:p>
      <w:pPr>
        <w:pStyle w:val="Heading2"/>
        <w:pBdr>
          <w:bottom w:val="single" w:sz="6" w:space="4" w:color="D9E4EA"/>
        </w:pBdr>
      </w:pPr>
      <w:r>
        <w:rPr>
          <w:rFonts w:ascii="Open Sans" w:hAnsi="Open Sans"/>
          <w:color w:val="0F2A3A"/>
        </w:rPr>
        <w:t>1. About unpruuf</w:t>
      </w:r>
    </w:p>
    <w:p>
      <w:r>
        <w:t xml:space="preserve">unpruuf lets companies and public bodies communicate and receive reports without user accounts, phone numbers or e-mail addresses. The customer runs its own server (a machine, a rented server, a container or a Windows program); NexonAI runs no servers and has no access to customer systems. Messages travel end-to-end encrypted over Tor onion services and wait on the customer's server for at most 24 hours. Three products share the system: </w:t>
      </w:r>
      <w:r>
        <w:rPr>
          <w:b/>
        </w:rPr>
        <w:t>unpruuf Business</w:t>
      </w:r>
      <w:r>
        <w:t xml:space="preserve"> (internal communication, the main product), </w:t>
      </w:r>
      <w:r>
        <w:rPr>
          <w:b/>
        </w:rPr>
        <w:t>unpruuf Compliance</w:t>
      </w:r>
      <w:r>
        <w:t xml:space="preserve"> (a whistleblowing channel) and </w:t>
      </w:r>
      <w:r>
        <w:rPr>
          <w:b/>
        </w:rPr>
        <w:t>unpruuf Press</w:t>
      </w:r>
      <w:r>
        <w:t xml:space="preserve"> (a channel for newsrooms, a pilot). Apps are Android today; an iOS version is being built and is not part of this request.</w:t>
      </w:r>
    </w:p>
    <w:p>
      <w:r>
        <w:t>Delivered parts: Android apps (editions standard, pro, group, client, whistleblower, press); the node server (Node.js and TypeScript, SQLite, built-in Tor, Docker image, Windows and Linux scripts, a single-file Windows program); an administration tool for the customer (unpruuf Control); the officer application and dashboard of the whistleblowing channel; a browser fallback for reporters; a licence tool and a signed release process.</w:t>
      </w:r>
    </w:p>
    <w:p>
      <w:pPr>
        <w:pStyle w:val="Heading2"/>
        <w:pBdr>
          <w:bottom w:val="single" w:sz="6" w:space="4" w:color="D9E4EA"/>
        </w:pBdr>
      </w:pPr>
      <w:r>
        <w:rPr>
          <w:rFonts w:ascii="Open Sans" w:hAnsi="Open Sans"/>
          <w:color w:val="0F2A3A"/>
        </w:rPr>
        <w:t>2. What we want to be able to say afterwards</w:t>
      </w:r>
    </w:p>
    <w:p>
      <w:pPr>
        <w:pStyle w:val="ListNumber"/>
      </w:pPr>
      <w:r>
        <w:t>The node server can do exactly what its documentation says, and nothing more, under every documented setting.</w:t>
      </w:r>
    </w:p>
    <w:p>
      <w:pPr>
        <w:pStyle w:val="ListNumber"/>
      </w:pPr>
      <w:r>
        <w:t>The system holds no identities: not on the server, not in the pairing material, not in a stored packet.</w:t>
      </w:r>
    </w:p>
    <w:p>
      <w:pPr>
        <w:pStyle w:val="ListNumber"/>
      </w:pPr>
      <w:r>
        <w:t>The encryption and the key handling are sound, as designed.</w:t>
      </w:r>
    </w:p>
    <w:p>
      <w:pPr>
        <w:pStyle w:val="ListNumber"/>
      </w:pPr>
      <w:r>
        <w:t>The software a customer runs is the software that was reviewed; your report names the fingerprint of what you reviewed.</w:t>
      </w:r>
    </w:p>
    <w:p>
      <w:r>
        <w:t>We do not expect a certificate. We expect a report with findings and evidence, a statement of what was and was not covered, and the right to quote an agreed summary.</w:t>
      </w:r>
    </w:p>
    <w:p>
      <w:pPr>
        <w:pStyle w:val="Heading2"/>
        <w:pBdr>
          <w:bottom w:val="single" w:sz="6" w:space="4" w:color="D9E4EA"/>
        </w:pBdr>
      </w:pPr>
      <w:r>
        <w:rPr>
          <w:rFonts w:ascii="Open Sans" w:hAnsi="Open Sans"/>
          <w:color w:val="0F2A3A"/>
        </w:rPr>
        <w:t>3. Scope</w:t>
      </w:r>
    </w:p>
    <w:p>
      <w:pPr>
        <w:pStyle w:val="Heading3"/>
      </w:pPr>
      <w:r>
        <w:rPr>
          <w:rFonts w:ascii="Open Sans" w:hAnsi="Open Sans"/>
          <w:color w:val="0F2A3A"/>
        </w:rPr>
        <w:t>Base scope (Lot A): please quote this as one price</w:t>
      </w:r>
    </w:p>
    <w:p>
      <w:pPr>
        <w:pStyle w:val="ListBullet"/>
      </w:pPr>
      <w:r>
        <w:rPr>
          <w:b/>
        </w:rPr>
        <w:t>Node server</w:t>
      </w:r>
      <w:r>
        <w:t xml:space="preserve"> (source review and black-box testing): all routes, middleware and settings; storage and deletion of expired data; the owner-only write rule and the guest grants; request limits; the sealed-key scheme and the unlock route; the local setup page; the Tor integration (onion service, proof-of-work defence, bridges); the company feed; the Docker image, the Windows and Linux scripts and the single-file Windows program; what the process does on the network (a day of traffic capture on a server you control).</w:t>
      </w:r>
    </w:p>
    <w:p>
      <w:pPr>
        <w:pStyle w:val="ListBullet"/>
      </w:pPr>
      <w:r>
        <w:rPr>
          <w:b/>
        </w:rPr>
        <w:t>Android Business app</w:t>
      </w:r>
      <w:r>
        <w:t xml:space="preserve"> (editions pro, then group; the other editions share the code): static review and dynamic analysis on at least two phones, one of them rooted; storage and memory after use; traffic only through Tor; manifest, permissions, exported components; PIN, lock-out, panic wipe, screenshot protection, clipboard, notifications; inputs from outside (scanned codes, imported lists, images, files); behaviour when the phone is lost.</w:t>
      </w:r>
    </w:p>
    <w:p>
      <w:pPr>
        <w:pStyle w:val="ListBullet"/>
      </w:pPr>
      <w:r>
        <w:rPr>
          <w:b/>
        </w:rPr>
        <w:t>Cryptography and protocol:</w:t>
      </w:r>
      <w:r>
        <w:t xml:space="preserve"> review by a named specialist of the end-to-end encryption design (a ratchet-based design with an outer transport layer), session start, key derivation and storage, the use of random numbers, and the way packets are addressed for retrieval. Formal modelling is welcome if it adds value; say what you would model.</w:t>
      </w:r>
    </w:p>
    <w:p>
      <w:pPr>
        <w:pStyle w:val="ListBullet"/>
      </w:pPr>
      <w:r>
        <w:rPr>
          <w:b/>
        </w:rPr>
        <w:t>Network and metadata:</w:t>
      </w:r>
      <w:r>
        <w:t xml:space="preserve"> what a passive network observer and a server operator can learn from packet sizes, timing and addresses; assessment of the limits we declare.</w:t>
      </w:r>
    </w:p>
    <w:p>
      <w:pPr>
        <w:pStyle w:val="ListBullet"/>
      </w:pPr>
      <w:r>
        <w:rPr>
          <w:b/>
        </w:rPr>
        <w:t>Build and release chain:</w:t>
      </w:r>
      <w:r>
        <w:t xml:space="preserve"> dependency inventory (SBOM) and known vulnerabilities; the signed release manifest and the customer's way of verifying a release; how Tor is obtained and checked; reproducibility of the delivered build.</w:t>
      </w:r>
    </w:p>
    <w:p>
      <w:pPr>
        <w:pStyle w:val="Heading3"/>
      </w:pPr>
      <w:r>
        <w:rPr>
          <w:rFonts w:ascii="Open Sans" w:hAnsi="Open Sans"/>
          <w:color w:val="0F2A3A"/>
        </w:rPr>
        <w:t>Options: please quote each separately</w:t>
      </w:r>
    </w:p>
    <w:tbl>
      <w:tblPr>
        <w:tblW w:type="auto" w:w="0"/>
        <w:tblLook w:firstColumn="1" w:firstRow="1" w:lastColumn="0" w:lastRow="0" w:noHBand="0" w:noVBand="1" w:val="04A0"/>
        <w:tblBorders>
          <w:top w:val="single" w:sz="6" w:space="0" w:color="D9E4EA"/>
          <w:bottom w:val="single" w:sz="6" w:space="0" w:color="D9E4EA"/>
          <w:insideH w:val="single" w:sz="6" w:space="0" w:color="D9E4EA"/>
        </w:tblBorders>
      </w:tblPr>
      <w:tblGrid>
        <w:gridCol w:w="4873"/>
        <w:gridCol w:w="4873"/>
      </w:tblGrid>
      <w:tr>
        <w:tc>
          <w:tcPr>
            <w:tcW w:type="dxa" w:w="4873"/>
            <w:shd w:val="clear" w:color="auto" w:fill="F2F6F9"/>
          </w:tcPr>
          <w:p>
            <w:r>
              <w:rPr>
                <w:rFonts w:ascii="Open Sans" w:hAnsi="Open Sans"/>
                <w:b/>
                <w:sz w:val="17"/>
              </w:rPr>
            </w:r>
            <w:r>
              <w:rPr>
                <w:rFonts w:ascii="Open Sans" w:hAnsi="Open Sans"/>
                <w:b/>
                <w:sz w:val="17"/>
              </w:rPr>
              <w:t>Lot</w:t>
            </w:r>
          </w:p>
        </w:tc>
        <w:tc>
          <w:tcPr>
            <w:tcW w:type="dxa" w:w="4873"/>
            <w:shd w:val="clear" w:color="auto" w:fill="F2F6F9"/>
          </w:tcPr>
          <w:p>
            <w:r>
              <w:rPr>
                <w:rFonts w:ascii="Open Sans" w:hAnsi="Open Sans"/>
                <w:b/>
                <w:sz w:val="17"/>
              </w:rPr>
            </w:r>
            <w:r>
              <w:rPr>
                <w:rFonts w:ascii="Open Sans" w:hAnsi="Open Sans"/>
                <w:b/>
                <w:sz w:val="17"/>
              </w:rPr>
              <w:t>Content</w:t>
            </w:r>
          </w:p>
        </w:tc>
      </w:tr>
      <w:tr>
        <w:tc>
          <w:tcPr>
            <w:tcW w:type="dxa" w:w="4873"/>
          </w:tcPr>
          <w:p>
            <w:r>
              <w:rPr>
                <w:rFonts w:ascii="DejaVu Sans Mono" w:hAnsi="DejaVu Sans Mono"/>
                <w:color w:val="307098"/>
                <w:sz w:val="17"/>
              </w:rPr>
            </w:r>
            <w:r>
              <w:rPr>
                <w:rFonts w:ascii="DejaVu Sans Mono" w:hAnsi="DejaVu Sans Mono"/>
                <w:color w:val="307098"/>
                <w:sz w:val="17"/>
              </w:rPr>
              <w:t>B</w:t>
            </w:r>
          </w:p>
        </w:tc>
        <w:tc>
          <w:tcPr>
            <w:tcW w:type="dxa" w:w="4873"/>
          </w:tcPr>
          <w:p>
            <w:r>
              <w:rPr>
                <w:rFonts w:ascii="Open Sans" w:hAnsi="Open Sans"/>
                <w:sz w:val="17"/>
              </w:rPr>
            </w:r>
            <w:r>
              <w:rPr>
                <w:rFonts w:ascii="Open Sans" w:hAnsi="Open Sans"/>
                <w:sz w:val="17"/>
              </w:rPr>
              <w:t>unpruuf Compliance: the whistleblower edition of the app, the officer application and dashboard (local encrypted case database, password handling, access to the local dashboard), the browser fallback for reporters</w:t>
            </w:r>
          </w:p>
        </w:tc>
      </w:tr>
      <w:tr>
        <w:tc>
          <w:tcPr>
            <w:tcW w:type="dxa" w:w="4873"/>
          </w:tcPr>
          <w:p>
            <w:r>
              <w:rPr>
                <w:rFonts w:ascii="DejaVu Sans Mono" w:hAnsi="DejaVu Sans Mono"/>
                <w:color w:val="307098"/>
                <w:sz w:val="17"/>
              </w:rPr>
            </w:r>
            <w:r>
              <w:rPr>
                <w:rFonts w:ascii="DejaVu Sans Mono" w:hAnsi="DejaVu Sans Mono"/>
                <w:color w:val="307098"/>
                <w:sz w:val="17"/>
              </w:rPr>
              <w:t>C</w:t>
            </w:r>
          </w:p>
        </w:tc>
        <w:tc>
          <w:tcPr>
            <w:tcW w:type="dxa" w:w="4873"/>
          </w:tcPr>
          <w:p>
            <w:r>
              <w:rPr>
                <w:rFonts w:ascii="Open Sans" w:hAnsi="Open Sans"/>
                <w:sz w:val="17"/>
              </w:rPr>
            </w:r>
            <w:r>
              <w:rPr>
                <w:rFonts w:ascii="Open Sans" w:hAnsi="Open Sans"/>
                <w:sz w:val="17"/>
              </w:rPr>
              <w:t>unpruuf Control: the vault, SSH handling, the local web page, the remote installation it performs</w:t>
            </w:r>
          </w:p>
        </w:tc>
      </w:tr>
      <w:tr>
        <w:tc>
          <w:tcPr>
            <w:tcW w:type="dxa" w:w="4873"/>
          </w:tcPr>
          <w:p>
            <w:r>
              <w:rPr>
                <w:rFonts w:ascii="DejaVu Sans Mono" w:hAnsi="DejaVu Sans Mono"/>
                <w:color w:val="307098"/>
                <w:sz w:val="17"/>
              </w:rPr>
            </w:r>
            <w:r>
              <w:rPr>
                <w:rFonts w:ascii="DejaVu Sans Mono" w:hAnsi="DejaVu Sans Mono"/>
                <w:color w:val="307098"/>
                <w:sz w:val="17"/>
              </w:rPr>
              <w:t>D</w:t>
            </w:r>
          </w:p>
        </w:tc>
        <w:tc>
          <w:tcPr>
            <w:tcW w:type="dxa" w:w="4873"/>
          </w:tcPr>
          <w:p>
            <w:r>
              <w:rPr>
                <w:rFonts w:ascii="Open Sans" w:hAnsi="Open Sans"/>
                <w:sz w:val="17"/>
              </w:rPr>
            </w:r>
            <w:r>
              <w:rPr>
                <w:rFonts w:ascii="Open Sans" w:hAnsi="Open Sans"/>
                <w:sz w:val="17"/>
              </w:rPr>
              <w:t>The free guest edition (client) and the guest grants on the server</w:t>
            </w:r>
          </w:p>
        </w:tc>
      </w:tr>
      <w:tr>
        <w:tc>
          <w:tcPr>
            <w:tcW w:type="dxa" w:w="4873"/>
          </w:tcPr>
          <w:p>
            <w:r>
              <w:rPr>
                <w:rFonts w:ascii="DejaVu Sans Mono" w:hAnsi="DejaVu Sans Mono"/>
                <w:color w:val="307098"/>
                <w:sz w:val="17"/>
              </w:rPr>
            </w:r>
            <w:r>
              <w:rPr>
                <w:rFonts w:ascii="DejaVu Sans Mono" w:hAnsi="DejaVu Sans Mono"/>
                <w:color w:val="307098"/>
                <w:sz w:val="17"/>
              </w:rPr>
              <w:t>E</w:t>
            </w:r>
          </w:p>
        </w:tc>
        <w:tc>
          <w:tcPr>
            <w:tcW w:type="dxa" w:w="4873"/>
          </w:tcPr>
          <w:p>
            <w:r>
              <w:rPr>
                <w:rFonts w:ascii="Open Sans" w:hAnsi="Open Sans"/>
                <w:sz w:val="17"/>
              </w:rPr>
            </w:r>
            <w:r>
              <w:rPr>
                <w:rFonts w:ascii="Open Sans" w:hAnsi="Open Sans"/>
                <w:sz w:val="17"/>
              </w:rPr>
              <w:t>unpruuf Press (pilot): the per-research codes</w:t>
            </w:r>
          </w:p>
        </w:tc>
      </w:tr>
      <w:tr>
        <w:tc>
          <w:tcPr>
            <w:tcW w:type="dxa" w:w="4873"/>
          </w:tcPr>
          <w:p>
            <w:r>
              <w:rPr>
                <w:rFonts w:ascii="DejaVu Sans Mono" w:hAnsi="DejaVu Sans Mono"/>
                <w:color w:val="307098"/>
                <w:sz w:val="17"/>
              </w:rPr>
            </w:r>
            <w:r>
              <w:rPr>
                <w:rFonts w:ascii="DejaVu Sans Mono" w:hAnsi="DejaVu Sans Mono"/>
                <w:color w:val="307098"/>
                <w:sz w:val="17"/>
              </w:rPr>
              <w:t>F</w:t>
            </w:r>
          </w:p>
        </w:tc>
        <w:tc>
          <w:tcPr>
            <w:tcW w:type="dxa" w:w="4873"/>
          </w:tcPr>
          <w:p>
            <w:r>
              <w:rPr>
                <w:rFonts w:ascii="Open Sans" w:hAnsi="Open Sans"/>
                <w:sz w:val="17"/>
              </w:rPr>
            </w:r>
            <w:r>
              <w:rPr>
                <w:rFonts w:ascii="Open Sans" w:hAnsi="Open Sans"/>
                <w:sz w:val="17"/>
              </w:rPr>
              <w:t>The Android node (relay-android)</w:t>
            </w:r>
          </w:p>
        </w:tc>
      </w:tr>
    </w:tbl>
    <w:p/>
    <w:p>
      <w:pPr>
        <w:pStyle w:val="Heading3"/>
      </w:pPr>
      <w:r>
        <w:rPr>
          <w:rFonts w:ascii="Open Sans" w:hAnsi="Open Sans"/>
          <w:color w:val="0F2A3A"/>
        </w:rPr>
        <w:t>Not in scope</w:t>
      </w:r>
    </w:p>
    <w:p>
      <w:r>
        <w:t>iOS; the older consumer relay; Tor itself and the operating systems; the customer's hosting provider; a compromised phone; a global passive observer (we state this as a limit); legal assessment (data protection law and Directive (EU) 2019/1937 are for a lawyer).</w:t>
      </w:r>
    </w:p>
    <w:p>
      <w:pPr>
        <w:pStyle w:val="Heading2"/>
        <w:pBdr>
          <w:bottom w:val="single" w:sz="6" w:space="4" w:color="D9E4EA"/>
        </w:pBdr>
      </w:pPr>
      <w:r>
        <w:rPr>
          <w:rFonts w:ascii="Open Sans" w:hAnsi="Open Sans"/>
          <w:color w:val="0F2A3A"/>
        </w:rPr>
        <w:t>4. Claims to be tested</w:t>
      </w:r>
    </w:p>
    <w:p>
      <w:r>
        <w:t>We will give the shortlisted firm a numbered list of claims (about thirty), each with its assumptions and the evidence we already have. By category: the server stores no sender address, no user agent and no identity; stored data is unreadable and removed after its lifetime of at most 24 hours; only the owner (and holders of a valid guest grant) can write; the server makes no outbound connection except the one-time download of Tor and no telemetry; the program a customer runs is the released one; the encryption design is sound; all traffic of the apps goes through Tor except one documented same-network shortcut; messages are not written to the phone's storage; the app holds no analytics, advertising or Google libraries; the protections of a lost phone work as described. The format of a stored packet may still change before the freeze (see section 9); your opinion is on the frozen version.</w:t>
      </w:r>
    </w:p>
    <w:p>
      <w:r>
        <w:t xml:space="preserve">For each claim we expect one of three opinions with reasons: </w:t>
      </w:r>
      <w:r>
        <w:rPr>
          <w:b/>
        </w:rPr>
        <w:t>confirmed, confirmed with reservations, not confirmed</w:t>
      </w:r>
      <w:r>
        <w:t xml:space="preserve">, and where you did not test it, </w:t>
      </w:r>
      <w:r>
        <w:rPr>
          <w:b/>
        </w:rPr>
        <w:t>not tested</w:t>
      </w:r>
      <w:r>
        <w:t>.</w:t>
      </w:r>
    </w:p>
    <w:p>
      <w:pPr>
        <w:pStyle w:val="Heading2"/>
        <w:pBdr>
          <w:bottom w:val="single" w:sz="6" w:space="4" w:color="D9E4EA"/>
        </w:pBdr>
      </w:pPr>
      <w:r>
        <w:rPr>
          <w:rFonts w:ascii="Open Sans" w:hAnsi="Open Sans"/>
          <w:color w:val="0F2A3A"/>
        </w:rPr>
        <w:t>5. What we expect you to deliver</w:t>
      </w:r>
    </w:p>
    <w:p>
      <w:pPr>
        <w:pStyle w:val="ListNumber"/>
      </w:pPr>
      <w:r>
        <w:t>A written report with all findings: title, severity on a named scale, description, steps to reproduce, impact, recommendation. Severity is yours; we may correct facts, never severities.</w:t>
      </w:r>
    </w:p>
    <w:p>
      <w:pPr>
        <w:pStyle w:val="ListNumber"/>
      </w:pPr>
      <w:r>
        <w:t xml:space="preserve">A </w:t>
      </w:r>
      <w:r>
        <w:rPr>
          <w:b/>
        </w:rPr>
        <w:t>coverage statement</w:t>
      </w:r>
      <w:r>
        <w:t>: for each claim, your opinion; what you did not verify and why (scope, time, access).</w:t>
      </w:r>
    </w:p>
    <w:p>
      <w:pPr>
        <w:pStyle w:val="ListNumber"/>
      </w:pPr>
      <w:r>
        <w:t xml:space="preserve">The </w:t>
      </w:r>
      <w:r>
        <w:rPr>
          <w:b/>
        </w:rPr>
        <w:t>fingerprint</w:t>
      </w:r>
      <w:r>
        <w:t xml:space="preserve"> (commit identifier and file hashes) of the version you reviewed, the agreed threat model, and the tools and versions you used.</w:t>
      </w:r>
    </w:p>
    <w:p>
      <w:pPr>
        <w:pStyle w:val="ListNumber"/>
      </w:pPr>
      <w:r>
        <w:t xml:space="preserve">A </w:t>
      </w:r>
      <w:r>
        <w:rPr>
          <w:b/>
        </w:rPr>
        <w:t>draft report</w:t>
      </w:r>
      <w:r>
        <w:t xml:space="preserve"> at least five working days before the final report, for factual correction by us.</w:t>
      </w:r>
    </w:p>
    <w:p>
      <w:pPr>
        <w:pStyle w:val="ListNumber"/>
      </w:pPr>
      <w:r>
        <w:rPr>
          <w:b/>
        </w:rPr>
        <w:t>Interim notice</w:t>
      </w:r>
      <w:r>
        <w:t xml:space="preserve"> of any Critical or High finding within one working day of confirming it.</w:t>
      </w:r>
    </w:p>
    <w:p>
      <w:pPr>
        <w:pStyle w:val="ListNumber"/>
      </w:pPr>
      <w:r>
        <w:t xml:space="preserve">A </w:t>
      </w:r>
      <w:r>
        <w:rPr>
          <w:b/>
        </w:rPr>
        <w:t>retest</w:t>
      </w:r>
      <w:r>
        <w:t xml:space="preserve"> in the price, covering all Critical and High findings and the Medium findings we choose to fix, on a corrected version, within ten working days of receiving it, at the latest 60 days after the final report.</w:t>
      </w:r>
    </w:p>
    <w:p>
      <w:pPr>
        <w:pStyle w:val="ListNumber"/>
      </w:pPr>
      <w:r>
        <w:t xml:space="preserve">An </w:t>
      </w:r>
      <w:r>
        <w:rPr>
          <w:b/>
        </w:rPr>
        <w:t>executive summary</w:t>
      </w:r>
      <w:r>
        <w:t xml:space="preserve"> of one page without jargon, and a </w:t>
      </w:r>
      <w:r>
        <w:rPr>
          <w:b/>
        </w:rPr>
        <w:t>short public summary written by you</w:t>
      </w:r>
      <w:r>
        <w:t>, which we may show to customers. We ask for the right to quote the public summary and the coverage statement word for word, with an agreed wording, and we will not call the system "certified" or use the word "audited" without version and scope.</w:t>
      </w:r>
    </w:p>
    <w:p>
      <w:pPr>
        <w:pStyle w:val="ListNumber"/>
      </w:pPr>
      <w:r>
        <w:t xml:space="preserve">Reports in </w:t>
      </w:r>
      <w:r>
        <w:rPr>
          <w:b/>
        </w:rPr>
        <w:t>English and Romanian</w:t>
      </w:r>
      <w:r>
        <w:t xml:space="preserve"> (price the second language separately if it is extra), as a signed PDF and in an editable format.</w:t>
      </w:r>
    </w:p>
    <w:p>
      <w:pPr>
        <w:pStyle w:val="Heading2"/>
        <w:pBdr>
          <w:bottom w:val="single" w:sz="6" w:space="4" w:color="D9E4EA"/>
        </w:pBdr>
      </w:pPr>
      <w:r>
        <w:rPr>
          <w:rFonts w:ascii="Open Sans" w:hAnsi="Open Sans"/>
          <w:color w:val="0F2A3A"/>
        </w:rPr>
        <w:t>6. What we hand over and what you bring</w:t>
      </w:r>
    </w:p>
    <w:p>
      <w:r>
        <w:t>We hand over, after the confidentiality agreement: the source code and its history at a frozen tag, the claims list, the limits we declare, our own pre-audit findings and evidence scripts, the documentation, and the delivered builds, including test builds that run on rooted phones for your analysis (the release app refuses to run on rooted devices). A named technical contact answers questions within two working days.</w:t>
      </w:r>
    </w:p>
    <w:p>
      <w:r>
        <w:t>You bring: your own test phones (at least one rooted) and a server you control for the traffic capture; your own tools. Active tests run only on the test instances we provide or you set up, never on a customer's infrastructure.</w:t>
      </w:r>
    </w:p>
    <w:p>
      <w:r>
        <w:t>Confidentiality: source code and findings stay confidential until fixed; the protocol is under a patent evaluation, so the agreement will contain a clause for it and we ask for encrypted storage and written confirmation of deletion at the end.</w:t>
      </w:r>
    </w:p>
    <w:p>
      <w:pPr>
        <w:pStyle w:val="Heading2"/>
        <w:pBdr>
          <w:bottom w:val="single" w:sz="6" w:space="4" w:color="D9E4EA"/>
        </w:pBdr>
      </w:pPr>
      <w:r>
        <w:rPr>
          <w:rFonts w:ascii="Open Sans" w:hAnsi="Open Sans"/>
          <w:color w:val="0F2A3A"/>
        </w:rPr>
        <w:t>7. What we ask you to tell us (please answer each point)</w:t>
      </w:r>
    </w:p>
    <w:p>
      <w:r>
        <w:rPr>
          <w:b/>
        </w:rPr>
        <w:t>The firm and the team</w:t>
      </w:r>
    </w:p>
    <w:p>
      <w:pPr>
        <w:pStyle w:val="ListNumber"/>
      </w:pPr>
      <w:r>
        <w:t>Legal entity, registration number, address, years of operation. If you quote as a group, which firm is the contractor and which carries which part.</w:t>
      </w:r>
    </w:p>
    <w:p>
      <w:pPr>
        <w:pStyle w:val="ListNumber"/>
      </w:pPr>
      <w:r>
        <w:t>The names, roles, qualifications and certificates of every person who would work on this, and their share of the days. Please add short CVs.</w:t>
      </w:r>
    </w:p>
    <w:p>
      <w:pPr>
        <w:pStyle w:val="ListNumber"/>
      </w:pPr>
      <w:r>
        <w:t>Who performs the cryptography review, and which comparable reviews (messengers, end-to-end protocols, anonymity systems) has this person done? If you subcontract it, name the subcontractor.</w:t>
      </w:r>
    </w:p>
    <w:p>
      <w:pPr>
        <w:pStyle w:val="ListNumber"/>
      </w:pPr>
      <w:r>
        <w:t>Experience with Android reverse engineering and dynamic analysis, with Tor onion services or comparable anonymity networks, and with Node.js servers.</w:t>
      </w:r>
    </w:p>
    <w:p>
      <w:pPr>
        <w:pStyle w:val="ListNumber"/>
      </w:pPr>
      <w:r>
        <w:t xml:space="preserve">Two references from comparable engagements, and an anonymised or public </w:t>
      </w:r>
      <w:r>
        <w:rPr>
          <w:b/>
        </w:rPr>
        <w:t>sample report</w:t>
      </w:r>
      <w:r>
        <w:t>.</w:t>
      </w:r>
    </w:p>
    <w:p>
      <w:pPr>
        <w:pStyle w:val="ListNumber"/>
      </w:pPr>
      <w:r>
        <w:t>Your professional liability insurance (cover amount) and your quality or security certifications.</w:t>
      </w:r>
    </w:p>
    <w:p>
      <w:r>
        <w:rPr>
          <w:b/>
        </w:rPr>
        <w:t>Attestation and independence</w:t>
      </w:r>
    </w:p>
    <w:p>
      <w:pPr>
        <w:pStyle w:val="ListNumber"/>
      </w:pPr>
      <w:r>
        <w:t>Are you attested as a cybersecurity auditor by the Romanian National Cybersecurity Directorate (DNSC)? Which legal entity or person holds the attestation, of which type, with which number and period, and what exactly does it cover (audits of an organisation's networks and information systems, or also source-code and penetration testing of software products)? Please add a copy. We value the attestation because Romanian public bodies and NIS2 entities ask for it, but it does not replace the references in points 3 to 5. We will never describe the result as confirmed or approved by the DNSC.</w:t>
      </w:r>
    </w:p>
    <w:p>
      <w:pPr>
        <w:pStyle w:val="ListNumber"/>
      </w:pPr>
      <w:r>
        <w:t>A written declaration of independence that also names any relation of the firm and the experts to NexonAI, to its team and to institutions that are or may become its customers (public bodies, universities and companies in Alba Iulia, for example), including teaching or employment.</w:t>
      </w:r>
    </w:p>
    <w:p>
      <w:r>
        <w:rPr>
          <w:b/>
        </w:rPr>
        <w:t>Method and plan</w:t>
      </w:r>
    </w:p>
    <w:p>
      <w:pPr>
        <w:pStyle w:val="ListNumber"/>
      </w:pPr>
      <w:r>
        <w:t>Your approach to each item of the base scope in no more than two pages; the standards you use (for example OWASP MASVS and ASVS); what you would formally model, if anything.</w:t>
      </w:r>
    </w:p>
    <w:p>
      <w:pPr>
        <w:pStyle w:val="ListNumber"/>
      </w:pPr>
      <w:r>
        <w:t xml:space="preserve">Your plan in weeks, </w:t>
      </w:r>
      <w:r>
        <w:rPr>
          <w:b/>
        </w:rPr>
        <w:t>person-days per person and per step</w:t>
      </w:r>
      <w:r>
        <w:t>, and your availability for the period from December 2026 to February 2027. Say whether the work is full time or part time for each person.</w:t>
      </w:r>
    </w:p>
    <w:p>
      <w:pPr>
        <w:pStyle w:val="ListNumber"/>
      </w:pPr>
      <w:r>
        <w:t>What you need from us that is not in section 6.</w:t>
      </w:r>
    </w:p>
    <w:p>
      <w:pPr>
        <w:pStyle w:val="Heading2"/>
        <w:pBdr>
          <w:bottom w:val="single" w:sz="6" w:space="4" w:color="D9E4EA"/>
        </w:pBdr>
      </w:pPr>
      <w:r>
        <w:rPr>
          <w:rFonts w:ascii="Open Sans" w:hAnsi="Open Sans"/>
          <w:color w:val="0F2A3A"/>
        </w:rPr>
        <w:t>8. How to quote</w:t>
      </w:r>
    </w:p>
    <w:p>
      <w:pPr>
        <w:pStyle w:val="ListBullet"/>
      </w:pPr>
      <w:r>
        <w:t xml:space="preserve">One </w:t>
      </w:r>
      <w:r>
        <w:rPr>
          <w:b/>
        </w:rPr>
        <w:t>price for the base scope (Lot A)</w:t>
      </w:r>
      <w:r>
        <w:t xml:space="preserve"> and one price for each of Lots B to F, each as a fixed price or a capped time-and-materials price, in euro without VAT, with person-days and day rate per person.</w:t>
      </w:r>
    </w:p>
    <w:p>
      <w:pPr>
        <w:pStyle w:val="ListBullet"/>
      </w:pPr>
      <w:r>
        <w:t>The price of the retest as described, a price per additional round, the price of the second report language and of the public summary, travel if any, payment terms, and the validity of the quotation (please at least 60 days).</w:t>
      </w:r>
    </w:p>
    <w:p>
      <w:pPr>
        <w:pStyle w:val="ListBullet"/>
      </w:pPr>
      <w:r>
        <w:t>Anything you exclude or assume.</w:t>
      </w:r>
    </w:p>
    <w:p>
      <w:pPr>
        <w:pStyle w:val="Heading2"/>
        <w:pBdr>
          <w:bottom w:val="single" w:sz="6" w:space="4" w:color="D9E4EA"/>
        </w:pBdr>
      </w:pPr>
      <w:r>
        <w:rPr>
          <w:rFonts w:ascii="Open Sans" w:hAnsi="Open Sans"/>
          <w:color w:val="0F2A3A"/>
        </w:rPr>
        <w:t>9. Timeline and selection</w:t>
      </w:r>
    </w:p>
    <w:tbl>
      <w:tblPr>
        <w:tblW w:type="auto" w:w="0"/>
        <w:tblLook w:firstColumn="1" w:firstRow="1" w:lastColumn="0" w:lastRow="0" w:noHBand="0" w:noVBand="1" w:val="04A0"/>
        <w:tblBorders>
          <w:top w:val="single" w:sz="6" w:space="0" w:color="D9E4EA"/>
          <w:bottom w:val="single" w:sz="6" w:space="0" w:color="D9E4EA"/>
          <w:insideH w:val="single" w:sz="6" w:space="0" w:color="D9E4EA"/>
        </w:tblBorders>
      </w:tblPr>
      <w:tblGrid>
        <w:gridCol w:w="4873"/>
        <w:gridCol w:w="4873"/>
      </w:tblGrid>
      <w:tr>
        <w:tc>
          <w:tcPr>
            <w:tcW w:type="dxa" w:w="4873"/>
            <w:shd w:val="clear" w:color="auto" w:fill="F2F6F9"/>
          </w:tcPr>
          <w:p>
            <w:r>
              <w:rPr>
                <w:rFonts w:ascii="Open Sans" w:hAnsi="Open Sans"/>
                <w:b/>
                <w:sz w:val="17"/>
              </w:rPr>
            </w:r>
            <w:r>
              <w:rPr>
                <w:rFonts w:ascii="Open Sans" w:hAnsi="Open Sans"/>
                <w:b/>
                <w:sz w:val="17"/>
              </w:rPr>
              <w:t>Step</w:t>
            </w:r>
          </w:p>
        </w:tc>
        <w:tc>
          <w:tcPr>
            <w:tcW w:type="dxa" w:w="4873"/>
            <w:shd w:val="clear" w:color="auto" w:fill="F2F6F9"/>
          </w:tcPr>
          <w:p>
            <w:r>
              <w:rPr>
                <w:rFonts w:ascii="Open Sans" w:hAnsi="Open Sans"/>
                <w:b/>
                <w:sz w:val="17"/>
              </w:rPr>
            </w:r>
            <w:r>
              <w:rPr>
                <w:rFonts w:ascii="Open Sans" w:hAnsi="Open Sans"/>
                <w:b/>
                <w:sz w:val="17"/>
              </w:rPr>
              <w:t>When</w:t>
            </w:r>
          </w:p>
        </w:tc>
      </w:tr>
      <w:tr>
        <w:tc>
          <w:tcPr>
            <w:tcW w:type="dxa" w:w="4873"/>
          </w:tcPr>
          <w:p>
            <w:r>
              <w:rPr>
                <w:rFonts w:ascii="Open Sans" w:hAnsi="Open Sans"/>
                <w:sz w:val="17"/>
              </w:rPr>
            </w:r>
            <w:r>
              <w:rPr>
                <w:rFonts w:ascii="Open Sans" w:hAnsi="Open Sans"/>
                <w:sz w:val="17"/>
              </w:rPr>
              <w:t>Questions to us</w:t>
            </w:r>
          </w:p>
        </w:tc>
        <w:tc>
          <w:tcPr>
            <w:tcW w:type="dxa" w:w="4873"/>
          </w:tcPr>
          <w:p>
            <w:r>
              <w:rPr>
                <w:rFonts w:ascii="Open Sans" w:hAnsi="Open Sans"/>
                <w:sz w:val="17"/>
              </w:rPr>
            </w:r>
            <w:r>
              <w:rPr>
                <w:rFonts w:ascii="Open Sans" w:hAnsi="Open Sans"/>
                <w:sz w:val="17"/>
              </w:rPr>
              <w:t>until day 7 after you receive this document</w:t>
            </w:r>
          </w:p>
        </w:tc>
      </w:tr>
      <w:tr>
        <w:tc>
          <w:tcPr>
            <w:tcW w:type="dxa" w:w="4873"/>
          </w:tcPr>
          <w:p>
            <w:r>
              <w:rPr>
                <w:rFonts w:ascii="DejaVu Sans Mono" w:hAnsi="DejaVu Sans Mono"/>
                <w:color w:val="307098"/>
                <w:sz w:val="17"/>
              </w:rPr>
            </w:r>
            <w:r>
              <w:rPr>
                <w:rFonts w:ascii="DejaVu Sans Mono" w:hAnsi="DejaVu Sans Mono"/>
                <w:color w:val="307098"/>
                <w:sz w:val="17"/>
              </w:rPr>
              <w:t>Quotations due</w:t>
            </w:r>
          </w:p>
        </w:tc>
        <w:tc>
          <w:tcPr>
            <w:tcW w:type="dxa" w:w="4873"/>
          </w:tcPr>
          <w:p>
            <w:r>
              <w:rPr>
                <w:rFonts w:ascii="Open Sans" w:hAnsi="Open Sans"/>
                <w:sz w:val="17"/>
              </w:rPr>
            </w:r>
            <w:r>
              <w:rPr>
                <w:rFonts w:ascii="Open Sans" w:hAnsi="Open Sans"/>
                <w:sz w:val="17"/>
              </w:rPr>
              <w:t>day 14</w:t>
            </w:r>
          </w:p>
        </w:tc>
      </w:tr>
      <w:tr>
        <w:tc>
          <w:tcPr>
            <w:tcW w:type="dxa" w:w="4873"/>
          </w:tcPr>
          <w:p>
            <w:r>
              <w:rPr>
                <w:rFonts w:ascii="Open Sans" w:hAnsi="Open Sans"/>
                <w:sz w:val="17"/>
              </w:rPr>
            </w:r>
            <w:r>
              <w:rPr>
                <w:rFonts w:ascii="Open Sans" w:hAnsi="Open Sans"/>
                <w:sz w:val="17"/>
              </w:rPr>
              <w:t>Interviews with the shortlisted firms (online, one hour)</w:t>
            </w:r>
          </w:p>
        </w:tc>
        <w:tc>
          <w:tcPr>
            <w:tcW w:type="dxa" w:w="4873"/>
          </w:tcPr>
          <w:p>
            <w:r>
              <w:rPr>
                <w:rFonts w:ascii="Open Sans" w:hAnsi="Open Sans"/>
                <w:sz w:val="17"/>
              </w:rPr>
            </w:r>
            <w:r>
              <w:rPr>
                <w:rFonts w:ascii="Open Sans" w:hAnsi="Open Sans"/>
                <w:sz w:val="17"/>
              </w:rPr>
              <w:t>within two weeks after the deadline</w:t>
            </w:r>
          </w:p>
        </w:tc>
      </w:tr>
      <w:tr>
        <w:tc>
          <w:tcPr>
            <w:tcW w:type="dxa" w:w="4873"/>
          </w:tcPr>
          <w:p>
            <w:r>
              <w:rPr>
                <w:rFonts w:ascii="Open Sans" w:hAnsi="Open Sans"/>
                <w:sz w:val="17"/>
              </w:rPr>
            </w:r>
            <w:r>
              <w:rPr>
                <w:rFonts w:ascii="Open Sans" w:hAnsi="Open Sans"/>
                <w:sz w:val="17"/>
              </w:rPr>
              <w:t>Confidentiality agreement and handing over the briefs</w:t>
            </w:r>
          </w:p>
        </w:tc>
        <w:tc>
          <w:tcPr>
            <w:tcW w:type="dxa" w:w="4873"/>
          </w:tcPr>
          <w:p>
            <w:r>
              <w:rPr>
                <w:rFonts w:ascii="Open Sans" w:hAnsi="Open Sans"/>
                <w:sz w:val="17"/>
              </w:rPr>
            </w:r>
            <w:r>
              <w:rPr>
                <w:rFonts w:ascii="Open Sans" w:hAnsi="Open Sans"/>
                <w:sz w:val="17"/>
              </w:rPr>
              <w:t>before the interview with the shortlisted firms</w:t>
            </w:r>
          </w:p>
        </w:tc>
      </w:tr>
      <w:tr>
        <w:tc>
          <w:tcPr>
            <w:tcW w:type="dxa" w:w="4873"/>
          </w:tcPr>
          <w:p>
            <w:r>
              <w:rPr>
                <w:rFonts w:ascii="Open Sans" w:hAnsi="Open Sans"/>
                <w:sz w:val="17"/>
              </w:rPr>
            </w:r>
            <w:r>
              <w:rPr>
                <w:rFonts w:ascii="Open Sans" w:hAnsi="Open Sans"/>
                <w:sz w:val="17"/>
              </w:rPr>
              <w:t>Decision and contract</w:t>
            </w:r>
          </w:p>
        </w:tc>
        <w:tc>
          <w:tcPr>
            <w:tcW w:type="dxa" w:w="4873"/>
          </w:tcPr>
          <w:p>
            <w:r>
              <w:rPr>
                <w:rFonts w:ascii="Open Sans" w:hAnsi="Open Sans"/>
                <w:sz w:val="17"/>
              </w:rPr>
            </w:r>
            <w:r>
              <w:rPr>
                <w:rFonts w:ascii="Open Sans" w:hAnsi="Open Sans"/>
                <w:sz w:val="17"/>
              </w:rPr>
              <w:t>within two weeks after the interviews</w:t>
            </w:r>
          </w:p>
        </w:tc>
      </w:tr>
      <w:tr>
        <w:tc>
          <w:tcPr>
            <w:tcW w:type="dxa" w:w="4873"/>
          </w:tcPr>
          <w:p>
            <w:r>
              <w:rPr>
                <w:rFonts w:ascii="Open Sans" w:hAnsi="Open Sans"/>
                <w:sz w:val="17"/>
              </w:rPr>
            </w:r>
            <w:r>
              <w:rPr>
                <w:rFonts w:ascii="Open Sans" w:hAnsi="Open Sans"/>
                <w:sz w:val="17"/>
              </w:rPr>
              <w:t>Handing over the frozen version</w:t>
            </w:r>
          </w:p>
        </w:tc>
        <w:tc>
          <w:tcPr>
            <w:tcW w:type="dxa" w:w="4873"/>
          </w:tcPr>
          <w:p>
            <w:r>
              <w:rPr>
                <w:rFonts w:ascii="Open Sans" w:hAnsi="Open Sans"/>
                <w:sz w:val="17"/>
              </w:rPr>
            </w:r>
            <w:r>
              <w:rPr>
                <w:rFonts w:ascii="Open Sans" w:hAnsi="Open Sans"/>
                <w:sz w:val="17"/>
              </w:rPr>
              <w:t>expected December 2026; firm date in the contract</w:t>
            </w:r>
          </w:p>
        </w:tc>
      </w:tr>
      <w:tr>
        <w:tc>
          <w:tcPr>
            <w:tcW w:type="dxa" w:w="4873"/>
          </w:tcPr>
          <w:p>
            <w:r>
              <w:rPr>
                <w:rFonts w:ascii="Open Sans" w:hAnsi="Open Sans"/>
                <w:sz w:val="17"/>
              </w:rPr>
            </w:r>
            <w:r>
              <w:rPr>
                <w:rFonts w:ascii="Open Sans" w:hAnsi="Open Sans"/>
                <w:sz w:val="17"/>
              </w:rPr>
              <w:t>Audit, draft report, final report, retest</w:t>
            </w:r>
          </w:p>
        </w:tc>
        <w:tc>
          <w:tcPr>
            <w:tcW w:type="dxa" w:w="4873"/>
          </w:tcPr>
          <w:p>
            <w:r>
              <w:rPr>
                <w:rFonts w:ascii="Open Sans" w:hAnsi="Open Sans"/>
                <w:sz w:val="17"/>
              </w:rPr>
            </w:r>
            <w:r>
              <w:rPr>
                <w:rFonts w:ascii="Open Sans" w:hAnsi="Open Sans"/>
                <w:sz w:val="17"/>
              </w:rPr>
              <w:t>as in your plan; we expect a total of about eight to ten weeks</w:t>
            </w:r>
          </w:p>
        </w:tc>
      </w:tr>
    </w:tbl>
    <w:p/>
    <w:p>
      <w:r>
        <w:t>We are making design decisions on the wire format of stored packets before the freeze. You will receive the frozen version, and the audit applies to it; the change will not happen during the audit.</w:t>
      </w:r>
    </w:p>
    <w:p>
      <w:r>
        <w:rPr>
          <w:b/>
        </w:rPr>
        <w:t>How we choose</w:t>
      </w:r>
      <w:r>
        <w:t xml:space="preserve"> (weights are ours and may be adjusted for a good reason): competence and references 35 %; fit of the method to the scope 25 %; deliverables and conditions of section 5 15 %; price 15 %; schedule and availability 10 %. Attestation by the DNSC counts as a plus within competence, never as a substitute for the references. We may ask clarifying questions, and we compare quotations from several firms. We are not obliged to place an order.</w:t>
      </w:r>
    </w:p>
    <w:p>
      <w:pPr>
        <w:pStyle w:val="Heading2"/>
        <w:pBdr>
          <w:bottom w:val="single" w:sz="6" w:space="4" w:color="D9E4EA"/>
        </w:pBdr>
      </w:pPr>
      <w:r>
        <w:rPr>
          <w:rFonts w:ascii="Open Sans" w:hAnsi="Open Sans"/>
          <w:color w:val="0F2A3A"/>
        </w:rPr>
        <w:t>10. Honesty about the result</w:t>
      </w:r>
    </w:p>
    <w:p>
      <w:r>
        <w:t>We will publish only what your report supports, with its scope and version. No system is "fully secure", and we will not claim it. A report that finds problems and says so plainly is more valuable to us than a favourable one.</w:t>
      </w:r>
    </w:p>
    <w:p>
      <w:r>
        <w:t>NexonAI Consulting SRL, Alba Iulia · pilot phase, not independently audited · unpruuf@nexonai.ro</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Open Sans" w:hAnsi="Open Sans"/>
        <w:color w:val="4A5A66"/>
        <w:sz w:val="16"/>
      </w:rPr>
      <w:t>NexonAI Consulting SRL, Alba Iulia  ·  pilot phase, not independently audited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9E4EA"/>
      </w:pBdr>
    </w:pPr>
    <w:r>
      <w:drawing>
        <wp:inline xmlns:a="http://schemas.openxmlformats.org/drawingml/2006/main" xmlns:pic="http://schemas.openxmlformats.org/drawingml/2006/picture">
          <wp:extent cx="1026367" cy="396000"/>
          <wp:docPr id="1" name="Picture 1"/>
          <wp:cNvGraphicFramePr>
            <a:graphicFrameLocks noChangeAspect="1"/>
          </wp:cNvGraphicFramePr>
          <a:graphic>
            <a:graphicData uri="http://schemas.openxmlformats.org/drawingml/2006/picture">
              <pic:pic>
                <pic:nvPicPr>
                  <pic:cNvPr id="0" name="nexonai-logo.png"/>
                  <pic:cNvPicPr/>
                </pic:nvPicPr>
                <pic:blipFill>
                  <a:blip r:embed="rId1"/>
                  <a:stretch>
                    <a:fillRect/>
                  </a:stretch>
                </pic:blipFill>
                <pic:spPr>
                  <a:xfrm>
                    <a:off x="0" y="0"/>
                    <a:ext cx="1026367" cy="396000"/>
                  </a:xfrm>
                  <a:prstGeom prst="rect"/>
                </pic:spPr>
              </pic:pic>
            </a:graphicData>
          </a:graphic>
        </wp:inline>
      </w:drawing>
    </w:r>
    <w:r>
      <w:rPr>
        <w:rFonts w:ascii="Open Sans" w:hAnsi="Open Sans"/>
        <w:b/>
        <w:color w:val="0F2A3A"/>
        <w:sz w:val="30"/>
      </w:rPr>
      <w:t xml:space="preserve">   |   unpruuf</w:t>
    </w:r>
    <w:r>
      <w:rPr>
        <w:rFonts w:ascii="Open Sans" w:hAnsi="Open Sans"/>
        <w:b/>
        <w:color w:val="307098"/>
        <w:sz w:val="30"/>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eastAsia="Open Sans"/>
      <w:color w:val="0F2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cs="Open Sans" w:eastAsia="Open Sans"/>
      <w:b/>
      <w:bCs/>
      <w:color w:val="0F2A3A"/>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cs="Open Sans" w:eastAsia="Open Sans"/>
      <w:b/>
      <w:bCs/>
      <w:color w:val="0F2A3A"/>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cs="Open Sans" w:eastAsia="Open Sans"/>
      <w:b/>
      <w:bCs/>
      <w:color w:val="0F2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Open Sans" w:hAnsi="Open Sans" w:cs="Open Sans" w:eastAsia="Open Sans"/>
      <w:color w:val="0F2A3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Open Sans" w:hAnsi="Open Sans" w:cs="Open Sans" w:eastAsia="Open Sans"/>
      <w:color w:val="0F2A3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