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olor w:val="0F2A3A"/>
        </w:rPr>
        <w:t>Barrieren bei der Nutzung interner Meldekanäle: Empirische Top-5-Hürden und die Architektur von unpruuf Compliance im Systemvergleich</w:t>
      </w:r>
    </w:p>
    <w:p>
      <w:r>
        <w:t>Die gesetzliche Verpflichtung zur Einrichtung interner Meldekanäle infolge der europäischen Whistleblower-Richtlinie (EU 2019/1937) sowie nationaler Gesetze wie dem deutschen Hinweisgeberschutzgesetz (HinSchG) hat Hinweisgebersysteme zu einem Standardbestandteil moderner Compliance-Organisationen ab 50 Beschäftigten gemacht. Trotz dieser regulatorischen Durchdringung belegen empirische Erhebungen renommierter Institutionen, darunter die Studien der Fachhochschule Graubünden und der EQS Group, die Benchmark-Analysen von NAVEX Global sowie die Erhebungen der Ethics &amp; Compliance Initiative (ECI), dass die tatsächliche Nutzung der Systeme weit hinter den Erwartungen zurückbleibt.</w:t>
      </w:r>
    </w:p>
    <w:p>
      <w:r>
        <w:t>Obschon in bis zu 40 Prozent der untersuchten Organisationen gravierende Missstände wie Korruption, Diskriminierung, Bilanzdelikte oder Datenschutzverstöße beobachtet werden, verharrt ein erheblicher Teil der Belegschaft im Schweigen. Diese Zurückhaltung ist nicht auf Desinteresse zurückzuführen, sondern auf fundamentale psychologische, prozessuale und technologische Hürden.</w:t>
      </w:r>
    </w:p>
    <w:p>
      <w:r>
        <w:t xml:space="preserve">Die folgende Analyse fasst die fünf empirisch dominierenden Barrieren auf Mitarbeiterseite zusammen und stellt ihnen die Lösungsarchitektur von unpruuf Compliance gegenüber: den Meldekanal unpruuf Compliance (App für Hinweisgebende, Dashboard für die zuständige Person) und, ergänzend, unpruuf Business für die vertrauliche interne Kommunikation. Beide laufen auf demselben System. </w:t>
      </w:r>
      <w:r>
        <w:rPr>
          <w:b/>
        </w:rPr>
        <w:t>Stand: Pilotphase, noch nicht unabhängig auditiert.</w:t>
      </w:r>
      <w:r>
        <w:t xml:space="preserve"> Die Aussagen zu unpruuf beschreiben, was die Architektur leistet und wodurch es belegt ist; sie sind keine Rechtsberatung und keine Zertifizierung.</w:t>
      </w:r>
    </w:p>
    <w:p>
      <w:pPr>
        <w:pStyle w:val="Heading2"/>
        <w:pBdr>
          <w:bottom w:val="single" w:sz="6" w:space="4" w:color="D9E4EA"/>
        </w:pBdr>
      </w:pPr>
      <w:r>
        <w:rPr>
          <w:rFonts w:ascii="Open Sans" w:hAnsi="Open Sans"/>
          <w:color w:val="0F2A3A"/>
        </w:rPr>
        <w:t>Empirische Top-5-Hürden bei der Nutzung von Hinweisgebersystemen</w:t>
      </w:r>
    </w:p>
    <w:p>
      <w:r>
        <w:t>Aus der Auswertung der internationalen Governance-Literatur und quantitativer Erhebungen lassen sich fünf zentrale Ursachenkomplexe ableiten, die das Meldeverhalten von Arbeitnehmern maßgeblich bestimmen.</w:t>
      </w:r>
    </w:p>
    <w:p>
      <w:pPr>
        <w:pStyle w:val="Heading3"/>
      </w:pPr>
      <w:r>
        <w:rPr>
          <w:rFonts w:ascii="Open Sans" w:hAnsi="Open Sans"/>
          <w:color w:val="0F2A3A"/>
        </w:rPr>
        <w:t>1. Angst vor beruflichen und persönlichen Vergeltungsmaßnahmen (Repressalien)</w:t>
      </w:r>
    </w:p>
    <w:p>
      <w:r>
        <w:t>Die Furcht vor Vergeltungsmaßnahmen ist die mit deutlichem Abstand am häufigsten dokumentierte Hürde für potenzielle Hinweisgeber. Der Global Business Ethics Survey (GBES) der Ethics &amp; Compliance Initiative weist aus, dass global 40 bis 46 Prozent der Beschäftigten, die Fehlverhalten gemeldet haben, im Anschluss konkrete Repressalien erlitten. In mittelgroßen Unternehmen wurden in Einzelerhebungen sogar Retaliation-Raten von bis zu 90 Prozent registriert. Vergeltung äußert sich dabei selten ausschließlich in formalen Kündigungen, sondern vor allem in verdeckten Benachteiligungen wie der Verweigerung von Beförderungen, der Zuweisung minderwertiger Aufgaben, gezielter sozialer Kälte oder gehäufter Kritik durch Vorgesetzte.</w:t>
      </w:r>
    </w:p>
    <w:p>
      <w:r>
        <w:t>Verschärft wird dieses Risiko durch ein ausgeprägtes institutionelles Nachweisdefizit. Der NAVEX Whistleblowing &amp; Incident Management Benchmark Report dokumentiert, dass Meldungen über erlittene Vergeltungsmaßnahmen lediglich eine Substantiierungsrate von 16 bis 18 Prozent erreichen. Während substanzielle Rechtsverstöße insgesamt zu rund 46 Prozent im Rahmen interner Ermittlungen bestätigt werden, lässt sich subtile Vergeltung am Arbeitsplatz für Betroffene kaum beweiskräftig darlegen. Diese Diskrepanz signalisiert Mitarbeitern ein hohes persönliches Risiko bei gleichzeitig minimaler Aussicht auf organisatorischen Schutz.</w:t>
      </w:r>
    </w:p>
    <w:p>
      <w:pPr>
        <w:pStyle w:val="Heading3"/>
      </w:pPr>
      <w:r>
        <w:rPr>
          <w:rFonts w:ascii="Open Sans" w:hAnsi="Open Sans"/>
          <w:color w:val="0F2A3A"/>
        </w:rPr>
        <w:t>2. Zweifel an technischer Anonymität und digitaler Spurensicherheit</w:t>
      </w:r>
    </w:p>
    <w:p>
      <w:r>
        <w:t>Das zweite zentrale Hemmnis ist ein tiefes Misstrauen gegenüber den technischen Zusicherungen der Arbeitgeberseite. Zwar bietet eine wachsende Zahl von Organisationen formale Anonymität, doch bezweifeln viele Beschäftigte, dass ein digitaler Meldevorgang tatsächlich rückverfolgungsfrei bleibt. Der Whistleblowing Report 2025 der FH Graubünden und der EQS Group zeigt, dass 76 bis 79 Prozent der Unternehmen in Deutschland und der Schweiz nach wie vor auf traditionelle Kanäle wie E-Mail und 59 bis 64 Prozent auf das Telefon setzen, Medien, die technisch prinzipbedingt Identitätsmerkmale wie IP-Adressen, Absender-Header oder Stimmprofile preisgeben.</w:t>
      </w:r>
    </w:p>
    <w:p>
      <w:r>
        <w:t>Auch bei webbasierten Portalen befürchten Mitarbeiter ein Tracking über Geräte-Fingerprinting, Server-Logfiles, Netzwerk-Monitoring oder zentrale Schnittstellen zu Identitätsmanagement-Systemen (wie Microsoft Active Directory). Liegt die Meldeplattform zudem bei externen Cloud-Providern, befürchten Beschäftigte unkontrollierbare Datenweiterleitungen oder Zugriffe durch unternehmensinterne IT-Administratoren. Wenn ein System keine architektonisch belegbare Anonymität bietet, weichen Beschäftigte aus Selbstschutz auf das Schweigen aus.</w:t>
      </w:r>
    </w:p>
    <w:p>
      <w:pPr>
        <w:pStyle w:val="Heading3"/>
      </w:pPr>
      <w:r>
        <w:rPr>
          <w:rFonts w:ascii="Open Sans" w:hAnsi="Open Sans"/>
          <w:color w:val="0F2A3A"/>
        </w:rPr>
        <w:t>3. Wahrgenommene Handlungsohnmacht und Futilität</w:t>
      </w:r>
    </w:p>
    <w:p>
      <w:r>
        <w:t>Neben der Angst vor Sanktionen wirkt die wahrgenommene Sinnlosigkeit einer Meldung als starker Demotivator. Die ECI führt den mangelnden Glauben daran, dass das Management tatsächliche Korrekturmaßnahmen ergreifen wird („belief that no corrective action will be taken“), als eine der Hauptursachen für das Nichtmelden von Verstößen an. Beschäftigte vermuten hinter Meldesystemen häufig reine Compliance-Alibifunktionen, die der Entlastung der Führungsebene dienen, jedoch keine echten Konsequenzen für Täter, insbesondere Führungskräfte, nach sich ziehen.</w:t>
      </w:r>
    </w:p>
    <w:p>
      <w:r>
        <w:t>Diese Futilität wird durch operative Intransparenz genährt. Wenn Meldekanäle als digitale Einbahnstraßen konzipiert sind, bei denen der Hinweisgeber nach Absenden der Meldung weder über den Status noch über die Einleitung von Untersuchungen informiert wird, entsteht der Eindruck von Gleichgültigkeit. Zudem belegen die NAVEX-Analysen, dass die mittlere Bearbeitungszeit bis zum Fallabschluss („Case Closure Time“) auf median 28 Tage gestiegen ist. Verstreichen Wochen ohne substantielle Rückmeldung, verfestigt sich bei Hinweisgebenden das Gefühl, dass ihre Initiative ignoriert oder bewusst ausgesessen wird.</w:t>
      </w:r>
    </w:p>
    <w:p>
      <w:pPr>
        <w:pStyle w:val="Heading3"/>
      </w:pPr>
      <w:r>
        <w:rPr>
          <w:rFonts w:ascii="Open Sans" w:hAnsi="Open Sans"/>
          <w:color w:val="0F2A3A"/>
        </w:rPr>
        <w:t>4. Administrative Zugangsbarrieren, Kontozwänge und Prozesskomplexität</w:t>
      </w:r>
    </w:p>
    <w:p>
      <w:r>
        <w:t>Obwohl webbasierte Meldeportale nach den NAVEX-Benchmark-Daten inzwischen klassische Telefon-Hotlines überholt haben (33,4 Prozent gegenüber 29,4 Prozent aller Eingänge), sind viele digitale Schnittstellen administrativ überfrachtet. Eine erhebliche Barriere stellt die Verpflichtung dar, Benutzerprofile anzulegen, E-Mail-Adressen für Verifizierungslinks zu hinterlegen oder komplexe Passwörter zu verwalten. Jede verlangte Vorab-Identifikation erhöht die Abbruchquote drastisch.</w:t>
      </w:r>
    </w:p>
    <w:p>
      <w:r>
        <w:t>Hinzu kommt eine weitverbreitete Unsicherheit über rechtliche Rahmenbedingungen: Viele Beschäftigte wissen schlichtweg nicht, welche Verhaltensweisen meldefähig sind, welche Instanz die Fälle prüft oder welche Schutzrechte das Hinweisgeberschutzgesetz bietet. Ist der Prozess mit kognitiven Hürden, unklarer Zuständigkeit oder softwareseitigen Installationsanforderungen verbunden, unterbleibt die Meldung.</w:t>
      </w:r>
    </w:p>
    <w:p>
      <w:pPr>
        <w:pStyle w:val="Heading3"/>
      </w:pPr>
      <w:r>
        <w:rPr>
          <w:rFonts w:ascii="Open Sans" w:hAnsi="Open Sans"/>
          <w:color w:val="0F2A3A"/>
        </w:rPr>
        <w:t>5. Sozialer Konformitätsdruck, Loyalitätskonflikte und Stigmatisierung</w:t>
      </w:r>
    </w:p>
    <w:p>
      <w:r>
        <w:t>Whistleblowing kollidiert regelmäßig mit informellen Gruppenstrukturen und erlernten Loyalitäten. Die ECI-Daten verdeutlichen, dass etwa jeder dritte beobachtete Missstand ungemeldet bleibt, weil Mitarbeiter den Bruch von Teamloyalitäten scheuen. In vielen betrieblichen Kulturen haftet Hinweisgebern nach wie vor das diskriminierende Etikett des „Denunzianten“ an.</w:t>
      </w:r>
    </w:p>
    <w:p>
      <w:r>
        <w:t>Potenzielle Hinweisgeber geraten in einen schweren Rollenkonflikt zwischen der Pflicht gegenüber dem Unternehmen und dem Verhaltenskodex der Kollegenschaft. Die Furcht vor kollektivem Ausschluss, Mobbing am Arbeitsplatz oder der Zerstörung des beruflichen Netzwerks wiegt in vielen Fällen schwerer als das abstrakte Interesse an rechtskonformem Verhalten. Fehlt ein System, das diesen sozialen Druck durch hohe Diskretion und niedrigschwellige Kommunikationsmöglichkeiten abfedert, entscheidet sich die Mehrheit der Mitarbeiter für Konformität.</w:t>
      </w:r>
    </w:p>
    <w:p>
      <w:pPr>
        <w:pStyle w:val="Heading2"/>
        <w:pBdr>
          <w:bottom w:val="single" w:sz="6" w:space="4" w:color="D9E4EA"/>
        </w:pBdr>
      </w:pPr>
      <w:r>
        <w:rPr>
          <w:rFonts w:ascii="Open Sans" w:hAnsi="Open Sans"/>
          <w:color w:val="0F2A3A"/>
        </w:rPr>
        <w:t>Empirische Übersicht der Barrieren bei der Nutzung von Hinweisgebersystemen</w:t>
      </w:r>
    </w:p>
    <w:tbl>
      <w:tblPr>
        <w:tblW w:type="auto" w:w="0"/>
        <w:tblLook w:firstColumn="1" w:firstRow="1" w:lastColumn="0" w:lastRow="0" w:noHBand="0" w:noVBand="1" w:val="04A0"/>
        <w:tblBorders>
          <w:top w:val="single" w:sz="6" w:space="0" w:color="D9E4EA"/>
          <w:bottom w:val="single" w:sz="6" w:space="0" w:color="D9E4EA"/>
          <w:insideH w:val="single" w:sz="6" w:space="0" w:color="D9E4EA"/>
        </w:tblBorders>
      </w:tblPr>
      <w:tblGrid>
        <w:gridCol w:w="1949"/>
        <w:gridCol w:w="1949"/>
        <w:gridCol w:w="1949"/>
        <w:gridCol w:w="1949"/>
        <w:gridCol w:w="1949"/>
      </w:tblGrid>
      <w:tr>
        <w:tc>
          <w:tcPr>
            <w:tcW w:type="dxa" w:w="1949"/>
            <w:shd w:val="clear" w:color="auto" w:fill="F2F6F9"/>
          </w:tcPr>
          <w:p>
            <w:r>
              <w:rPr>
                <w:rFonts w:ascii="Open Sans" w:hAnsi="Open Sans"/>
                <w:b/>
                <w:sz w:val="17"/>
              </w:rPr>
            </w:r>
            <w:r>
              <w:rPr>
                <w:rFonts w:ascii="Open Sans" w:hAnsi="Open Sans"/>
                <w:b/>
                <w:sz w:val="17"/>
              </w:rPr>
              <w:t>Rang</w:t>
            </w:r>
          </w:p>
        </w:tc>
        <w:tc>
          <w:tcPr>
            <w:tcW w:type="dxa" w:w="1949"/>
            <w:shd w:val="clear" w:color="auto" w:fill="F2F6F9"/>
          </w:tcPr>
          <w:p>
            <w:r>
              <w:rPr>
                <w:rFonts w:ascii="Open Sans" w:hAnsi="Open Sans"/>
                <w:b/>
                <w:sz w:val="17"/>
              </w:rPr>
            </w:r>
            <w:r>
              <w:rPr>
                <w:rFonts w:ascii="Open Sans" w:hAnsi="Open Sans"/>
                <w:b/>
                <w:sz w:val="17"/>
              </w:rPr>
              <w:t>Nutzungshürde</w:t>
            </w:r>
          </w:p>
        </w:tc>
        <w:tc>
          <w:tcPr>
            <w:tcW w:type="dxa" w:w="1949"/>
            <w:shd w:val="clear" w:color="auto" w:fill="F2F6F9"/>
          </w:tcPr>
          <w:p>
            <w:r>
              <w:rPr>
                <w:rFonts w:ascii="Open Sans" w:hAnsi="Open Sans"/>
                <w:b/>
                <w:sz w:val="17"/>
              </w:rPr>
            </w:r>
            <w:r>
              <w:rPr>
                <w:rFonts w:ascii="Open Sans" w:hAnsi="Open Sans"/>
                <w:b/>
                <w:sz w:val="17"/>
              </w:rPr>
              <w:t>Empirische Befunde und Kennzahlen</w:t>
            </w:r>
          </w:p>
        </w:tc>
        <w:tc>
          <w:tcPr>
            <w:tcW w:type="dxa" w:w="1949"/>
            <w:shd w:val="clear" w:color="auto" w:fill="F2F6F9"/>
          </w:tcPr>
          <w:p>
            <w:r>
              <w:rPr>
                <w:rFonts w:ascii="Open Sans" w:hAnsi="Open Sans"/>
                <w:b/>
                <w:sz w:val="17"/>
              </w:rPr>
            </w:r>
            <w:r>
              <w:rPr>
                <w:rFonts w:ascii="Open Sans" w:hAnsi="Open Sans"/>
                <w:b/>
                <w:sz w:val="17"/>
              </w:rPr>
              <w:t>Psychologische Ursache auf Mitarbeiterseite</w:t>
            </w:r>
          </w:p>
        </w:tc>
        <w:tc>
          <w:tcPr>
            <w:tcW w:type="dxa" w:w="1949"/>
            <w:shd w:val="clear" w:color="auto" w:fill="F2F6F9"/>
          </w:tcPr>
          <w:p>
            <w:r>
              <w:rPr>
                <w:rFonts w:ascii="Open Sans" w:hAnsi="Open Sans"/>
                <w:b/>
                <w:sz w:val="17"/>
              </w:rPr>
            </w:r>
            <w:r>
              <w:rPr>
                <w:rFonts w:ascii="Open Sans" w:hAnsi="Open Sans"/>
                <w:b/>
                <w:sz w:val="17"/>
              </w:rPr>
              <w:t>Konsequenz für die Organisation</w:t>
            </w:r>
          </w:p>
        </w:tc>
      </w:tr>
      <w:tr>
        <w:tc>
          <w:tcPr>
            <w:tcW w:type="dxa" w:w="1949"/>
          </w:tcPr>
          <w:p>
            <w:r>
              <w:rPr>
                <w:rFonts w:ascii="DejaVu Sans Mono" w:hAnsi="DejaVu Sans Mono"/>
                <w:color w:val="307098"/>
                <w:sz w:val="17"/>
              </w:rPr>
            </w:r>
            <w:r>
              <w:rPr>
                <w:rFonts w:ascii="DejaVu Sans Mono" w:hAnsi="DejaVu Sans Mono"/>
                <w:color w:val="307098"/>
                <w:sz w:val="17"/>
              </w:rPr>
              <w:t>1</w:t>
            </w:r>
          </w:p>
        </w:tc>
        <w:tc>
          <w:tcPr>
            <w:tcW w:type="dxa" w:w="1949"/>
          </w:tcPr>
          <w:p>
            <w:r>
              <w:rPr>
                <w:rFonts w:ascii="Open Sans" w:hAnsi="Open Sans"/>
                <w:sz w:val="17"/>
              </w:rPr>
            </w:r>
            <w:r>
              <w:rPr>
                <w:rFonts w:ascii="Open Sans" w:hAnsi="Open Sans"/>
                <w:sz w:val="17"/>
              </w:rPr>
              <w:t>Angst vor Repressalien</w:t>
            </w:r>
          </w:p>
        </w:tc>
        <w:tc>
          <w:tcPr>
            <w:tcW w:type="dxa" w:w="1949"/>
          </w:tcPr>
          <w:p>
            <w:r>
              <w:rPr>
                <w:rFonts w:ascii="Open Sans" w:hAnsi="Open Sans"/>
                <w:sz w:val="17"/>
              </w:rPr>
            </w:r>
            <w:r>
              <w:rPr>
                <w:rFonts w:ascii="Open Sans" w:hAnsi="Open Sans"/>
                <w:sz w:val="17"/>
              </w:rPr>
              <w:t>40–46 % Retaliation-Rate nach Meldung (ECI); nur 16–18 % Substantiierungsquote bei Vergeltungsvorwürfen (NAVEX).</w:t>
            </w:r>
          </w:p>
        </w:tc>
        <w:tc>
          <w:tcPr>
            <w:tcW w:type="dxa" w:w="1949"/>
          </w:tcPr>
          <w:p>
            <w:r>
              <w:rPr>
                <w:rFonts w:ascii="Open Sans" w:hAnsi="Open Sans"/>
                <w:sz w:val="17"/>
              </w:rPr>
            </w:r>
            <w:r>
              <w:rPr>
                <w:rFonts w:ascii="Open Sans" w:hAnsi="Open Sans"/>
                <w:sz w:val="17"/>
              </w:rPr>
              <w:t>Furcht vor Entlassung, Karriereblockaden, Versetzung und subtilem Mobbing.</w:t>
            </w:r>
          </w:p>
        </w:tc>
        <w:tc>
          <w:tcPr>
            <w:tcW w:type="dxa" w:w="1949"/>
          </w:tcPr>
          <w:p>
            <w:r>
              <w:rPr>
                <w:rFonts w:ascii="Open Sans" w:hAnsi="Open Sans"/>
                <w:sz w:val="17"/>
              </w:rPr>
            </w:r>
            <w:r>
              <w:rPr>
                <w:rFonts w:ascii="Open Sans" w:hAnsi="Open Sans"/>
                <w:sz w:val="17"/>
              </w:rPr>
              <w:t>Akute Risiken eskalieren intern ungebremst bis zum Bekanntwerden bei Behörden.</w:t>
            </w:r>
          </w:p>
        </w:tc>
      </w:tr>
      <w:tr>
        <w:tc>
          <w:tcPr>
            <w:tcW w:type="dxa" w:w="1949"/>
          </w:tcPr>
          <w:p>
            <w:r>
              <w:rPr>
                <w:rFonts w:ascii="DejaVu Sans Mono" w:hAnsi="DejaVu Sans Mono"/>
                <w:color w:val="307098"/>
                <w:sz w:val="17"/>
              </w:rPr>
            </w:r>
            <w:r>
              <w:rPr>
                <w:rFonts w:ascii="DejaVu Sans Mono" w:hAnsi="DejaVu Sans Mono"/>
                <w:color w:val="307098"/>
                <w:sz w:val="17"/>
              </w:rPr>
              <w:t>2</w:t>
            </w:r>
          </w:p>
        </w:tc>
        <w:tc>
          <w:tcPr>
            <w:tcW w:type="dxa" w:w="1949"/>
          </w:tcPr>
          <w:p>
            <w:r>
              <w:rPr>
                <w:rFonts w:ascii="Open Sans" w:hAnsi="Open Sans"/>
                <w:sz w:val="17"/>
              </w:rPr>
            </w:r>
            <w:r>
              <w:rPr>
                <w:rFonts w:ascii="Open Sans" w:hAnsi="Open Sans"/>
                <w:sz w:val="17"/>
              </w:rPr>
              <w:t>Zweifel an Anonymität</w:t>
            </w:r>
          </w:p>
        </w:tc>
        <w:tc>
          <w:tcPr>
            <w:tcW w:type="dxa" w:w="1949"/>
          </w:tcPr>
          <w:p>
            <w:r>
              <w:rPr>
                <w:rFonts w:ascii="Open Sans" w:hAnsi="Open Sans"/>
                <w:sz w:val="17"/>
              </w:rPr>
            </w:r>
            <w:r>
              <w:rPr>
                <w:rFonts w:ascii="Open Sans" w:hAnsi="Open Sans"/>
                <w:sz w:val="17"/>
              </w:rPr>
              <w:t>64 % der Meldestellen bieten Anonymität; 76–79 % nutzen unsichere E-Mail-Kanäle (EQS / FH Graubünden).</w:t>
            </w:r>
          </w:p>
        </w:tc>
        <w:tc>
          <w:tcPr>
            <w:tcW w:type="dxa" w:w="1949"/>
          </w:tcPr>
          <w:p>
            <w:r>
              <w:rPr>
                <w:rFonts w:ascii="Open Sans" w:hAnsi="Open Sans"/>
                <w:sz w:val="17"/>
              </w:rPr>
            </w:r>
            <w:r>
              <w:rPr>
                <w:rFonts w:ascii="Open Sans" w:hAnsi="Open Sans"/>
                <w:sz w:val="17"/>
              </w:rPr>
              <w:t>Misstrauen gegenüber zentralen IT-Infrastrukturen, IP-Logging und Cloud-Hostern.</w:t>
            </w:r>
          </w:p>
        </w:tc>
        <w:tc>
          <w:tcPr>
            <w:tcW w:type="dxa" w:w="1949"/>
          </w:tcPr>
          <w:p>
            <w:r>
              <w:rPr>
                <w:rFonts w:ascii="Open Sans" w:hAnsi="Open Sans"/>
                <w:sz w:val="17"/>
              </w:rPr>
            </w:r>
            <w:r>
              <w:rPr>
                <w:rFonts w:ascii="Open Sans" w:hAnsi="Open Sans"/>
                <w:sz w:val="17"/>
              </w:rPr>
              <w:t>Mitarbeiter verweigern Nutzung der Systeme mangels technischer Beweisbarkeit des Schutzes.</w:t>
            </w:r>
          </w:p>
        </w:tc>
      </w:tr>
      <w:tr>
        <w:tc>
          <w:tcPr>
            <w:tcW w:type="dxa" w:w="1949"/>
          </w:tcPr>
          <w:p>
            <w:r>
              <w:rPr>
                <w:rFonts w:ascii="DejaVu Sans Mono" w:hAnsi="DejaVu Sans Mono"/>
                <w:color w:val="307098"/>
                <w:sz w:val="17"/>
              </w:rPr>
            </w:r>
            <w:r>
              <w:rPr>
                <w:rFonts w:ascii="DejaVu Sans Mono" w:hAnsi="DejaVu Sans Mono"/>
                <w:color w:val="307098"/>
                <w:sz w:val="17"/>
              </w:rPr>
              <w:t>3</w:t>
            </w:r>
          </w:p>
        </w:tc>
        <w:tc>
          <w:tcPr>
            <w:tcW w:type="dxa" w:w="1949"/>
          </w:tcPr>
          <w:p>
            <w:r>
              <w:rPr>
                <w:rFonts w:ascii="Open Sans" w:hAnsi="Open Sans"/>
                <w:sz w:val="17"/>
              </w:rPr>
            </w:r>
            <w:r>
              <w:rPr>
                <w:rFonts w:ascii="Open Sans" w:hAnsi="Open Sans"/>
                <w:sz w:val="17"/>
              </w:rPr>
              <w:t>Handlungsohnmacht (Futilität)</w:t>
            </w:r>
          </w:p>
        </w:tc>
        <w:tc>
          <w:tcPr>
            <w:tcW w:type="dxa" w:w="1949"/>
          </w:tcPr>
          <w:p>
            <w:r>
              <w:rPr>
                <w:rFonts w:ascii="Open Sans" w:hAnsi="Open Sans"/>
                <w:sz w:val="17"/>
              </w:rPr>
            </w:r>
            <w:r>
              <w:rPr>
                <w:rFonts w:ascii="Open Sans" w:hAnsi="Open Sans"/>
                <w:sz w:val="17"/>
              </w:rPr>
              <w:t>Hauptgrund für Schweigen laut ECI; mediane Verfahrensdauer steigt auf 28 Tage (NAVEX).</w:t>
            </w:r>
          </w:p>
        </w:tc>
        <w:tc>
          <w:tcPr>
            <w:tcW w:type="dxa" w:w="1949"/>
          </w:tcPr>
          <w:p>
            <w:r>
              <w:rPr>
                <w:rFonts w:ascii="Open Sans" w:hAnsi="Open Sans"/>
                <w:sz w:val="17"/>
              </w:rPr>
            </w:r>
            <w:r>
              <w:rPr>
                <w:rFonts w:ascii="Open Sans" w:hAnsi="Open Sans"/>
                <w:sz w:val="17"/>
              </w:rPr>
              <w:t>Überzeugung, dass Hinweise folgenlos bleiben oder vertuscht werden.</w:t>
            </w:r>
          </w:p>
        </w:tc>
        <w:tc>
          <w:tcPr>
            <w:tcW w:type="dxa" w:w="1949"/>
          </w:tcPr>
          <w:p>
            <w:r>
              <w:rPr>
                <w:rFonts w:ascii="Open Sans" w:hAnsi="Open Sans"/>
                <w:sz w:val="17"/>
              </w:rPr>
            </w:r>
            <w:r>
              <w:rPr>
                <w:rFonts w:ascii="Open Sans" w:hAnsi="Open Sans"/>
                <w:sz w:val="17"/>
              </w:rPr>
              <w:t>Zynismus, Resignation und Abbau der internen Integritäts- und Vertrauenskultur.</w:t>
            </w:r>
          </w:p>
        </w:tc>
      </w:tr>
      <w:tr>
        <w:tc>
          <w:tcPr>
            <w:tcW w:type="dxa" w:w="1949"/>
          </w:tcPr>
          <w:p>
            <w:r>
              <w:rPr>
                <w:rFonts w:ascii="DejaVu Sans Mono" w:hAnsi="DejaVu Sans Mono"/>
                <w:color w:val="307098"/>
                <w:sz w:val="17"/>
              </w:rPr>
            </w:r>
            <w:r>
              <w:rPr>
                <w:rFonts w:ascii="DejaVu Sans Mono" w:hAnsi="DejaVu Sans Mono"/>
                <w:color w:val="307098"/>
                <w:sz w:val="17"/>
              </w:rPr>
              <w:t>4</w:t>
            </w:r>
          </w:p>
        </w:tc>
        <w:tc>
          <w:tcPr>
            <w:tcW w:type="dxa" w:w="1949"/>
          </w:tcPr>
          <w:p>
            <w:r>
              <w:rPr>
                <w:rFonts w:ascii="Open Sans" w:hAnsi="Open Sans"/>
                <w:sz w:val="17"/>
              </w:rPr>
            </w:r>
            <w:r>
              <w:rPr>
                <w:rFonts w:ascii="Open Sans" w:hAnsi="Open Sans"/>
                <w:sz w:val="17"/>
              </w:rPr>
              <w:t>Prozesshürden und Kontozwang</w:t>
            </w:r>
          </w:p>
        </w:tc>
        <w:tc>
          <w:tcPr>
            <w:tcW w:type="dxa" w:w="1949"/>
          </w:tcPr>
          <w:p>
            <w:r>
              <w:rPr>
                <w:rFonts w:ascii="Open Sans" w:hAnsi="Open Sans"/>
                <w:sz w:val="17"/>
              </w:rPr>
            </w:r>
            <w:r>
              <w:rPr>
                <w:rFonts w:ascii="Open Sans" w:hAnsi="Open Sans"/>
                <w:sz w:val="17"/>
              </w:rPr>
              <w:t>Webmeldungen dominieren mit 33,4 %, leiden jedoch häufig unter Registrierungspflichten.</w:t>
            </w:r>
          </w:p>
        </w:tc>
        <w:tc>
          <w:tcPr>
            <w:tcW w:type="dxa" w:w="1949"/>
          </w:tcPr>
          <w:p>
            <w:r>
              <w:rPr>
                <w:rFonts w:ascii="Open Sans" w:hAnsi="Open Sans"/>
                <w:sz w:val="17"/>
              </w:rPr>
            </w:r>
            <w:r>
              <w:rPr>
                <w:rFonts w:ascii="Open Sans" w:hAnsi="Open Sans"/>
                <w:sz w:val="17"/>
              </w:rPr>
              <w:t>Frustration über Kontenerstellung, Passwort-Hürden und unklare Prozessabläufe.</w:t>
            </w:r>
          </w:p>
        </w:tc>
        <w:tc>
          <w:tcPr>
            <w:tcW w:type="dxa" w:w="1949"/>
          </w:tcPr>
          <w:p>
            <w:r>
              <w:rPr>
                <w:rFonts w:ascii="Open Sans" w:hAnsi="Open Sans"/>
                <w:sz w:val="17"/>
              </w:rPr>
            </w:r>
            <w:r>
              <w:rPr>
                <w:rFonts w:ascii="Open Sans" w:hAnsi="Open Sans"/>
                <w:sz w:val="17"/>
              </w:rPr>
              <w:t>Vorzeitiger Abbruch des Meldevorgangs; Rückfall auf informelle, ungeschützte Wege.</w:t>
            </w:r>
          </w:p>
        </w:tc>
      </w:tr>
      <w:tr>
        <w:tc>
          <w:tcPr>
            <w:tcW w:type="dxa" w:w="1949"/>
          </w:tcPr>
          <w:p>
            <w:r>
              <w:rPr>
                <w:rFonts w:ascii="DejaVu Sans Mono" w:hAnsi="DejaVu Sans Mono"/>
                <w:color w:val="307098"/>
                <w:sz w:val="17"/>
              </w:rPr>
            </w:r>
            <w:r>
              <w:rPr>
                <w:rFonts w:ascii="DejaVu Sans Mono" w:hAnsi="DejaVu Sans Mono"/>
                <w:color w:val="307098"/>
                <w:sz w:val="17"/>
              </w:rPr>
              <w:t>5</w:t>
            </w:r>
          </w:p>
        </w:tc>
        <w:tc>
          <w:tcPr>
            <w:tcW w:type="dxa" w:w="1949"/>
          </w:tcPr>
          <w:p>
            <w:r>
              <w:rPr>
                <w:rFonts w:ascii="Open Sans" w:hAnsi="Open Sans"/>
                <w:sz w:val="17"/>
              </w:rPr>
            </w:r>
            <w:r>
              <w:rPr>
                <w:rFonts w:ascii="Open Sans" w:hAnsi="Open Sans"/>
                <w:sz w:val="17"/>
              </w:rPr>
              <w:t>Sozialer Druck und Stigmatisierung</w:t>
            </w:r>
          </w:p>
        </w:tc>
        <w:tc>
          <w:tcPr>
            <w:tcW w:type="dxa" w:w="1949"/>
          </w:tcPr>
          <w:p>
            <w:r>
              <w:rPr>
                <w:rFonts w:ascii="Open Sans" w:hAnsi="Open Sans"/>
                <w:sz w:val="17"/>
              </w:rPr>
            </w:r>
            <w:r>
              <w:rPr>
                <w:rFonts w:ascii="Open Sans" w:hAnsi="Open Sans"/>
                <w:sz w:val="17"/>
              </w:rPr>
              <w:t>Rund 1 von 3 Vorfällen wird aus Loyalitätskonflikten nicht gemeldet (ECI).</w:t>
            </w:r>
          </w:p>
        </w:tc>
        <w:tc>
          <w:tcPr>
            <w:tcW w:type="dxa" w:w="1949"/>
          </w:tcPr>
          <w:p>
            <w:r>
              <w:rPr>
                <w:rFonts w:ascii="Open Sans" w:hAnsi="Open Sans"/>
                <w:sz w:val="17"/>
              </w:rPr>
            </w:r>
            <w:r>
              <w:rPr>
                <w:rFonts w:ascii="Open Sans" w:hAnsi="Open Sans"/>
                <w:sz w:val="17"/>
              </w:rPr>
              <w:t>Angst vor dem Stigma des „Denunzianten“ und dem Verlust sozialer Integration im Team.</w:t>
            </w:r>
          </w:p>
        </w:tc>
        <w:tc>
          <w:tcPr>
            <w:tcW w:type="dxa" w:w="1949"/>
          </w:tcPr>
          <w:p>
            <w:r>
              <w:rPr>
                <w:rFonts w:ascii="Open Sans" w:hAnsi="Open Sans"/>
                <w:sz w:val="17"/>
              </w:rPr>
            </w:r>
            <w:r>
              <w:rPr>
                <w:rFonts w:ascii="Open Sans" w:hAnsi="Open Sans"/>
                <w:sz w:val="17"/>
              </w:rPr>
              <w:t>Strukturelle Abschottung von Abteilungen gegen Compliance-Initiativen.</w:t>
            </w:r>
          </w:p>
        </w:tc>
      </w:tr>
    </w:tbl>
    <w:p/>
    <w:p>
      <w:pPr>
        <w:pStyle w:val="Heading2"/>
        <w:pBdr>
          <w:bottom w:val="single" w:sz="6" w:space="4" w:color="D9E4EA"/>
        </w:pBdr>
      </w:pPr>
      <w:r>
        <w:rPr>
          <w:rFonts w:ascii="Open Sans" w:hAnsi="Open Sans"/>
          <w:color w:val="0F2A3A"/>
        </w:rPr>
        <w:t>Die Leistungsarchitektur von unpruuf Compliance im Systemvergleich</w:t>
      </w:r>
    </w:p>
    <w:p>
      <w:r>
        <w:t>Die Bewältigung der identifizierten Barrieren erfordert technische und prozessuale Vorkehrungen, die Anonymität und Handlungssicherheit nicht nur zusagen, sondern in der Architektur verankern. unpruuf beantwortet diese Herausforderungen mit zwei Produkten auf demselben System: dem Meldekanal unpruuf Compliance für formalisierte Meldungen (Hinweisgebende melden über die App, die zuständige Person bearbeitet im Dashboard) und unpruuf Business für die vertrauliche interne Kommunikation.</w:t>
      </w:r>
    </w:p>
    <w:p>
      <w:pPr>
        <w:pStyle w:val="Heading3"/>
      </w:pPr>
      <w:r>
        <w:rPr>
          <w:rFonts w:ascii="Open Sans" w:hAnsi="Open Sans"/>
          <w:color w:val="0F2A3A"/>
        </w:rPr>
        <w:t>Angst vor Repressalien: das Zero-Identity-Prinzip</w:t>
      </w:r>
    </w:p>
    <w:p>
      <w:r>
        <w:t>Die Angst vor Vergeltung wird im Kern dadurch genährt, dass herkömmliche Systeme personenbezogene Identifikatoren erfassen oder Identitätsdaten auf zentralen Plattformen speichern. unpruuf Compliance setzt dem eine Entkopplung des Vorgangs von jeder Identität entgegen. Im gesamten System werden weder Namen, Geburtsdaten noch E-Mail-Adressen oder Telefonnummern erhoben, und es gibt keine Benutzerkonten. Der Server speichert pro Paket nur eine Ablageadresse, das verschlüsselte Paket und zwei Zeitstempel; er speichert keine Absenderadresse und keine Browser- oder Geräteangaben (belegt durch die Nachweisskripte 02 und 03 im Evidence-Paket). Wo keine Identitätsdaten erhoben werden, liegen auf dem Server keine Identitäten, die bei einem Einbruch, einem Konfigurationsfehler oder einem Herausgabeverlangen herausgegeben oder gestohlen werden könnten. Das nimmt gezielten Repressalien eine wesentliche Grundlage, schließt sie aber nicht aus: Der Inhalt einer Meldung selbst (Details, Formulierungen, Zeitpunkt) kann Rückschlüsse auf die meldende Person erlauben, und das kann keine Technik verhindern.</w:t>
      </w:r>
    </w:p>
    <w:p>
      <w:pPr>
        <w:pStyle w:val="Heading3"/>
      </w:pPr>
      <w:r>
        <w:rPr>
          <w:rFonts w:ascii="Open Sans" w:hAnsi="Open Sans"/>
          <w:color w:val="0F2A3A"/>
        </w:rPr>
        <w:t>Zweifel an der Anonymität: Serverhoheit beim Kunden</w:t>
      </w:r>
    </w:p>
    <w:p>
      <w:r>
        <w:t>Standardmäßige SaaS-Hinweisgebersysteme werden zumeist auf den Servern von Drittanbietern oder US-amerikanischen Cloud-Hyperscalern betrieben, was bei Beschäftigten erhebliche Zweifel an der Vertraulichkeit schürt. Bei unpruuf Compliance betreibt das Kundenunternehmen den Server selbst, auf einem eigenen Rechner oder einem gemieteten Server; NexonAI betreibt keine Server und hat keinen Zugriff, weder per Fernwartung noch durch Telemetrie. Auf dem Server liegen nur verschlüsselte Pakete, und nur für kurze Zeit: höchstens 24 Stunden (Standard 6). Die Falldateien selbst liegen lokal und verschlüsselt auf dem Rechner der zuständigen Person, geschützt durch deren Passwort.</w:t>
      </w:r>
    </w:p>
    <w:p>
      <w:r>
        <w:t>Die Meldung selbst läuft über das Tor-Netz. Die App enthält weder Analyse- noch Werbebibliotheken noch Google-Dienste. Wer den Server administriert, sieht nur verschlüsselte Pakete, weder Inhalte noch Identitäten; die Falldateien kann nur lesen, wer das Passwort der zuständigen Person kennt. Nicht geschützt ist ein Rechner, den jemand anderes kontrolliert (etwa durch Schadsoftware auf dem Laptop der zuständigen Person): Dort kann während der Nutzung mitgelesen werden.</w:t>
      </w:r>
    </w:p>
    <w:p>
      <w:pPr>
        <w:pStyle w:val="Heading3"/>
      </w:pPr>
      <w:r>
        <w:rPr>
          <w:rFonts w:ascii="Open Sans" w:hAnsi="Open Sans"/>
          <w:color w:val="0F2A3A"/>
        </w:rPr>
        <w:t>Handlungsohnmacht: Fallnummer, Rückkanal und sichtbare Fristen</w:t>
      </w:r>
    </w:p>
    <w:p>
      <w:r>
        <w:t>Um dem Gefühl der Ohnmacht entgegenzuwirken, ist der Kanal in beide Richtungen angelegt. Hinweisgebende scannen den QR-Code der Organisation (ein Code für alle, an keine Person gebunden), schreiben ihre Meldung und erhalten sofort eine Fallnummer. Der Eingang wird automatisch bestätigt. Im Bildschirm „Mein Fall“ der App sehen sie Status und Fristen; Rückfragen und Antworten der zuständigen Person kommen im selben Gespräch an, ohne dass die meldende Person ihre Identität preisgeben muss. Der Zugang zum Gespräch hängt an der App auf dem Telefon der meldenden Person: Wer die App löscht oder das Telefon wechselt, verliert den Zugang zu diesem Gespräch (eine neue Meldung ist jederzeit möglich).</w:t>
      </w:r>
    </w:p>
    <w:p>
      <w:r>
        <w:t>Im Dashboard sieht die zuständige Person die Fristen farbig, etwa die Eingangsbestätigung binnen 7 Tagen und die Rückmeldung binnen 3 Monaten nach Art. 9 der Richtlinie 2019/1937. Die Einhaltung der Fristen bleibt Aufgabe der Organisation; unpruuf macht sie sichtbar.</w:t>
      </w:r>
    </w:p>
    <w:p>
      <w:r>
        <w:t>Zum Verdacht der internen Vertuschung: Fälle lassen sich vollständig als Datei exportieren und einzeln löschen. Das Löschen ist eine bewusste Handlung der zuständigen Person und dient der Datenminimierung und Speicherbegrenzung (Richtlinie 2019/1937 Art. 17 und 18, DSGVO Art. 5). Ein manipulationssicheres Prüfprotokoll, das ein nachträgliches Entfernen von Fällen sichtbar macht, gehört nicht zum heutigen Umfang. Wer eine solche Nachprüfbarkeit für Revision und Wirtschaftsprüfer verlangt, muss sie derzeit durch Export vor dem Löschen und eigene Aufbewahrung sicherstellen.</w:t>
      </w:r>
    </w:p>
    <w:p>
      <w:pPr>
        <w:pStyle w:val="Heading3"/>
      </w:pPr>
      <w:r>
        <w:rPr>
          <w:rFonts w:ascii="Open Sans" w:hAnsi="Open Sans"/>
          <w:color w:val="0F2A3A"/>
        </w:rPr>
        <w:t>Prozesskomplexität: geringe Hürde, aber nicht null</w:t>
      </w:r>
    </w:p>
    <w:p>
      <w:r>
        <w:t>Die operative Eintrittshürde ist auf das Nötige begrenzt, aber nicht gleich null. Hinweisgebende installieren einmal die App (heute für Android; eine iOS-Fassung ist in Arbeit), scannen den QR-Code der Organisation und schreiben ihre Meldung. Es gibt keine Registrierung, kein Kennwort, keine E-Mail-Adresse und keine Verifizierung. Wer nichts installieren kann oder will, kann eine Browser-Variante nutzen. Sie ist ein Notbehelf: Sie läuft ohne Tor und ohne die Geräteschutzfunktionen der App und trägt einen eigenen Hinweis. Die Hürde „Software installieren“ besteht für den Regelweg also, und sie sollte in der Einführung ehrlich benannt und erklärt werden (etwa mit dem QR-Code auf einem Aushang und einer Kurzanleitung).</w:t>
      </w:r>
    </w:p>
    <w:p>
      <w:pPr>
        <w:pStyle w:val="Heading3"/>
      </w:pPr>
      <w:r>
        <w:rPr>
          <w:rFonts w:ascii="Open Sans" w:hAnsi="Open Sans"/>
          <w:color w:val="0F2A3A"/>
        </w:rPr>
        <w:t>Sozialer Druck: geschützte Vorfeld-Kommunikation</w:t>
      </w:r>
    </w:p>
    <w:p>
      <w:r>
        <w:t>Um soziale Ächtung und Loyalitätskonflikte abzufangen, reicht ein formaler Meldekanal oft nicht aus, da Mitarbeiter vor einer offiziellen Meldung häufig Orientierung und informellen Rat suchen. An dieser Stelle greift das Zusammenspiel mit unpruuf Business, einer internen Kommunikationslösung, die ebenfalls ohne Benutzerkonten auskommt. Kontakte entstehen nur durch persönliches Scannen eines QR-Codes, also nur mit Menschen, denen man bewusst vertraut. Nachrichten bleiben auf dem Server höchstens 24 Stunden (Standard 6); danach sind sie für niemanden mehr lesbar und werden binnen etwa einer Minute auch aus den Dateien überschrieben. Auf dem Telefon werden Nachrichten nicht auf den Datenträger geschrieben, sie liegen nur im Arbeitsspeicher.</w:t>
      </w:r>
    </w:p>
    <w:p>
      <w:r>
        <w:t>Durch diese flüchtige Speicherung entstehen beim Betreiber keine dauerhaften Chat-Protokolle, wie sie in Standard-Collaboration-Tools anfallen und später gegen die Beteiligten verwendet werden könnten. Was Gesprächspartner selbst festhalten, etwa ein Foto vom Bildschirm, kann unpruuf nicht verhindern. Beschäftigte erhalten so einen geschützteren Raum, um Sachverhalte vor einer formellen Meldung zu klären.</w:t>
      </w:r>
    </w:p>
    <w:p>
      <w:pPr>
        <w:pStyle w:val="Heading2"/>
        <w:pBdr>
          <w:bottom w:val="single" w:sz="6" w:space="4" w:color="D9E4EA"/>
        </w:pBdr>
      </w:pPr>
      <w:r>
        <w:rPr>
          <w:rFonts w:ascii="Open Sans" w:hAnsi="Open Sans"/>
          <w:color w:val="0F2A3A"/>
        </w:rPr>
        <w:t>Vergleich: Konventionelle Meldekanäle, Standard-SaaS und unpruuf Compliance</w:t>
      </w:r>
    </w:p>
    <w:tbl>
      <w:tblPr>
        <w:tblW w:type="auto" w:w="0"/>
        <w:tblLook w:firstColumn="1" w:firstRow="1" w:lastColumn="0" w:lastRow="0" w:noHBand="0" w:noVBand="1" w:val="04A0"/>
        <w:tblBorders>
          <w:top w:val="single" w:sz="6" w:space="0" w:color="D9E4EA"/>
          <w:bottom w:val="single" w:sz="6" w:space="0" w:color="D9E4EA"/>
          <w:insideH w:val="single" w:sz="6" w:space="0" w:color="D9E4EA"/>
        </w:tblBorders>
      </w:tblPr>
      <w:tblGrid>
        <w:gridCol w:w="2436"/>
        <w:gridCol w:w="2436"/>
        <w:gridCol w:w="2436"/>
        <w:gridCol w:w="2436"/>
      </w:tblGrid>
      <w:tr>
        <w:tc>
          <w:tcPr>
            <w:tcW w:type="dxa" w:w="2436"/>
            <w:shd w:val="clear" w:color="auto" w:fill="F2F6F9"/>
          </w:tcPr>
          <w:p>
            <w:r>
              <w:rPr>
                <w:rFonts w:ascii="Open Sans" w:hAnsi="Open Sans"/>
                <w:b/>
                <w:sz w:val="17"/>
              </w:rPr>
            </w:r>
            <w:r>
              <w:rPr>
                <w:rFonts w:ascii="Open Sans" w:hAnsi="Open Sans"/>
                <w:b/>
                <w:sz w:val="17"/>
              </w:rPr>
              <w:t>Merkmal</w:t>
            </w:r>
          </w:p>
        </w:tc>
        <w:tc>
          <w:tcPr>
            <w:tcW w:type="dxa" w:w="2436"/>
            <w:shd w:val="clear" w:color="auto" w:fill="F2F6F9"/>
          </w:tcPr>
          <w:p>
            <w:r>
              <w:rPr>
                <w:rFonts w:ascii="Open Sans" w:hAnsi="Open Sans"/>
                <w:b/>
                <w:sz w:val="17"/>
              </w:rPr>
            </w:r>
            <w:r>
              <w:rPr>
                <w:rFonts w:ascii="Open Sans" w:hAnsi="Open Sans"/>
                <w:b/>
                <w:sz w:val="17"/>
              </w:rPr>
              <w:t>Traditionelle Kanäle (E-Mail, Telefon, Ombudsmann)</w:t>
            </w:r>
          </w:p>
        </w:tc>
        <w:tc>
          <w:tcPr>
            <w:tcW w:type="dxa" w:w="2436"/>
            <w:shd w:val="clear" w:color="auto" w:fill="F2F6F9"/>
          </w:tcPr>
          <w:p>
            <w:r>
              <w:rPr>
                <w:rFonts w:ascii="Open Sans" w:hAnsi="Open Sans"/>
                <w:b/>
                <w:sz w:val="17"/>
              </w:rPr>
            </w:r>
            <w:r>
              <w:rPr>
                <w:rFonts w:ascii="Open Sans" w:hAnsi="Open Sans"/>
                <w:b/>
                <w:sz w:val="17"/>
              </w:rPr>
              <w:t>Standardmäßige SaaS-Meldeportale</w:t>
            </w:r>
          </w:p>
        </w:tc>
        <w:tc>
          <w:tcPr>
            <w:tcW w:type="dxa" w:w="2436"/>
            <w:shd w:val="clear" w:color="auto" w:fill="F2F6F9"/>
          </w:tcPr>
          <w:p>
            <w:r>
              <w:rPr>
                <w:rFonts w:ascii="Open Sans" w:hAnsi="Open Sans"/>
                <w:b/>
                <w:sz w:val="17"/>
              </w:rPr>
            </w:r>
            <w:r>
              <w:rPr>
                <w:rFonts w:ascii="Open Sans" w:hAnsi="Open Sans"/>
                <w:b/>
                <w:sz w:val="17"/>
              </w:rPr>
              <w:t>unpruuf Compliance (mit unpruuf Business)</w:t>
            </w:r>
          </w:p>
        </w:tc>
      </w:tr>
      <w:tr>
        <w:tc>
          <w:tcPr>
            <w:tcW w:type="dxa" w:w="2436"/>
          </w:tcPr>
          <w:p>
            <w:r>
              <w:rPr>
                <w:rFonts w:ascii="Open Sans" w:hAnsi="Open Sans"/>
                <w:sz w:val="17"/>
              </w:rPr>
            </w:r>
            <w:r>
              <w:rPr>
                <w:rFonts w:ascii="Open Sans" w:hAnsi="Open Sans"/>
                <w:sz w:val="17"/>
              </w:rPr>
              <w:t>Infrastruktur und Serverhoheit</w:t>
            </w:r>
          </w:p>
        </w:tc>
        <w:tc>
          <w:tcPr>
            <w:tcW w:type="dxa" w:w="2436"/>
          </w:tcPr>
          <w:p>
            <w:r>
              <w:rPr>
                <w:rFonts w:ascii="Open Sans" w:hAnsi="Open Sans"/>
                <w:sz w:val="17"/>
              </w:rPr>
            </w:r>
            <w:r>
              <w:rPr>
                <w:rFonts w:ascii="Open Sans" w:hAnsi="Open Sans"/>
                <w:sz w:val="17"/>
              </w:rPr>
              <w:t>Interne Mailserver oder externe Telefonleitungen; Übertragung im Klartext.</w:t>
            </w:r>
          </w:p>
        </w:tc>
        <w:tc>
          <w:tcPr>
            <w:tcW w:type="dxa" w:w="2436"/>
          </w:tcPr>
          <w:p>
            <w:r>
              <w:rPr>
                <w:rFonts w:ascii="Open Sans" w:hAnsi="Open Sans"/>
                <w:sz w:val="17"/>
              </w:rPr>
            </w:r>
            <w:r>
              <w:rPr>
                <w:rFonts w:ascii="Open Sans" w:hAnsi="Open Sans"/>
                <w:sz w:val="17"/>
              </w:rPr>
              <w:t>Multi-Tenant-Cloud des Herstellers (häufig Hyperscaler mit Drittstaatentransfer).</w:t>
            </w:r>
          </w:p>
        </w:tc>
        <w:tc>
          <w:tcPr>
            <w:tcW w:type="dxa" w:w="2436"/>
          </w:tcPr>
          <w:p>
            <w:r>
              <w:rPr>
                <w:rFonts w:ascii="Open Sans" w:hAnsi="Open Sans"/>
                <w:sz w:val="17"/>
              </w:rPr>
            </w:r>
            <w:r>
              <w:rPr>
                <w:rFonts w:ascii="Open Sans" w:hAnsi="Open Sans"/>
                <w:sz w:val="17"/>
              </w:rPr>
              <w:t>Betrieb auf dem eigenen Server des Kundenunternehmens; NexonAI betreibt keine Server und hat keinen Zugriff.</w:t>
            </w:r>
          </w:p>
        </w:tc>
      </w:tr>
      <w:tr>
        <w:tc>
          <w:tcPr>
            <w:tcW w:type="dxa" w:w="2436"/>
          </w:tcPr>
          <w:p>
            <w:r>
              <w:rPr>
                <w:rFonts w:ascii="Open Sans" w:hAnsi="Open Sans"/>
                <w:sz w:val="17"/>
              </w:rPr>
            </w:r>
            <w:r>
              <w:rPr>
                <w:rFonts w:ascii="Open Sans" w:hAnsi="Open Sans"/>
                <w:sz w:val="17"/>
              </w:rPr>
              <w:t>Identitätsmanagement</w:t>
            </w:r>
          </w:p>
        </w:tc>
        <w:tc>
          <w:tcPr>
            <w:tcW w:type="dxa" w:w="2436"/>
          </w:tcPr>
          <w:p>
            <w:r>
              <w:rPr>
                <w:rFonts w:ascii="Open Sans" w:hAnsi="Open Sans"/>
                <w:sz w:val="17"/>
              </w:rPr>
            </w:r>
            <w:r>
              <w:rPr>
                <w:rFonts w:ascii="Open Sans" w:hAnsi="Open Sans"/>
                <w:sz w:val="17"/>
              </w:rPr>
              <w:t>Absenderdaten, IP-Header oder Telefonnummern prinzipbedingt sichtbar.</w:t>
            </w:r>
          </w:p>
        </w:tc>
        <w:tc>
          <w:tcPr>
            <w:tcW w:type="dxa" w:w="2436"/>
          </w:tcPr>
          <w:p>
            <w:r>
              <w:rPr>
                <w:rFonts w:ascii="Open Sans" w:hAnsi="Open Sans"/>
                <w:sz w:val="17"/>
              </w:rPr>
            </w:r>
            <w:r>
              <w:rPr>
                <w:rFonts w:ascii="Open Sans" w:hAnsi="Open Sans"/>
                <w:sz w:val="17"/>
              </w:rPr>
              <w:t>Häufig Profilregistrierung, E-Mail-Verifikation oder komplexe Passwörter.</w:t>
            </w:r>
          </w:p>
        </w:tc>
        <w:tc>
          <w:tcPr>
            <w:tcW w:type="dxa" w:w="2436"/>
          </w:tcPr>
          <w:p>
            <w:r>
              <w:rPr>
                <w:rFonts w:ascii="Open Sans" w:hAnsi="Open Sans"/>
                <w:sz w:val="17"/>
              </w:rPr>
            </w:r>
            <w:r>
              <w:rPr>
                <w:rFonts w:ascii="Open Sans" w:hAnsi="Open Sans"/>
                <w:sz w:val="17"/>
              </w:rPr>
              <w:t>Zero-Identity-Prinzip: keine Namen, keine E-Mails, keine Konten; keine Absenderadresse auf dem Server.</w:t>
            </w:r>
          </w:p>
        </w:tc>
      </w:tr>
      <w:tr>
        <w:tc>
          <w:tcPr>
            <w:tcW w:type="dxa" w:w="2436"/>
          </w:tcPr>
          <w:p>
            <w:r>
              <w:rPr>
                <w:rFonts w:ascii="Open Sans" w:hAnsi="Open Sans"/>
                <w:sz w:val="17"/>
              </w:rPr>
            </w:r>
            <w:r>
              <w:rPr>
                <w:rFonts w:ascii="Open Sans" w:hAnsi="Open Sans"/>
                <w:sz w:val="17"/>
              </w:rPr>
              <w:t>Aufwand für Meldende</w:t>
            </w:r>
          </w:p>
        </w:tc>
        <w:tc>
          <w:tcPr>
            <w:tcW w:type="dxa" w:w="2436"/>
          </w:tcPr>
          <w:p>
            <w:r>
              <w:rPr>
                <w:rFonts w:ascii="Open Sans" w:hAnsi="Open Sans"/>
                <w:sz w:val="17"/>
              </w:rPr>
            </w:r>
            <w:r>
              <w:rPr>
                <w:rFonts w:ascii="Open Sans" w:hAnsi="Open Sans"/>
                <w:sz w:val="17"/>
              </w:rPr>
              <w:t>Gering, aber ohne Schutz der Identität.</w:t>
            </w:r>
          </w:p>
        </w:tc>
        <w:tc>
          <w:tcPr>
            <w:tcW w:type="dxa" w:w="2436"/>
          </w:tcPr>
          <w:p>
            <w:r>
              <w:rPr>
                <w:rFonts w:ascii="Open Sans" w:hAnsi="Open Sans"/>
                <w:sz w:val="17"/>
              </w:rPr>
            </w:r>
            <w:r>
              <w:rPr>
                <w:rFonts w:ascii="Open Sans" w:hAnsi="Open Sans"/>
                <w:sz w:val="17"/>
              </w:rPr>
              <w:t>Browser, oft mit Registrierung.</w:t>
            </w:r>
          </w:p>
        </w:tc>
        <w:tc>
          <w:tcPr>
            <w:tcW w:type="dxa" w:w="2436"/>
          </w:tcPr>
          <w:p>
            <w:r>
              <w:rPr>
                <w:rFonts w:ascii="Open Sans" w:hAnsi="Open Sans"/>
                <w:sz w:val="17"/>
              </w:rPr>
            </w:r>
            <w:r>
              <w:rPr>
                <w:rFonts w:ascii="Open Sans" w:hAnsi="Open Sans"/>
                <w:sz w:val="17"/>
              </w:rPr>
              <w:t>App einmal installieren (Android), QR-Code der Organisation scannen; kein Konto. Browser-Variante als Notbehelf.</w:t>
            </w:r>
          </w:p>
        </w:tc>
      </w:tr>
      <w:tr>
        <w:tc>
          <w:tcPr>
            <w:tcW w:type="dxa" w:w="2436"/>
          </w:tcPr>
          <w:p>
            <w:r>
              <w:rPr>
                <w:rFonts w:ascii="Open Sans" w:hAnsi="Open Sans"/>
                <w:sz w:val="17"/>
              </w:rPr>
            </w:r>
            <w:r>
              <w:rPr>
                <w:rFonts w:ascii="Open Sans" w:hAnsi="Open Sans"/>
                <w:sz w:val="17"/>
              </w:rPr>
              <w:t>Rückkanal für Rückfragen</w:t>
            </w:r>
          </w:p>
        </w:tc>
        <w:tc>
          <w:tcPr>
            <w:tcW w:type="dxa" w:w="2436"/>
          </w:tcPr>
          <w:p>
            <w:r>
              <w:rPr>
                <w:rFonts w:ascii="Open Sans" w:hAnsi="Open Sans"/>
                <w:sz w:val="17"/>
              </w:rPr>
            </w:r>
            <w:r>
              <w:rPr>
                <w:rFonts w:ascii="Open Sans" w:hAnsi="Open Sans"/>
                <w:sz w:val="17"/>
              </w:rPr>
              <w:t>Unsicher oder erfordert Identitätsoffenbarung; oft Bruch der Vertraulichkeit.</w:t>
            </w:r>
          </w:p>
        </w:tc>
        <w:tc>
          <w:tcPr>
            <w:tcW w:type="dxa" w:w="2436"/>
          </w:tcPr>
          <w:p>
            <w:r>
              <w:rPr>
                <w:rFonts w:ascii="Open Sans" w:hAnsi="Open Sans"/>
                <w:sz w:val="17"/>
              </w:rPr>
            </w:r>
            <w:r>
              <w:rPr>
                <w:rFonts w:ascii="Open Sans" w:hAnsi="Open Sans"/>
                <w:sz w:val="17"/>
              </w:rPr>
              <w:t>Proprietäre Postfächer, oft mit Registrierung oder Nutzerkennung gekoppelt.</w:t>
            </w:r>
          </w:p>
        </w:tc>
        <w:tc>
          <w:tcPr>
            <w:tcW w:type="dxa" w:w="2436"/>
          </w:tcPr>
          <w:p>
            <w:r>
              <w:rPr>
                <w:rFonts w:ascii="Open Sans" w:hAnsi="Open Sans"/>
                <w:sz w:val="17"/>
              </w:rPr>
            </w:r>
            <w:r>
              <w:rPr>
                <w:rFonts w:ascii="Open Sans" w:hAnsi="Open Sans"/>
                <w:sz w:val="17"/>
              </w:rPr>
              <w:t>Zwei-Wege-Gespräch in der App über die Fallnummer, ohne Konto und ohne Identität.</w:t>
            </w:r>
          </w:p>
        </w:tc>
      </w:tr>
      <w:tr>
        <w:tc>
          <w:tcPr>
            <w:tcW w:type="dxa" w:w="2436"/>
          </w:tcPr>
          <w:p>
            <w:r>
              <w:rPr>
                <w:rFonts w:ascii="Open Sans" w:hAnsi="Open Sans"/>
                <w:sz w:val="17"/>
              </w:rPr>
            </w:r>
            <w:r>
              <w:rPr>
                <w:rFonts w:ascii="Open Sans" w:hAnsi="Open Sans"/>
                <w:sz w:val="17"/>
              </w:rPr>
              <w:t>Fristen und Verfahrenstransparenz</w:t>
            </w:r>
          </w:p>
        </w:tc>
        <w:tc>
          <w:tcPr>
            <w:tcW w:type="dxa" w:w="2436"/>
          </w:tcPr>
          <w:p>
            <w:r>
              <w:rPr>
                <w:rFonts w:ascii="Open Sans" w:hAnsi="Open Sans"/>
                <w:sz w:val="17"/>
              </w:rPr>
            </w:r>
            <w:r>
              <w:rPr>
                <w:rFonts w:ascii="Open Sans" w:hAnsi="Open Sans"/>
                <w:sz w:val="17"/>
              </w:rPr>
              <w:t>Manuell in Excel oder Postfächern; fehleranfällig und für Melder intransparent.</w:t>
            </w:r>
          </w:p>
        </w:tc>
        <w:tc>
          <w:tcPr>
            <w:tcW w:type="dxa" w:w="2436"/>
          </w:tcPr>
          <w:p>
            <w:r>
              <w:rPr>
                <w:rFonts w:ascii="Open Sans" w:hAnsi="Open Sans"/>
                <w:sz w:val="17"/>
              </w:rPr>
            </w:r>
            <w:r>
              <w:rPr>
                <w:rFonts w:ascii="Open Sans" w:hAnsi="Open Sans"/>
                <w:sz w:val="17"/>
              </w:rPr>
              <w:t>Workflow-gestützt, Transparenz für den Melder variiert stark je nach Modul.</w:t>
            </w:r>
          </w:p>
        </w:tc>
        <w:tc>
          <w:tcPr>
            <w:tcW w:type="dxa" w:w="2436"/>
          </w:tcPr>
          <w:p>
            <w:r>
              <w:rPr>
                <w:rFonts w:ascii="Open Sans" w:hAnsi="Open Sans"/>
                <w:sz w:val="17"/>
              </w:rPr>
            </w:r>
            <w:r>
              <w:rPr>
                <w:rFonts w:ascii="Open Sans" w:hAnsi="Open Sans"/>
                <w:sz w:val="17"/>
              </w:rPr>
              <w:t>Fristen farbig im Dashboard; Melder sieht Status und Fristen im Bildschirm „Mein Fall“.</w:t>
            </w:r>
          </w:p>
        </w:tc>
      </w:tr>
      <w:tr>
        <w:tc>
          <w:tcPr>
            <w:tcW w:type="dxa" w:w="2436"/>
          </w:tcPr>
          <w:p>
            <w:r>
              <w:rPr>
                <w:rFonts w:ascii="Open Sans" w:hAnsi="Open Sans"/>
                <w:sz w:val="17"/>
              </w:rPr>
            </w:r>
            <w:r>
              <w:rPr>
                <w:rFonts w:ascii="Open Sans" w:hAnsi="Open Sans"/>
                <w:sz w:val="17"/>
              </w:rPr>
              <w:t>Nachprüfbarkeit des Archivs</w:t>
            </w:r>
          </w:p>
        </w:tc>
        <w:tc>
          <w:tcPr>
            <w:tcW w:type="dxa" w:w="2436"/>
          </w:tcPr>
          <w:p>
            <w:r>
              <w:rPr>
                <w:rFonts w:ascii="Open Sans" w:hAnsi="Open Sans"/>
                <w:sz w:val="17"/>
              </w:rPr>
            </w:r>
            <w:r>
              <w:rPr>
                <w:rFonts w:ascii="Open Sans" w:hAnsi="Open Sans"/>
                <w:sz w:val="17"/>
              </w:rPr>
              <w:t>Mangelhaft; Mails und Dokumente können gelöscht oder manipuliert werden.</w:t>
            </w:r>
          </w:p>
        </w:tc>
        <w:tc>
          <w:tcPr>
            <w:tcW w:type="dxa" w:w="2436"/>
          </w:tcPr>
          <w:p>
            <w:r>
              <w:rPr>
                <w:rFonts w:ascii="Open Sans" w:hAnsi="Open Sans"/>
                <w:sz w:val="17"/>
              </w:rPr>
            </w:r>
            <w:r>
              <w:rPr>
                <w:rFonts w:ascii="Open Sans" w:hAnsi="Open Sans"/>
                <w:sz w:val="17"/>
              </w:rPr>
              <w:t>Standard-Datenbankarchivierung; manuelle Löschung administrativ oft möglich.</w:t>
            </w:r>
          </w:p>
        </w:tc>
        <w:tc>
          <w:tcPr>
            <w:tcW w:type="dxa" w:w="2436"/>
          </w:tcPr>
          <w:p>
            <w:r>
              <w:rPr>
                <w:rFonts w:ascii="Open Sans" w:hAnsi="Open Sans"/>
                <w:sz w:val="17"/>
              </w:rPr>
            </w:r>
            <w:r>
              <w:rPr>
                <w:rFonts w:ascii="Open Sans" w:hAnsi="Open Sans"/>
                <w:sz w:val="17"/>
              </w:rPr>
              <w:t>Fälle exportier- und einzeln löschbar (Datenminimierung); kein manipulationssicheres Prüfprotokoll im heutigen Umfang.</w:t>
            </w:r>
          </w:p>
        </w:tc>
      </w:tr>
      <w:tr>
        <w:tc>
          <w:tcPr>
            <w:tcW w:type="dxa" w:w="2436"/>
          </w:tcPr>
          <w:p>
            <w:r>
              <w:rPr>
                <w:rFonts w:ascii="Open Sans" w:hAnsi="Open Sans"/>
                <w:sz w:val="17"/>
              </w:rPr>
            </w:r>
            <w:r>
              <w:rPr>
                <w:rFonts w:ascii="Open Sans" w:hAnsi="Open Sans"/>
                <w:sz w:val="17"/>
              </w:rPr>
              <w:t>Vorfeld- und Teamkommunikation</w:t>
            </w:r>
          </w:p>
        </w:tc>
        <w:tc>
          <w:tcPr>
            <w:tcW w:type="dxa" w:w="2436"/>
          </w:tcPr>
          <w:p>
            <w:r>
              <w:rPr>
                <w:rFonts w:ascii="Open Sans" w:hAnsi="Open Sans"/>
                <w:sz w:val="17"/>
              </w:rPr>
            </w:r>
            <w:r>
              <w:rPr>
                <w:rFonts w:ascii="Open Sans" w:hAnsi="Open Sans"/>
                <w:sz w:val="17"/>
              </w:rPr>
              <w:t>Unverschlüsselte Mails oder persistente Chats mit IT-Zugriffsmöglichkeit.</w:t>
            </w:r>
          </w:p>
        </w:tc>
        <w:tc>
          <w:tcPr>
            <w:tcW w:type="dxa" w:w="2436"/>
          </w:tcPr>
          <w:p>
            <w:r>
              <w:rPr>
                <w:rFonts w:ascii="Open Sans" w:hAnsi="Open Sans"/>
                <w:sz w:val="17"/>
              </w:rPr>
            </w:r>
            <w:r>
              <w:rPr>
                <w:rFonts w:ascii="Open Sans" w:hAnsi="Open Sans"/>
                <w:sz w:val="17"/>
              </w:rPr>
              <w:t>Keine Funktionen für informelle Vorfeld-Abstimmungen vorhanden.</w:t>
            </w:r>
          </w:p>
        </w:tc>
        <w:tc>
          <w:tcPr>
            <w:tcW w:type="dxa" w:w="2436"/>
          </w:tcPr>
          <w:p>
            <w:r>
              <w:rPr>
                <w:rFonts w:ascii="Open Sans" w:hAnsi="Open Sans"/>
                <w:sz w:val="17"/>
              </w:rPr>
            </w:r>
            <w:r>
              <w:rPr>
                <w:rFonts w:ascii="Open Sans" w:hAnsi="Open Sans"/>
                <w:sz w:val="17"/>
              </w:rPr>
              <w:t>unpruuf Business: Gespräche ohne Konten; Pakete auf dem Server höchstens 24 Stunden (Standard 6).</w:t>
            </w:r>
          </w:p>
        </w:tc>
      </w:tr>
      <w:tr>
        <w:tc>
          <w:tcPr>
            <w:tcW w:type="dxa" w:w="2436"/>
          </w:tcPr>
          <w:p>
            <w:r>
              <w:rPr>
                <w:rFonts w:ascii="Open Sans" w:hAnsi="Open Sans"/>
                <w:sz w:val="17"/>
              </w:rPr>
            </w:r>
            <w:r>
              <w:rPr>
                <w:rFonts w:ascii="Open Sans" w:hAnsi="Open Sans"/>
                <w:sz w:val="17"/>
              </w:rPr>
              <w:t>Rechtliche Einordnung (HinSchG / EU-Richtlinie)</w:t>
            </w:r>
          </w:p>
        </w:tc>
        <w:tc>
          <w:tcPr>
            <w:tcW w:type="dxa" w:w="2436"/>
          </w:tcPr>
          <w:p>
            <w:r>
              <w:rPr>
                <w:rFonts w:ascii="Open Sans" w:hAnsi="Open Sans"/>
                <w:sz w:val="17"/>
              </w:rPr>
            </w:r>
            <w:r>
              <w:rPr>
                <w:rFonts w:ascii="Open Sans" w:hAnsi="Open Sans"/>
                <w:sz w:val="17"/>
              </w:rPr>
              <w:t>Oft unzureichend bezüglich Datenschutz und Vertraulichkeitsschutz.</w:t>
            </w:r>
          </w:p>
        </w:tc>
        <w:tc>
          <w:tcPr>
            <w:tcW w:type="dxa" w:w="2436"/>
          </w:tcPr>
          <w:p>
            <w:r>
              <w:rPr>
                <w:rFonts w:ascii="Open Sans" w:hAnsi="Open Sans"/>
                <w:sz w:val="17"/>
              </w:rPr>
            </w:r>
            <w:r>
              <w:rPr>
                <w:rFonts w:ascii="Open Sans" w:hAnsi="Open Sans"/>
                <w:sz w:val="17"/>
              </w:rPr>
              <w:t>Formal gesetzeskonform, oft jedoch mit datenschutzrechtlichen Bedenken wegen US-Cloud.</w:t>
            </w:r>
          </w:p>
        </w:tc>
        <w:tc>
          <w:tcPr>
            <w:tcW w:type="dxa" w:w="2436"/>
          </w:tcPr>
          <w:p>
            <w:r>
              <w:rPr>
                <w:rFonts w:ascii="Open Sans" w:hAnsi="Open Sans"/>
                <w:sz w:val="17"/>
              </w:rPr>
            </w:r>
            <w:r>
              <w:rPr>
                <w:rFonts w:ascii="Open Sans" w:hAnsi="Open Sans"/>
                <w:sz w:val="17"/>
              </w:rPr>
              <w:t>Die Architektur unterstützt die Anforderungen an Vertraulichkeit und Datenminimierung (Richtlinie Art. 16 bis 18, DSGVO Art. 5, 25, 32). Die rechtliche Einordnung bestätigt ein Jurist oder der Datenschutzbeauftragte der Organisation.</w:t>
            </w:r>
          </w:p>
        </w:tc>
      </w:tr>
      <w:tr>
        <w:tc>
          <w:tcPr>
            <w:tcW w:type="dxa" w:w="2436"/>
          </w:tcPr>
          <w:p>
            <w:r>
              <w:rPr>
                <w:rFonts w:ascii="DejaVu Sans Mono" w:hAnsi="DejaVu Sans Mono"/>
                <w:color w:val="307098"/>
                <w:sz w:val="17"/>
              </w:rPr>
            </w:r>
            <w:r>
              <w:rPr>
                <w:rFonts w:ascii="DejaVu Sans Mono" w:hAnsi="DejaVu Sans Mono"/>
                <w:color w:val="307098"/>
                <w:sz w:val="17"/>
              </w:rPr>
              <w:t>Reifegrad</w:t>
            </w:r>
          </w:p>
        </w:tc>
        <w:tc>
          <w:tcPr>
            <w:tcW w:type="dxa" w:w="2436"/>
          </w:tcPr>
          <w:p>
            <w:r>
              <w:rPr>
                <w:rFonts w:ascii="Open Sans" w:hAnsi="Open Sans"/>
                <w:sz w:val="17"/>
              </w:rPr>
            </w:r>
            <w:r>
              <w:rPr>
                <w:rFonts w:ascii="Open Sans" w:hAnsi="Open Sans"/>
                <w:sz w:val="17"/>
              </w:rPr>
              <w:t>Etabliert.</w:t>
            </w:r>
          </w:p>
        </w:tc>
        <w:tc>
          <w:tcPr>
            <w:tcW w:type="dxa" w:w="2436"/>
          </w:tcPr>
          <w:p>
            <w:r>
              <w:rPr>
                <w:rFonts w:ascii="Open Sans" w:hAnsi="Open Sans"/>
                <w:sz w:val="17"/>
              </w:rPr>
            </w:r>
            <w:r>
              <w:rPr>
                <w:rFonts w:ascii="Open Sans" w:hAnsi="Open Sans"/>
                <w:sz w:val="17"/>
              </w:rPr>
              <w:t>Etabliert, mit Referenzen und Zertifizierungen.</w:t>
            </w:r>
          </w:p>
        </w:tc>
        <w:tc>
          <w:tcPr>
            <w:tcW w:type="dxa" w:w="2436"/>
          </w:tcPr>
          <w:p>
            <w:r>
              <w:rPr>
                <w:rFonts w:ascii="Open Sans" w:hAnsi="Open Sans"/>
                <w:sz w:val="17"/>
              </w:rPr>
            </w:r>
            <w:r>
              <w:rPr>
                <w:rFonts w:ascii="Open Sans" w:hAnsi="Open Sans"/>
                <w:sz w:val="17"/>
              </w:rPr>
              <w:t>Pilotphase; nicht unabhängig auditiert; keine Referenzkunden.</w:t>
            </w:r>
          </w:p>
        </w:tc>
      </w:tr>
    </w:tbl>
    <w:p/>
    <w:p>
      <w:pPr>
        <w:pStyle w:val="Heading2"/>
        <w:pBdr>
          <w:bottom w:val="single" w:sz="6" w:space="4" w:color="D9E4EA"/>
        </w:pBdr>
      </w:pPr>
      <w:r>
        <w:rPr>
          <w:rFonts w:ascii="Open Sans" w:hAnsi="Open Sans"/>
          <w:color w:val="0F2A3A"/>
        </w:rPr>
        <w:t>Strategische Governance-Implikationen</w:t>
      </w:r>
    </w:p>
    <w:p>
      <w:r>
        <w:t>Die Gegenüberstellung der empirischen Barrieren mit der Systemarchitektur verdeutlicht grundlegende Zusammenhänge für das Compliance-Management. Die Befunde der Fachhochschule Graubünden widerlegen das weitverbreitete Vorurteil, dass anonyme Meldekanäle zu einer Flut bösartiger Verleumdungen führten: Der Anteil missbräuchlicher Meldungen liegt stabil bei rund 11 Prozent und weicht nicht zwischen anonymen und identifizierbaren Systemen ab. Der entscheidende Hebel liegt vielmehr in der Schadensbegrenzung. Wenn Unternehmen Barrieren abbauen, decken Hinweisgeber Missstände im Durchschnitt deutlich früher auf. Laut Whistleblowing Report 2025 konnten Unternehmen mit funktionierenden Meldesystemen über die Hälfte der finanziellen Schäden frühzeitig abwenden.</w:t>
      </w:r>
    </w:p>
    <w:p>
      <w:r>
        <w:t>Der Erfolg eines Meldesystems bemisst sich daher nicht an seiner Existenz, sondern an der psychologischen Sicherheit, die seine technische Architektur vermittelt. Standardlösungen, die Anonymität lediglich als organisatorisches Versprechen behandeln, scheitern an den tief sitzenden Ängsten der Beschäftigten. Die strukturelle Trennung von Identität und Fallbearbeitung, der Betrieb auf dem eigenen Server und ein Rückkanal ohne Konto bilden die funktionale Grundlage, um die Hürden der Angst und der Futilität zu senken.</w:t>
      </w:r>
    </w:p>
    <w:p>
      <w:pPr>
        <w:pStyle w:val="Heading2"/>
        <w:pBdr>
          <w:bottom w:val="single" w:sz="6" w:space="4" w:color="D9E4EA"/>
        </w:pBdr>
      </w:pPr>
      <w:r>
        <w:rPr>
          <w:rFonts w:ascii="Open Sans" w:hAnsi="Open Sans"/>
          <w:color w:val="0F2A3A"/>
        </w:rPr>
        <w:t>Fazit</w:t>
      </w:r>
    </w:p>
    <w:p>
      <w:r>
        <w:t>Die empirische Datenlage zeigt, dass Whistleblower-Systeme selten an rechtlichen Defiziten scheitern, sondern primär am Vertrauensmangel der Belegschaft bezüglich Repressalienschutz, technischer Anonymität und Verfahrenswirksamkeit. Konventionelle Meldekanäle und fremdgehostete Standard-Tools verstärken diese Vorbehalte häufig durch Metadaten-Persistenz und Kontozwänge.</w:t>
      </w:r>
    </w:p>
    <w:p>
      <w:r>
        <w:t>unpruuf Compliance adressiert die fünf dominierenden Hürden durch eine Datenschutz- und Sicherheitsarchitektur, die auf Datensparsamkeit ausgelegt ist: das Zero-Identity-Prinzip, den Rückkanal über die Fallnummer in der App, sichtbare Fristen und den Betrieb auf dem eigenen Server, dazu in unpruuf Business die flüchtige Kommunikation mit höchstens 24 Stunden Lebensdauer auf dem Server. Damit senkt das System das persönliche Risiko der Hinweisabgabe und schafft eine Grundlage für verlässliche organisatorische Integrität. Es ersetzt nicht die Verantwortung der Organisation, Hinweise ernsthaft zu prüfen und Hinweisgebende vor Repressalien zu schützen.</w:t>
      </w:r>
    </w:p>
    <w:p>
      <w:pPr>
        <w:pStyle w:val="Heading2"/>
        <w:pBdr>
          <w:bottom w:val="single" w:sz="6" w:space="4" w:color="D9E4EA"/>
        </w:pBdr>
      </w:pPr>
      <w:r>
        <w:rPr>
          <w:rFonts w:ascii="Open Sans" w:hAnsi="Open Sans"/>
          <w:color w:val="0F2A3A"/>
        </w:rPr>
        <w:t>Stand und Grenzen</w:t>
      </w:r>
    </w:p>
    <w:p>
      <w:pPr>
        <w:pStyle w:val="ListBullet"/>
      </w:pPr>
      <w:r>
        <w:t xml:space="preserve">unpruuf Compliance befindet sich in der Pilotphase und ist </w:t>
      </w:r>
      <w:r>
        <w:rPr>
          <w:b/>
        </w:rPr>
        <w:t>nicht unabhängig auditiert</w:t>
      </w:r>
      <w:r>
        <w:t>. Eine interne Sicherheitsprüfung und ein Nachweispaket liegen vor; ein unabhängiger Prüfbericht steht aus. Bis dahin sind alle Aussagen zu Sicherheit und Datenschutz Aussagen des Herstellers.</w:t>
      </w:r>
    </w:p>
    <w:p>
      <w:pPr>
        <w:pStyle w:val="ListBullet"/>
      </w:pPr>
      <w:r>
        <w:t>Nicht auf einem echten Telefon und nicht im echten Tor-Netz erprobt (Stand 27. Oktober 2026). Die Browser-Variante bietet weniger Schutz als die App.</w:t>
      </w:r>
    </w:p>
    <w:p>
      <w:pPr>
        <w:pStyle w:val="ListBullet"/>
      </w:pPr>
      <w:r>
        <w:t>Die Einordnung als gesetzeskonformer interner Meldekanal prüft die Organisation mit ihrem Juristen oder Datenschutzbeauftragten. In Rumänien (Gesetz 361/2022) ist der Stand zu anonymen Meldungen offen; es sollte nicht behauptet werden, sie seien vorgeschrieben.</w:t>
      </w:r>
    </w:p>
    <w:p>
      <w:pPr>
        <w:pStyle w:val="ListBullet"/>
      </w:pPr>
      <w:r>
        <w:t>Die Kennzahlen zu Hürden und Verfahrensdauer stammen aus den genannten Fremdstudien und wurden hier nicht neu geprüft.</w:t>
      </w:r>
    </w:p>
    <w:p>
      <w:pPr>
        <w:pStyle w:val="Heading2"/>
        <w:pBdr>
          <w:bottom w:val="single" w:sz="6" w:space="4" w:color="D9E4EA"/>
        </w:pBdr>
      </w:pPr>
      <w:r>
        <w:rPr>
          <w:rFonts w:ascii="Open Sans" w:hAnsi="Open Sans"/>
          <w:color w:val="0F2A3A"/>
        </w:rPr>
        <w:t>Quellenangaben</w:t>
      </w:r>
    </w:p>
    <w:p>
      <w:pPr>
        <w:pStyle w:val="ListNumber"/>
      </w:pPr>
      <w:r>
        <w:t>unpruuf | Kommunikation in eigener Hand, https://nexonai.ro/</w:t>
      </w:r>
    </w:p>
    <w:p>
      <w:pPr>
        <w:pStyle w:val="ListNumber"/>
      </w:pPr>
      <w:r>
        <w:t>Betriebs-Berater Compliance 5 / 2022, https://www.kms-law.de/assets/downloadcenter/Hinweisgeberschutz-durch-Vertrauensanwaelte-CB-Mai-2022.pdf</w:t>
      </w:r>
    </w:p>
    <w:p>
      <w:pPr>
        <w:pStyle w:val="ListNumber"/>
      </w:pPr>
      <w:r>
        <w:t>Whistleblowing Report 2025 - Fachhochschule Graubünden, https://www.fhgr.ch/news/newsdetail/whistleblowing-report-2025/</w:t>
      </w:r>
    </w:p>
    <w:p>
      <w:pPr>
        <w:pStyle w:val="ListNumber"/>
      </w:pPr>
      <w:r>
        <w:t>ECI's 2023 Global Business Ethics Survey Reveals Harsh Realities, https://www.navex.com/en-us/blog/article/ecis-2023-global-business-ethics-survey-reveals-harsh-realities-about-ec-programs/</w:t>
      </w:r>
    </w:p>
    <w:p>
      <w:pPr>
        <w:pStyle w:val="ListNumber"/>
      </w:pPr>
      <w:r>
        <w:t>The NAVEX 2025 Whistleblowing Benchmark Report Highlights, https://www.accessnewswire.com/newsroom/en/computers-technology-and-internet/the-navex-2025-whistleblowing-benchmark-report-highlights-signifi-1001590</w:t>
      </w:r>
    </w:p>
    <w:p>
      <w:pPr>
        <w:pStyle w:val="ListNumber"/>
      </w:pPr>
      <w:r>
        <w:t>Whistleblowing Report 2025: 40 Prozent der deutschen ... - EQS News, https://www.eqs-news.com/news/corporate/whistleblowing-report-2025-40-prozent-der-deutschen-unternehmen-berichten-von-missstanden-in-ihrer-organisation-oder-lieferkette/4b7c0c98-f5e6-478b-bbda-e1299c874c57</w:t>
      </w:r>
    </w:p>
    <w:p>
      <w:pPr>
        <w:pStyle w:val="ListNumber"/>
      </w:pPr>
      <w:r>
        <w:t>Global Business Ethics Survey 2018 Q4 Final - Scribd, https://www.scribd.com/document/415639865/Global-Business-Ethics-Survey-2018-Q4-Final</w:t>
      </w:r>
    </w:p>
    <w:p>
      <w:pPr>
        <w:pStyle w:val="ListNumber"/>
      </w:pPr>
      <w:r>
        <w:t>EQS Integrity Line: Hinweisgebersystem-Software &amp; Fallmanagement, https://www.eqs.com/de/compliance-management-platform/integrity-line-whistleblower-software/</w:t>
      </w:r>
    </w:p>
    <w:p>
      <w:pPr>
        <w:pStyle w:val="ListNumber"/>
      </w:pPr>
      <w:r>
        <w:t>CFI CBCA Professional Ethics Exam Questions and Answers, https://www.docsity.com/en/docs/cfi-cbca-professional-ethics-exam-questions-and-answers-verified-solutions-100percent-guaranteed/18809102/</w:t>
      </w:r>
    </w:p>
    <w:p>
      <w:pPr>
        <w:pStyle w:val="ListNumber"/>
      </w:pPr>
      <w:r>
        <w:t>With Retaliation on the Rise, How Can You Maintain a Culture of, https://www.corporatecomplianceinsights.com/retaliation-culture-integrity/</w:t>
      </w:r>
    </w:p>
    <w:p>
      <w:pPr>
        <w:pStyle w:val="ListNumber"/>
      </w:pPr>
      <w:r>
        <w:t>2026 Whistleblowing Statistics &amp; Benchmarking - NAVEX, https://www.navex.com/en-us/northstar/whistleblowing-statistics-benchmark-report/</w:t>
      </w:r>
    </w:p>
    <w:p>
      <w:pPr>
        <w:pStyle w:val="ListNumber"/>
      </w:pPr>
      <w:r>
        <w:t>2025 Whistleblowing Statistics &amp; Benchmarking - NAVEX, https://www.navex.com/en-us/northstar/whistleblowing-statistics-benchmark-report-2025/</w:t>
      </w:r>
    </w:p>
    <w:p>
      <w:pPr>
        <w:pStyle w:val="ListNumber"/>
      </w:pPr>
      <w:r>
        <w:t>Inhalt - Fachmedien Recht und Wirtschaft, https://www.ruw.de/news/media/2/Compliance--Oktober-2025-17522.pdf</w:t>
      </w:r>
    </w:p>
    <w:p>
      <w:pPr>
        <w:pStyle w:val="ListNumber"/>
      </w:pPr>
      <w:r>
        <w:t>2018-ECI-GBES-Measuring-Impact-Ethics-Compliance-Programs.pdf, https://cdn.eci-insights.com/2018-ECI-GBES-Measuring-Impact-Ethics-Compliance-Programs.pdf</w:t>
      </w:r>
    </w:p>
    <w:p>
      <w:pPr>
        <w:pStyle w:val="ListNumber"/>
      </w:pPr>
      <w:r>
        <w:t>The Whistleblowing Process - NAVEX, https://www.navex.com/en-us/platform/employee-compliance/whistleblowing-process/</w:t>
      </w:r>
    </w:p>
    <w:p>
      <w:pPr>
        <w:pStyle w:val="ListNumber"/>
      </w:pPr>
      <w:r>
        <w:t>Blogartikel: Aufsichtsräte und Hinweisgeberschutz, https://www.integrityline.com/de/knowhow/blog/aufsichtsrat-hinweisgeberschutz/</w:t>
      </w:r>
    </w:p>
    <w:p>
      <w:pPr>
        <w:pStyle w:val="ListNumber"/>
      </w:pPr>
      <w:r>
        <w:t>Compliance Corner – Issue 3.2 - VCU Blogs, https://blogs.vcu.edu/ico/2024/03/01/compliance-corner-issue-3-2/</w:t>
      </w:r>
    </w:p>
    <w:p>
      <w:pPr>
        <w:pStyle w:val="ListNumber"/>
      </w:pPr>
      <w:r>
        <w:t>Whistleblowing and Incident Management Benchmark Report, https://cdn.lawreportgroup.com/acuris/files/ACR-New/2025_03%20Navex%20Benchmark%20Survey%20Report.pdf</w:t>
      </w:r>
    </w:p>
    <w:p>
      <w:pPr>
        <w:pStyle w:val="ListNumber"/>
      </w:pPr>
      <w:r>
        <w:t>Whistleblower - das sollten Sie jetzt wissen [inkl. On-demand Webinar], https://www.dataguard.de/blog/whistleblower</w:t>
      </w:r>
    </w:p>
    <w:p>
      <w:pPr>
        <w:pStyle w:val="ListNumber"/>
      </w:pPr>
      <w:r>
        <w:t>Effizientes Compliance-System für Schweizer KMU, https://www.juridissimo.ch/wie-bauen-sie-ein-schlankes-compliance-system-auf-das-auch-fur-kleinbetriebe-bezahlbar-ist/</w:t>
      </w:r>
    </w:p>
    <w:p>
      <w:pPr>
        <w:pStyle w:val="ListNumber"/>
      </w:pPr>
      <w:r>
        <w:t>Besonders KMU unterschätzen das Risiko unentdeckter Missstände, https://www.beobachter.ch/gesellschaft/besonders-kmu-unterschatzen-das-risiko-unentdeckter-missstande-867391</w:t>
      </w:r>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Open Sans" w:hAnsi="Open Sans"/>
        <w:color w:val="4A5A66"/>
        <w:sz w:val="16"/>
      </w:rPr>
      <w:t>NexonAI Consulting SRL, Alba Iulia  ·  pilot phase, not independently audited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9E4EA"/>
      </w:pBdr>
    </w:pPr>
    <w:r>
      <w:drawing>
        <wp:inline xmlns:a="http://schemas.openxmlformats.org/drawingml/2006/main" xmlns:pic="http://schemas.openxmlformats.org/drawingml/2006/picture">
          <wp:extent cx="1026367" cy="396000"/>
          <wp:docPr id="1" name="Picture 1"/>
          <wp:cNvGraphicFramePr>
            <a:graphicFrameLocks noChangeAspect="1"/>
          </wp:cNvGraphicFramePr>
          <a:graphic>
            <a:graphicData uri="http://schemas.openxmlformats.org/drawingml/2006/picture">
              <pic:pic>
                <pic:nvPicPr>
                  <pic:cNvPr id="0" name="nexonai-logo.png"/>
                  <pic:cNvPicPr/>
                </pic:nvPicPr>
                <pic:blipFill>
                  <a:blip r:embed="rId1"/>
                  <a:stretch>
                    <a:fillRect/>
                  </a:stretch>
                </pic:blipFill>
                <pic:spPr>
                  <a:xfrm>
                    <a:off x="0" y="0"/>
                    <a:ext cx="1026367" cy="396000"/>
                  </a:xfrm>
                  <a:prstGeom prst="rect"/>
                </pic:spPr>
              </pic:pic>
            </a:graphicData>
          </a:graphic>
        </wp:inline>
      </w:drawing>
    </w:r>
    <w:r>
      <w:rPr>
        <w:rFonts w:ascii="Open Sans" w:hAnsi="Open Sans"/>
        <w:b/>
        <w:color w:val="0F2A3A"/>
        <w:sz w:val="30"/>
      </w:rPr>
      <w:t xml:space="preserve">   |   unpruuf</w:t>
    </w:r>
    <w:r>
      <w:rPr>
        <w:rFonts w:ascii="Open Sans" w:hAnsi="Open Sans"/>
        <w:b/>
        <w:color w:val="307098"/>
        <w:sz w:val="30"/>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eastAsia="Open Sans"/>
      <w:color w:val="0F2A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cs="Open Sans" w:eastAsia="Open Sans"/>
      <w:b/>
      <w:bCs/>
      <w:color w:val="0F2A3A"/>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cs="Open Sans" w:eastAsia="Open Sans"/>
      <w:b/>
      <w:bCs/>
      <w:color w:val="0F2A3A"/>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cs="Open Sans" w:eastAsia="Open Sans"/>
      <w:b/>
      <w:bCs/>
      <w:color w:val="0F2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Open Sans" w:hAnsi="Open Sans" w:cs="Open Sans" w:eastAsia="Open Sans"/>
      <w:color w:val="0F2A3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Open Sans" w:hAnsi="Open Sans" w:cs="Open Sans" w:eastAsia="Open Sans"/>
      <w:color w:val="0F2A3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