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Independent security review: Android app</w:t>
      </w:r>
    </w:p>
    <w:p>
      <w:r>
        <w:rPr>
          <w:b/>
        </w:rPr>
        <w:t>Audit brief, part 2 of 2</w:t>
      </w:r>
      <w:r>
        <w:t xml:space="preserve"> (part 1: Node server)</w:t>
      </w:r>
    </w:p>
    <w:p>
      <w:r>
        <w:t>NexonAI Consulting SRL, Alba Iulia, Romania. Draft of 19 October 2026, revised on 25 October 2026 after our own pre-audit (section 9).</w:t>
      </w:r>
    </w:p>
    <w:p>
      <w:r>
        <w:rPr>
          <w:b/>
        </w:rPr>
        <w:t>Confidential.</w:t>
      </w:r>
      <w:r>
        <w:t xml:space="preserve"> This brief contains protocol details while a patent check is running. Share it only under a confidentiality agreement.</w:t>
      </w:r>
    </w:p>
    <w:p>
      <w:pPr>
        <w:pStyle w:val="Heading2"/>
      </w:pPr>
      <w:r>
        <w:t>1. What we want to be able to say afterwards</w:t>
      </w:r>
    </w:p>
    <w:p>
      <w:pPr>
        <w:pStyle w:val="ListNumber"/>
      </w:pPr>
      <w:r>
        <w:t>The app has no identities. There is no account, phone number, e-mail address or user name, and the pairing code carries no user id.</w:t>
      </w:r>
    </w:p>
    <w:p>
      <w:pPr>
        <w:pStyle w:val="ListNumber"/>
      </w:pPr>
      <w:r>
        <w:t>Nothing goes to third parties. On the normal path the app talks to nobody except through Tor, to the customer's own servers only.</w:t>
      </w:r>
    </w:p>
    <w:p>
      <w:pPr>
        <w:pStyle w:val="ListNumber"/>
      </w:pPr>
      <w:r>
        <w:t>A message is written to the sender's own node and read from the contact's nodes, and nobody who runs a node can read it, name its sender or tell a real message from cover traffic (the last point holds only after the wire-format decision F1 is carried out, see section 3).</w:t>
      </w:r>
    </w:p>
    <w:p>
      <w:pPr>
        <w:pStyle w:val="ListNumber"/>
      </w:pPr>
      <w:r>
        <w:t>Messages are never written to the phone's storage.</w:t>
      </w:r>
    </w:p>
    <w:p>
      <w:pPr>
        <w:pStyle w:val="ListNumber"/>
      </w:pPr>
      <w:r>
        <w:t>Keys and secrets on the phone are protected by the phone's key store, including, since 25 October 2026, the key of the contact database (not yet tested on a device). The panic PIN removes what we say it removes.</w:t>
      </w:r>
    </w:p>
    <w:p>
      <w:pPr>
        <w:pStyle w:val="ListNumber"/>
      </w:pPr>
      <w:r>
        <w:t>The cryptography and the key handling are sound for the stated threat model.</w:t>
      </w:r>
    </w:p>
    <w:p>
      <w:pPr>
        <w:pStyle w:val="ListNumber"/>
      </w:pPr>
      <w:r>
        <w:t>The app a customer installs is the app that was reviewed. The report names its fingerprint.</w:t>
      </w:r>
    </w:p>
    <w:p>
      <w:r>
        <w:t>We do not expect a certificate. We expect a report with findings and severities, a statement of coverage and the release fingerprint.</w:t>
      </w:r>
    </w:p>
    <w:p>
      <w:pPr>
        <w:pStyle w:val="Heading2"/>
      </w:pPr>
      <w:r>
        <w:t>2. The app in one page</w:t>
      </w:r>
    </w:p>
    <w:p>
      <w:pPr>
        <w:pStyle w:val="ListBullet"/>
      </w:pPr>
      <w:r>
        <w:t>Kotlin, Jetpack Compose, Hilt, Room with SQLCipher, Tink (Android Keystore master key), Tor through the Guardian Project's tor-android, bridges (obfs4, Snowflake) through IPtProxy.</w:t>
      </w:r>
    </w:p>
    <w:p>
      <w:pPr>
        <w:pStyle w:val="ListBullet"/>
      </w:pPr>
      <w:r>
        <w:t xml:space="preserve">One code base, several builds: </w:t>
      </w:r>
      <w:r>
        <w:rPr>
          <w:rFonts w:ascii="Consolas" w:hAnsi="Consolas"/>
          <w:sz w:val="18"/>
        </w:rPr>
        <w:t>standard</w:t>
      </w:r>
      <w:r>
        <w:t xml:space="preserve">, </w:t>
      </w:r>
      <w:r>
        <w:rPr>
          <w:rFonts w:ascii="Consolas" w:hAnsi="Consolas"/>
          <w:sz w:val="18"/>
        </w:rPr>
        <w:t>pro</w:t>
      </w:r>
      <w:r>
        <w:t xml:space="preserve"> (Business, the main product), </w:t>
      </w:r>
      <w:r>
        <w:rPr>
          <w:rFonts w:ascii="Consolas" w:hAnsi="Consolas"/>
          <w:sz w:val="18"/>
        </w:rPr>
        <w:t>client</w:t>
      </w:r>
      <w:r>
        <w:t xml:space="preserve">, </w:t>
      </w:r>
      <w:r>
        <w:rPr>
          <w:rFonts w:ascii="Consolas" w:hAnsi="Consolas"/>
          <w:sz w:val="18"/>
        </w:rPr>
        <w:t>group</w:t>
      </w:r>
      <w:r>
        <w:t xml:space="preserve"> (Pro Groups), </w:t>
      </w:r>
      <w:r>
        <w:rPr>
          <w:rFonts w:ascii="Consolas" w:hAnsi="Consolas"/>
          <w:sz w:val="18"/>
        </w:rPr>
        <w:t>whistleblower</w:t>
      </w:r>
      <w:r>
        <w:t xml:space="preserve">, </w:t>
      </w:r>
      <w:r>
        <w:rPr>
          <w:rFonts w:ascii="Consolas" w:hAnsi="Consolas"/>
          <w:sz w:val="18"/>
        </w:rPr>
        <w:t>press</w:t>
      </w:r>
      <w:r>
        <w:t xml:space="preserve">. </w:t>
      </w:r>
      <w:r>
        <w:rPr>
          <w:b/>
        </w:rPr>
        <w:t>Priority for this review: `pro`, then `group`.</w:t>
      </w:r>
      <w:r>
        <w:t xml:space="preserve"> The shared code is reviewed once. The parts specific to </w:t>
      </w:r>
      <w:r>
        <w:rPr>
          <w:rFonts w:ascii="Consolas" w:hAnsi="Consolas"/>
          <w:sz w:val="18"/>
        </w:rPr>
        <w:t>whistleblower</w:t>
      </w:r>
      <w:r>
        <w:t xml:space="preserve"> and </w:t>
      </w:r>
      <w:r>
        <w:rPr>
          <w:rFonts w:ascii="Consolas" w:hAnsi="Consolas"/>
          <w:sz w:val="18"/>
        </w:rPr>
        <w:t>press</w:t>
      </w:r>
      <w:r>
        <w:t xml:space="preserve"> are out of scope for this round.</w:t>
      </w:r>
    </w:p>
    <w:p>
      <w:pPr>
        <w:pStyle w:val="ListBullet"/>
      </w:pPr>
      <w:r>
        <w:t>Each contact gets its own keys. A pairing code (QR or text) holds a version, a message key, a ratchet key, a routing seed, up to three node addresses and the edition. There is no user id.</w:t>
      </w:r>
    </w:p>
    <w:p>
      <w:pPr>
        <w:pStyle w:val="ListBullet"/>
      </w:pPr>
      <w:r>
        <w:t>Sending: Double Ratchet, then an outer AES-256-GCM layer with a per-contact key, padded to a 4096-byte packet. The app deposits it with the owner secret on its own node. Reading: the app fetches by routing tag (HMAC of the pairing seeds and the hour) from the contact's nodes, 26 tags per window.</w:t>
      </w:r>
    </w:p>
    <w:p>
      <w:pPr>
        <w:pStyle w:val="ListBullet"/>
      </w:pPr>
      <w:r>
        <w:t>Nodes: one per Android node app or phone, or up to 250 per customer server. The user holds node lists, chooses a list per contact and the contact gets three nodes from it.</w:t>
      </w:r>
    </w:p>
    <w:p>
      <w:pPr>
        <w:pStyle w:val="ListBullet"/>
      </w:pPr>
      <w:r>
        <w:t>Messages live in memory only and are removed after 5 minutes or when the app locks. Contacts and node settings are stored; the secrets among them, and the key of the contact database, are encrypted with the phone-bound key. Older installs are migrated once at the first start (database re-keyed, file copy kept until the check succeeds).</w:t>
      </w:r>
    </w:p>
    <w:p>
      <w:pPr>
        <w:pStyle w:val="ListBullet"/>
      </w:pPr>
      <w:r>
        <w:t>Protection: PIN, panic PIN, lock-out after wrong tries, optional fingerprint, screenshot and app-switcher block, root check and a build expiry (release builds).</w:t>
      </w:r>
    </w:p>
    <w:p>
      <w:pPr>
        <w:pStyle w:val="ListBullet"/>
      </w:pPr>
      <w:r>
        <w:t>Pro Groups: local groups with a group code. A message goes one-to-one to each member (up to 10 including the sender). A phone can act as a temporary node, in memory only.</w:t>
      </w:r>
    </w:p>
    <w:p>
      <w:pPr>
        <w:pStyle w:val="Heading2"/>
      </w:pPr>
      <w:r>
        <w:t>3. Preconditions NexonAI completes before kick-off</w:t>
      </w:r>
    </w:p>
    <w:p>
      <w:pPr>
        <w:pStyle w:val="ListBullet"/>
      </w:pPr>
      <w:r>
        <w:t>A tagged release, built and signed with the release key, with its fingerprint. A matching debuggable build for dynamic analysis, clearly marked.</w:t>
      </w:r>
    </w:p>
    <w:p>
      <w:pPr>
        <w:pStyle w:val="ListBullet"/>
      </w:pPr>
      <w:r>
        <w:t xml:space="preserve">Wire format v2: the message length and a version byte inside the encrypted part, every stored packet uniform 4096 bytes, cover packets random bytes. Test vectors for the format. </w:t>
      </w:r>
      <w:r>
        <w:rPr>
          <w:b/>
        </w:rPr>
        <w:t>Status on 25 October 2026: not done.</w:t>
      </w:r>
      <w:r>
        <w:t xml:space="preserve"> The payload length is still readable in each stored packet (our finding F1, decision pending; the padding is zeros behind the message, L12). The audit should start after this is closed.</w:t>
      </w:r>
    </w:p>
    <w:p>
      <w:pPr>
        <w:pStyle w:val="ListBullet"/>
      </w:pPr>
      <w:r>
        <w:t>The evidence package re-run on the tag. Unit tests for the app run green on the tag (196 tests per build on 25 October 2026).</w:t>
      </w:r>
    </w:p>
    <w:p>
      <w:pPr>
        <w:pStyle w:val="ListBullet"/>
      </w:pPr>
      <w:r>
        <w:t>A list of the limits in section 6.</w:t>
      </w:r>
    </w:p>
    <w:p>
      <w:pPr>
        <w:pStyle w:val="Heading2"/>
      </w:pPr>
      <w:r>
        <w:t>4. Claims to test</w:t>
      </w:r>
    </w:p>
    <w:p>
      <w:r>
        <w:t xml:space="preserve">IDs refer to </w:t>
      </w:r>
      <w:r>
        <w:rPr>
          <w:rFonts w:ascii="Consolas" w:hAnsi="Consolas"/>
          <w:sz w:val="18"/>
        </w:rPr>
        <w:t>evidence/CLAIMS_TO_EVIDENCE.md</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7ECEF"/>
          </w:tcPr>
          <w:p>
            <w:r>
              <w:rPr>
                <w:b/>
                <w:sz w:val="17"/>
              </w:rPr>
            </w:r>
            <w:r>
              <w:rPr>
                <w:b/>
                <w:sz w:val="17"/>
              </w:rPr>
              <w:t>#</w:t>
            </w:r>
          </w:p>
        </w:tc>
        <w:tc>
          <w:tcPr>
            <w:tcW w:type="dxa" w:w="2160"/>
            <w:shd w:val="clear" w:color="auto" w:fill="E7ECEF"/>
          </w:tcPr>
          <w:p>
            <w:r>
              <w:rPr>
                <w:b/>
                <w:sz w:val="17"/>
              </w:rPr>
            </w:r>
            <w:r>
              <w:rPr>
                <w:b/>
                <w:sz w:val="17"/>
              </w:rPr>
              <w:t>Claim</w:t>
            </w:r>
          </w:p>
        </w:tc>
        <w:tc>
          <w:tcPr>
            <w:tcW w:type="dxa" w:w="2160"/>
            <w:shd w:val="clear" w:color="auto" w:fill="E7ECEF"/>
          </w:tcPr>
          <w:p>
            <w:r>
              <w:rPr>
                <w:b/>
                <w:sz w:val="17"/>
              </w:rPr>
            </w:r>
            <w:r>
              <w:rPr>
                <w:b/>
                <w:sz w:val="17"/>
              </w:rPr>
              <w:t>What we ask the auditor to do</w:t>
            </w:r>
          </w:p>
        </w:tc>
        <w:tc>
          <w:tcPr>
            <w:tcW w:type="dxa" w:w="2160"/>
            <w:shd w:val="clear" w:color="auto" w:fill="E7ECEF"/>
          </w:tcPr>
          <w:p>
            <w:r>
              <w:rPr>
                <w:b/>
                <w:sz w:val="17"/>
              </w:rPr>
            </w:r>
            <w:r>
              <w:rPr>
                <w:b/>
                <w:sz w:val="17"/>
              </w:rPr>
              <w:t>Our evidence now</w:t>
            </w:r>
          </w:p>
        </w:tc>
      </w:tr>
      <w:tr>
        <w:tc>
          <w:tcPr>
            <w:tcW w:type="dxa" w:w="2160"/>
          </w:tcPr>
          <w:p>
            <w:r>
              <w:rPr>
                <w:sz w:val="17"/>
              </w:rPr>
            </w:r>
            <w:r>
              <w:rPr>
                <w:sz w:val="17"/>
              </w:rPr>
              <w:t>A1</w:t>
            </w:r>
          </w:p>
        </w:tc>
        <w:tc>
          <w:tcPr>
            <w:tcW w:type="dxa" w:w="2160"/>
          </w:tcPr>
          <w:p>
            <w:r>
              <w:rPr>
                <w:sz w:val="17"/>
              </w:rPr>
            </w:r>
            <w:r>
              <w:rPr>
                <w:sz w:val="17"/>
              </w:rPr>
              <w:t>No identities. The pairing code has no user id and the contact record has no phone, e-mail or account. No analytics, advertising or Google services library. Eleven permissions in the merged manifest (nine of ours and two, USE_BIOMETRIC and USE_FINGERPRINT, from the biometric library), none for contacts, location, phone, SMS, microphone, accounts, calendar or storage.</w:t>
            </w:r>
          </w:p>
        </w:tc>
        <w:tc>
          <w:tcPr>
            <w:tcW w:type="dxa" w:w="2160"/>
          </w:tcPr>
          <w:p>
            <w:r>
              <w:rPr>
                <w:sz w:val="17"/>
              </w:rPr>
            </w:r>
            <w:r>
              <w:rPr>
                <w:sz w:val="17"/>
              </w:rPr>
              <w:t>Review manifest, dependencies and the code that builds and reads pairing codes. Confirm on the release APK.</w:t>
            </w:r>
          </w:p>
        </w:tc>
        <w:tc>
          <w:tcPr>
            <w:tcW w:type="dxa" w:w="2160"/>
          </w:tcPr>
          <w:p>
            <w:r>
              <w:rPr>
                <w:sz w:val="17"/>
              </w:rPr>
            </w:r>
            <w:r>
              <w:rPr>
                <w:sz w:val="17"/>
              </w:rPr>
              <w:t xml:space="preserve">B1 to B8, B11; scripts </w:t>
            </w:r>
            <w:r>
              <w:rPr>
                <w:rFonts w:ascii="Consolas" w:hAnsi="Consolas"/>
                <w:sz w:val="17"/>
              </w:rPr>
              <w:t>04</w:t>
            </w:r>
            <w:r>
              <w:rPr>
                <w:sz w:val="17"/>
              </w:rPr>
              <w:t xml:space="preserve">, </w:t>
            </w:r>
            <w:r>
              <w:rPr>
                <w:rFonts w:ascii="Consolas" w:hAnsi="Consolas"/>
                <w:sz w:val="17"/>
              </w:rPr>
              <w:t>06</w:t>
            </w:r>
          </w:p>
        </w:tc>
      </w:tr>
      <w:tr>
        <w:tc>
          <w:tcPr>
            <w:tcW w:type="dxa" w:w="2160"/>
          </w:tcPr>
          <w:p>
            <w:r>
              <w:rPr>
                <w:sz w:val="17"/>
              </w:rPr>
            </w:r>
            <w:r>
              <w:rPr>
                <w:sz w:val="17"/>
              </w:rPr>
              <w:t>A2</w:t>
            </w:r>
          </w:p>
        </w:tc>
        <w:tc>
          <w:tcPr>
            <w:tcW w:type="dxa" w:w="2160"/>
          </w:tcPr>
          <w:p>
            <w:r>
              <w:rPr>
                <w:sz w:val="17"/>
              </w:rPr>
            </w:r>
            <w:r>
              <w:rPr>
                <w:sz w:val="17"/>
              </w:rPr>
              <w:t>Network traffic goes through Tor only. A same-Wi-Fi shortcut exists only for direct contacts, never for Business or whistleblower.</w:t>
            </w:r>
          </w:p>
        </w:tc>
        <w:tc>
          <w:tcPr>
            <w:tcW w:type="dxa" w:w="2160"/>
          </w:tcPr>
          <w:p>
            <w:r>
              <w:rPr>
                <w:sz w:val="17"/>
              </w:rPr>
            </w:r>
            <w:r>
              <w:rPr>
                <w:sz w:val="17"/>
              </w:rPr>
              <w:t>Capture the traffic of a phone for several hours with Business contacts. Test a network that blocks Tor (bridges, Snowflake) and name every third party contacted on those paths.</w:t>
            </w:r>
          </w:p>
        </w:tc>
        <w:tc>
          <w:tcPr>
            <w:tcW w:type="dxa" w:w="2160"/>
          </w:tcPr>
          <w:p>
            <w:r>
              <w:rPr>
                <w:sz w:val="17"/>
              </w:rPr>
            </w:r>
            <w:r>
              <w:rPr>
                <w:sz w:val="17"/>
              </w:rPr>
              <w:t>B7, B9 (code only; no capture yet). Since 25 Oct the app accepts only v3 onion addresses (pairing codes, node lists, owner strings, migration signals) and the transport refuses any other host; unit-tested</w:t>
            </w:r>
          </w:p>
        </w:tc>
      </w:tr>
      <w:tr>
        <w:tc>
          <w:tcPr>
            <w:tcW w:type="dxa" w:w="2160"/>
          </w:tcPr>
          <w:p>
            <w:r>
              <w:rPr>
                <w:sz w:val="17"/>
              </w:rPr>
            </w:r>
            <w:r>
              <w:rPr>
                <w:sz w:val="17"/>
              </w:rPr>
              <w:t>A3</w:t>
            </w:r>
          </w:p>
        </w:tc>
        <w:tc>
          <w:tcPr>
            <w:tcW w:type="dxa" w:w="2160"/>
          </w:tcPr>
          <w:p>
            <w:r>
              <w:rPr>
                <w:sz w:val="17"/>
              </w:rPr>
            </w:r>
            <w:r>
              <w:rPr>
                <w:sz w:val="17"/>
              </w:rPr>
              <w:t>Routing tags are computable only by the two partners, change every hour and cannot be linked across contacts. Writing needs the owner secret, reading needs the tag.</w:t>
            </w:r>
          </w:p>
        </w:tc>
        <w:tc>
          <w:tcPr>
            <w:tcW w:type="dxa" w:w="2160"/>
          </w:tcPr>
          <w:p>
            <w:r>
              <w:rPr>
                <w:sz w:val="17"/>
              </w:rPr>
            </w:r>
            <w:r>
              <w:rPr>
                <w:sz w:val="17"/>
              </w:rPr>
              <w:t>Review the tag construction and window, the per-contact keys and node choice. Run the real flow on two phones and a server. Note: before 25 October a request listed 26 hourly tags and the tags of several contacts, so a node operator could chain a contact's tags over days (pre-audit M4). Now each contact is asked on its own, for two or three epochs in the steady state (26 after an app start or a gap), with requests spread in time; requests to one node still share Tor's circuit to that address, so an operator can still tie them to one client. Reduced, not closed.</w:t>
            </w:r>
          </w:p>
        </w:tc>
        <w:tc>
          <w:tcPr>
            <w:tcW w:type="dxa" w:w="2160"/>
          </w:tcPr>
          <w:p>
            <w:r>
              <w:rPr>
                <w:sz w:val="17"/>
              </w:rPr>
            </w:r>
            <w:r>
              <w:rPr>
                <w:sz w:val="17"/>
              </w:rPr>
              <w:t xml:space="preserve">B2, B3; script </w:t>
            </w:r>
            <w:r>
              <w:rPr>
                <w:rFonts w:ascii="Consolas" w:hAnsi="Consolas"/>
                <w:sz w:val="17"/>
              </w:rPr>
              <w:t>05</w:t>
            </w:r>
            <w:r>
              <w:rPr>
                <w:sz w:val="17"/>
              </w:rPr>
              <w:t>; no third-party run</w:t>
            </w:r>
          </w:p>
        </w:tc>
      </w:tr>
      <w:tr>
        <w:tc>
          <w:tcPr>
            <w:tcW w:type="dxa" w:w="2160"/>
          </w:tcPr>
          <w:p>
            <w:r>
              <w:rPr>
                <w:sz w:val="17"/>
              </w:rPr>
            </w:r>
            <w:r>
              <w:rPr>
                <w:sz w:val="17"/>
              </w:rPr>
              <w:t>A4</w:t>
            </w:r>
          </w:p>
        </w:tc>
        <w:tc>
          <w:tcPr>
            <w:tcW w:type="dxa" w:w="2160"/>
          </w:tcPr>
          <w:p>
            <w:r>
              <w:rPr>
                <w:sz w:val="17"/>
              </w:rPr>
            </w:r>
            <w:r>
              <w:rPr>
                <w:sz w:val="17"/>
              </w:rPr>
              <w:t>Messages are never on disk.</w:t>
            </w:r>
          </w:p>
        </w:tc>
        <w:tc>
          <w:tcPr>
            <w:tcW w:type="dxa" w:w="2160"/>
          </w:tcPr>
          <w:p>
            <w:r>
              <w:rPr>
                <w:sz w:val="17"/>
              </w:rPr>
            </w:r>
            <w:r>
              <w:rPr>
                <w:sz w:val="17"/>
              </w:rPr>
              <w:t>Take a forensic image of a phone after use, with and without root. Search the image for message text. Review the memory handling and its limits (strings made for the screen cannot be overwritten).</w:t>
            </w:r>
          </w:p>
        </w:tc>
        <w:tc>
          <w:tcPr>
            <w:tcW w:type="dxa" w:w="2160"/>
          </w:tcPr>
          <w:p>
            <w:r>
              <w:rPr>
                <w:sz w:val="17"/>
              </w:rPr>
            </w:r>
            <w:r>
              <w:rPr>
                <w:sz w:val="17"/>
              </w:rPr>
              <w:t>D1 (read only)</w:t>
            </w:r>
          </w:p>
        </w:tc>
      </w:tr>
      <w:tr>
        <w:tc>
          <w:tcPr>
            <w:tcW w:type="dxa" w:w="2160"/>
          </w:tcPr>
          <w:p>
            <w:r>
              <w:rPr>
                <w:sz w:val="17"/>
              </w:rPr>
            </w:r>
            <w:r>
              <w:rPr>
                <w:sz w:val="17"/>
              </w:rPr>
              <w:t>A5</w:t>
            </w:r>
          </w:p>
        </w:tc>
        <w:tc>
          <w:tcPr>
            <w:tcW w:type="dxa" w:w="2160"/>
          </w:tcPr>
          <w:p>
            <w:r>
              <w:rPr>
                <w:sz w:val="17"/>
              </w:rPr>
            </w:r>
            <w:r>
              <w:rPr>
                <w:sz w:val="17"/>
              </w:rPr>
              <w:t>Secrets are protected at rest: ratchet and onion keys, owner secrets of own nodes, node lists, feed keys, relay token. The database is encrypted, and its key is sealed under the phone-bound key (since 25 October 2026; before that it lay in clear next to the database, pre-audit H1).</w:t>
            </w:r>
          </w:p>
        </w:tc>
        <w:tc>
          <w:tcPr>
            <w:tcW w:type="dxa" w:w="2160"/>
          </w:tcPr>
          <w:p>
            <w:r>
              <w:rPr>
                <w:sz w:val="17"/>
              </w:rPr>
            </w:r>
            <w:r>
              <w:rPr>
                <w:sz w:val="17"/>
              </w:rPr>
              <w:t>Review the key store use (</w:t>
            </w:r>
            <w:r>
              <w:rPr>
                <w:rFonts w:ascii="Consolas" w:hAnsi="Consolas"/>
                <w:sz w:val="17"/>
              </w:rPr>
              <w:t>CryptoManager</w:t>
            </w:r>
            <w:r>
              <w:rPr>
                <w:sz w:val="17"/>
              </w:rPr>
              <w:t xml:space="preserve">, </w:t>
            </w:r>
            <w:r>
              <w:rPr>
                <w:rFonts w:ascii="Consolas" w:hAnsi="Consolas"/>
                <w:sz w:val="17"/>
              </w:rPr>
              <w:t>SealedStrings</w:t>
            </w:r>
            <w:r>
              <w:rPr>
                <w:sz w:val="17"/>
              </w:rPr>
              <w:t xml:space="preserve">, </w:t>
            </w:r>
            <w:r>
              <w:rPr>
                <w:rFonts w:ascii="Consolas" w:hAnsi="Consolas"/>
                <w:sz w:val="17"/>
              </w:rPr>
              <w:t>DbKeyVault</w:t>
            </w:r>
            <w:r>
              <w:rPr>
                <w:sz w:val="17"/>
              </w:rPr>
              <w:t xml:space="preserve">, </w:t>
            </w:r>
            <w:r>
              <w:rPr>
                <w:rFonts w:ascii="Consolas" w:hAnsi="Consolas"/>
                <w:sz w:val="17"/>
              </w:rPr>
              <w:t>IdentityManager</w:t>
            </w:r>
            <w:r>
              <w:rPr>
                <w:sz w:val="17"/>
              </w:rPr>
              <w:t xml:space="preserve">, </w:t>
            </w:r>
            <w:r>
              <w:rPr>
                <w:rFonts w:ascii="Consolas" w:hAnsi="Consolas"/>
                <w:sz w:val="17"/>
              </w:rPr>
              <w:t>PinManager</w:t>
            </w:r>
            <w:r>
              <w:rPr>
                <w:sz w:val="17"/>
              </w:rPr>
              <w:t>), the SQLCipher key handling and migration, backup and device-transfer settings (</w:t>
            </w:r>
            <w:r>
              <w:rPr>
                <w:rFonts w:ascii="Consolas" w:hAnsi="Consolas"/>
                <w:sz w:val="17"/>
              </w:rPr>
              <w:t>dataExtractionRules</w:t>
            </w:r>
            <w:r>
              <w:rPr>
                <w:sz w:val="17"/>
              </w:rPr>
              <w:t>) and what remains in clear. Check upgrades from older versions; old key material may remain in flash.</w:t>
            </w:r>
          </w:p>
        </w:tc>
        <w:tc>
          <w:tcPr>
            <w:tcW w:type="dxa" w:w="2160"/>
          </w:tcPr>
          <w:p>
            <w:r>
              <w:rPr>
                <w:sz w:val="17"/>
              </w:rPr>
            </w:r>
            <w:r>
              <w:rPr>
                <w:sz w:val="17"/>
              </w:rPr>
              <w:t xml:space="preserve">D2, Tier 2 in </w:t>
            </w:r>
            <w:r>
              <w:rPr>
                <w:rFonts w:ascii="Consolas" w:hAnsi="Consolas"/>
                <w:sz w:val="17"/>
              </w:rPr>
              <w:t>SECURITY_CLAIMS.md</w:t>
            </w:r>
            <w:r>
              <w:rPr>
                <w:sz w:val="17"/>
              </w:rPr>
              <w:t>; 15 migration tests (logic only; SQLCipher and Keystore are not covered by unit tests); device test open</w:t>
            </w:r>
          </w:p>
        </w:tc>
      </w:tr>
      <w:tr>
        <w:tc>
          <w:tcPr>
            <w:tcW w:type="dxa" w:w="2160"/>
          </w:tcPr>
          <w:p>
            <w:r>
              <w:rPr>
                <w:sz w:val="17"/>
              </w:rPr>
            </w:r>
            <w:r>
              <w:rPr>
                <w:sz w:val="17"/>
              </w:rPr>
              <w:t>A6</w:t>
            </w:r>
          </w:p>
        </w:tc>
        <w:tc>
          <w:tcPr>
            <w:tcW w:type="dxa" w:w="2160"/>
          </w:tcPr>
          <w:p>
            <w:r>
              <w:rPr>
                <w:sz w:val="17"/>
              </w:rPr>
            </w:r>
            <w:r>
              <w:rPr>
                <w:sz w:val="17"/>
              </w:rPr>
              <w:t>The panic PIN removes contacts, sessions, onion keys, groups, own nodes, node lists, feed sources, relay setup and the organisation code; since 25 October also the pairing code on screen, queued messages and partial transfers, and the database is cleaned (secure delete, checkpoint, vacuum). The identity keys, licence and PINs stay. Wrong PINs lock the pad (5th wrong try: 30 s, doubling, at most 1 hour; timed on the wall clock and the monotonic clock, so moving the date forward does not shorten it until the phone restarts).</w:t>
            </w:r>
          </w:p>
        </w:tc>
        <w:tc>
          <w:tcPr>
            <w:tcW w:type="dxa" w:w="2160"/>
          </w:tcPr>
          <w:p>
            <w:r>
              <w:rPr>
                <w:sz w:val="17"/>
              </w:rPr>
            </w:r>
            <w:r>
              <w:rPr>
                <w:sz w:val="17"/>
              </w:rPr>
              <w:t>Test on devices from two makers. Check what remains. Judge a 4-digit PIN against someone with root, who can reset the counter. Judge the loss of the phone key (the app then says it cannot read the PIN).</w:t>
            </w:r>
          </w:p>
        </w:tc>
        <w:tc>
          <w:tcPr>
            <w:tcW w:type="dxa" w:w="2160"/>
          </w:tcPr>
          <w:p>
            <w:r>
              <w:rPr>
                <w:sz w:val="17"/>
              </w:rPr>
            </w:r>
            <w:r>
              <w:rPr>
                <w:sz w:val="17"/>
              </w:rPr>
              <w:t>D3, D3a; unit tests for the schedule</w:t>
            </w:r>
          </w:p>
        </w:tc>
      </w:tr>
      <w:tr>
        <w:tc>
          <w:tcPr>
            <w:tcW w:type="dxa" w:w="2160"/>
          </w:tcPr>
          <w:p>
            <w:r>
              <w:rPr>
                <w:sz w:val="17"/>
              </w:rPr>
            </w:r>
            <w:r>
              <w:rPr>
                <w:sz w:val="17"/>
              </w:rPr>
              <w:t>A7</w:t>
            </w:r>
          </w:p>
        </w:tc>
        <w:tc>
          <w:tcPr>
            <w:tcW w:type="dxa" w:w="2160"/>
          </w:tcPr>
          <w:p>
            <w:r>
              <w:rPr>
                <w:sz w:val="17"/>
              </w:rPr>
            </w:r>
            <w:r>
              <w:rPr>
                <w:sz w:val="17"/>
              </w:rPr>
              <w:t>Screenshot, screen recording and the app switcher show nothing, including dialogs. Notifications say only that a message arrived. Clipboard copies of codes are marked sensitive and cleared after 60 s (also when the app is in the background since 25 October; before, Android 10+ prevented the check and the code stayed).</w:t>
            </w:r>
          </w:p>
        </w:tc>
        <w:tc>
          <w:tcPr>
            <w:tcW w:type="dxa" w:w="2160"/>
          </w:tcPr>
          <w:p>
            <w:r>
              <w:rPr>
                <w:sz w:val="17"/>
              </w:rPr>
            </w:r>
            <w:r>
              <w:rPr>
                <w:sz w:val="17"/>
              </w:rPr>
              <w:t>Test on devices from two makers and on Android 12 and 13 or later.</w:t>
            </w:r>
          </w:p>
        </w:tc>
        <w:tc>
          <w:tcPr>
            <w:tcW w:type="dxa" w:w="2160"/>
          </w:tcPr>
          <w:p>
            <w:r>
              <w:rPr>
                <w:sz w:val="17"/>
              </w:rPr>
            </w:r>
            <w:r>
              <w:rPr>
                <w:sz w:val="17"/>
              </w:rPr>
              <w:t>B10; device test open for the screen blocks, the clipboard and the date change</w:t>
            </w:r>
          </w:p>
        </w:tc>
      </w:tr>
      <w:tr>
        <w:tc>
          <w:tcPr>
            <w:tcW w:type="dxa" w:w="2160"/>
          </w:tcPr>
          <w:p>
            <w:r>
              <w:rPr>
                <w:sz w:val="17"/>
              </w:rPr>
            </w:r>
            <w:r>
              <w:rPr>
                <w:sz w:val="17"/>
              </w:rPr>
              <w:t>A8</w:t>
            </w:r>
          </w:p>
        </w:tc>
        <w:tc>
          <w:tcPr>
            <w:tcW w:type="dxa" w:w="2160"/>
          </w:tcPr>
          <w:p>
            <w:r>
              <w:rPr>
                <w:sz w:val="17"/>
              </w:rPr>
            </w:r>
            <w:r>
              <w:rPr>
                <w:sz w:val="17"/>
              </w:rPr>
              <w:t>The crypto is sound: Double Ratchet (X25519, HKDF, XChaCha20-Poly1305), a session start without signed identities (a reduced X3DH), the outer AES-256-GCM layer, wire format v2 (planned, not built: padding inside the authenticated part, uniform packets; see F1).</w:t>
            </w:r>
          </w:p>
        </w:tc>
        <w:tc>
          <w:tcPr>
            <w:tcW w:type="dxa" w:w="2160"/>
          </w:tcPr>
          <w:p>
            <w:r>
              <w:rPr>
                <w:sz w:val="17"/>
              </w:rPr>
            </w:r>
            <w:r>
              <w:rPr>
                <w:sz w:val="17"/>
              </w:rPr>
              <w:t>Review the protocol and the code. Decide whether the reduced session start is acceptable for the threat model. Check IV handling, key separation, error handling and replay. Note: control signals (delete contact, node migration, temp node) are protected only by the static outer layer from the pairing code, not by the ratchet (pre-audit M6, open).</w:t>
            </w:r>
          </w:p>
        </w:tc>
        <w:tc>
          <w:tcPr>
            <w:tcW w:type="dxa" w:w="2160"/>
          </w:tcPr>
          <w:p>
            <w:r>
              <w:rPr>
                <w:sz w:val="17"/>
              </w:rPr>
            </w:r>
            <w:r>
              <w:rPr>
                <w:sz w:val="17"/>
              </w:rPr>
              <w:t>C1 to C6; cross-checks between Kotlin and TypeScript</w:t>
            </w:r>
          </w:p>
        </w:tc>
      </w:tr>
      <w:tr>
        <w:tc>
          <w:tcPr>
            <w:tcW w:type="dxa" w:w="2160"/>
          </w:tcPr>
          <w:p>
            <w:r>
              <w:rPr>
                <w:sz w:val="17"/>
              </w:rPr>
            </w:r>
            <w:r>
              <w:rPr>
                <w:sz w:val="17"/>
              </w:rPr>
              <w:t>A9</w:t>
            </w:r>
          </w:p>
        </w:tc>
        <w:tc>
          <w:tcPr>
            <w:tcW w:type="dxa" w:w="2160"/>
          </w:tcPr>
          <w:p>
            <w:r>
              <w:rPr>
                <w:sz w:val="17"/>
              </w:rPr>
            </w:r>
            <w:r>
              <w:rPr>
                <w:sz w:val="17"/>
              </w:rPr>
              <w:t>Input from outside is handled safely: pairing codes, node-list files, feed content, group codes, images, attachments, malformed packets.</w:t>
            </w:r>
          </w:p>
        </w:tc>
        <w:tc>
          <w:tcPr>
            <w:tcW w:type="dxa" w:w="2160"/>
          </w:tcPr>
          <w:p>
            <w:r>
              <w:rPr>
                <w:sz w:val="17"/>
              </w:rPr>
            </w:r>
            <w:r>
              <w:rPr>
                <w:sz w:val="17"/>
              </w:rPr>
              <w:t>Fuzz these inputs. Test oversized and malformed images (a decoder guard exists since 19 October 2026). Review the node-list parser and the confirmation dialog. Since 25 October: chunk count, packet header fields, reply head lines and node-list size are bounded.</w:t>
            </w:r>
          </w:p>
        </w:tc>
        <w:tc>
          <w:tcPr>
            <w:tcW w:type="dxa" w:w="2160"/>
          </w:tcPr>
          <w:p>
            <w:r>
              <w:rPr>
                <w:sz w:val="17"/>
              </w:rPr>
            </w:r>
            <w:r>
              <w:rPr>
                <w:sz w:val="17"/>
              </w:rPr>
              <w:t>Parser limits and tests (chunk limit, header check, list size and speed)</w:t>
            </w:r>
          </w:p>
        </w:tc>
      </w:tr>
      <w:tr>
        <w:tc>
          <w:tcPr>
            <w:tcW w:type="dxa" w:w="2160"/>
          </w:tcPr>
          <w:p>
            <w:r>
              <w:rPr>
                <w:sz w:val="17"/>
              </w:rPr>
            </w:r>
            <w:r>
              <w:rPr>
                <w:sz w:val="17"/>
              </w:rPr>
              <w:t>A10</w:t>
            </w:r>
          </w:p>
        </w:tc>
        <w:tc>
          <w:tcPr>
            <w:tcW w:type="dxa" w:w="2160"/>
          </w:tcPr>
          <w:p>
            <w:r>
              <w:rPr>
                <w:sz w:val="17"/>
              </w:rPr>
            </w:r>
            <w:r>
              <w:rPr>
                <w:sz w:val="17"/>
              </w:rPr>
              <w:t>Licence and device check run offline and send nothing. A root check and a build expiry exist in release builds.</w:t>
            </w:r>
          </w:p>
        </w:tc>
        <w:tc>
          <w:tcPr>
            <w:tcW w:type="dxa" w:w="2160"/>
          </w:tcPr>
          <w:p>
            <w:r>
              <w:rPr>
                <w:sz w:val="17"/>
              </w:rPr>
            </w:r>
            <w:r>
              <w:rPr>
                <w:sz w:val="17"/>
              </w:rPr>
              <w:t xml:space="preserve">Review </w:t>
            </w:r>
            <w:r>
              <w:rPr>
                <w:rFonts w:ascii="Consolas" w:hAnsi="Consolas"/>
                <w:sz w:val="17"/>
              </w:rPr>
              <w:t>LicenseManager</w:t>
            </w:r>
            <w:r>
              <w:rPr>
                <w:sz w:val="17"/>
              </w:rPr>
              <w:t xml:space="preserve">, </w:t>
            </w:r>
            <w:r>
              <w:rPr>
                <w:rFonts w:ascii="Consolas" w:hAnsi="Consolas"/>
                <w:sz w:val="17"/>
              </w:rPr>
              <w:t>RootDetector</w:t>
            </w:r>
            <w:r>
              <w:rPr>
                <w:sz w:val="17"/>
              </w:rPr>
              <w:t xml:space="preserve"> and the expiry gate. State how far they hold against a modified app (we call them honest friction, not protection).</w:t>
            </w:r>
          </w:p>
        </w:tc>
        <w:tc>
          <w:tcPr>
            <w:tcW w:type="dxa" w:w="2160"/>
          </w:tcPr>
          <w:p>
            <w:r>
              <w:rPr>
                <w:sz w:val="17"/>
              </w:rPr>
            </w:r>
            <w:r>
              <w:rPr>
                <w:sz w:val="17"/>
              </w:rPr>
              <w:t>B8, F2</w:t>
            </w:r>
          </w:p>
        </w:tc>
      </w:tr>
      <w:tr>
        <w:tc>
          <w:tcPr>
            <w:tcW w:type="dxa" w:w="2160"/>
          </w:tcPr>
          <w:p>
            <w:r>
              <w:rPr>
                <w:sz w:val="17"/>
              </w:rPr>
            </w:r>
            <w:r>
              <w:rPr>
                <w:sz w:val="17"/>
              </w:rPr>
              <w:t>A11</w:t>
            </w:r>
          </w:p>
        </w:tc>
        <w:tc>
          <w:tcPr>
            <w:tcW w:type="dxa" w:w="2160"/>
          </w:tcPr>
          <w:p>
            <w:r>
              <w:rPr>
                <w:sz w:val="17"/>
              </w:rPr>
            </w:r>
            <w:r>
              <w:rPr>
                <w:sz w:val="17"/>
              </w:rPr>
              <w:t>The delivered app equals the reviewed source.</w:t>
            </w:r>
          </w:p>
        </w:tc>
        <w:tc>
          <w:tcPr>
            <w:tcW w:type="dxa" w:w="2160"/>
          </w:tcPr>
          <w:p>
            <w:r>
              <w:rPr>
                <w:sz w:val="17"/>
              </w:rPr>
            </w:r>
            <w:r>
              <w:rPr>
                <w:sz w:val="17"/>
              </w:rPr>
              <w:t>Rebuild from the tag, compare the result, check the signature and the R8 mapping.</w:t>
            </w:r>
          </w:p>
        </w:tc>
        <w:tc>
          <w:tcPr>
            <w:tcW w:type="dxa" w:w="2160"/>
          </w:tcPr>
          <w:p>
            <w:r>
              <w:rPr>
                <w:sz w:val="17"/>
              </w:rPr>
            </w:r>
            <w:r>
              <w:rPr>
                <w:sz w:val="17"/>
              </w:rPr>
              <w:t>Release key in place; no reproducible build yet</w:t>
            </w:r>
          </w:p>
        </w:tc>
      </w:tr>
      <w:tr>
        <w:tc>
          <w:tcPr>
            <w:tcW w:type="dxa" w:w="2160"/>
          </w:tcPr>
          <w:p>
            <w:r>
              <w:rPr>
                <w:sz w:val="17"/>
              </w:rPr>
            </w:r>
            <w:r>
              <w:rPr>
                <w:sz w:val="17"/>
              </w:rPr>
              <w:t>A12</w:t>
            </w:r>
          </w:p>
        </w:tc>
        <w:tc>
          <w:tcPr>
            <w:tcW w:type="dxa" w:w="2160"/>
          </w:tcPr>
          <w:p>
            <w:r>
              <w:rPr>
                <w:sz w:val="17"/>
              </w:rPr>
            </w:r>
            <w:r>
              <w:rPr>
                <w:sz w:val="17"/>
              </w:rPr>
              <w:t>The Tor and bridge integration works as described and fails safely.</w:t>
            </w:r>
          </w:p>
        </w:tc>
        <w:tc>
          <w:tcPr>
            <w:tcW w:type="dxa" w:w="2160"/>
          </w:tcPr>
          <w:p>
            <w:r>
              <w:rPr>
                <w:sz w:val="17"/>
              </w:rPr>
            </w:r>
            <w:r>
              <w:rPr>
                <w:sz w:val="17"/>
              </w:rPr>
              <w:t xml:space="preserve">Review </w:t>
            </w:r>
            <w:r>
              <w:rPr>
                <w:rFonts w:ascii="Consolas" w:hAnsi="Consolas"/>
                <w:sz w:val="17"/>
              </w:rPr>
              <w:t>TorManager</w:t>
            </w:r>
            <w:r>
              <w:rPr>
                <w:sz w:val="17"/>
              </w:rPr>
              <w:t>, the bridge manager and the pluggable transports: start, circuit use, behaviour when Tor is blocked, what leaks when it fails.</w:t>
            </w:r>
          </w:p>
        </w:tc>
        <w:tc>
          <w:tcPr>
            <w:tcW w:type="dxa" w:w="2160"/>
          </w:tcPr>
          <w:p>
            <w:r>
              <w:rPr>
                <w:sz w:val="17"/>
              </w:rPr>
            </w:r>
            <w:r>
              <w:rPr>
                <w:sz w:val="17"/>
              </w:rPr>
              <w:t>Not yet reviewed by us beyond B7</w:t>
            </w:r>
          </w:p>
        </w:tc>
      </w:tr>
    </w:tbl>
    <w:p/>
    <w:p>
      <w:pPr>
        <w:pStyle w:val="Heading2"/>
      </w:pPr>
      <w:r>
        <w:t>5. How we would like the work done</w:t>
      </w:r>
    </w:p>
    <w:p>
      <w:pPr>
        <w:pStyle w:val="ListNumber"/>
      </w:pPr>
      <w:r>
        <w:t>Static review of the files named above and of the shared code paths for sending and reading.</w:t>
      </w:r>
    </w:p>
    <w:p>
      <w:pPr>
        <w:pStyle w:val="ListNumber"/>
      </w:pPr>
      <w:r>
        <w:t>Dynamic tests on two of your Android phones (rooted and not), with our debuggable build, then confirmation on the release build.</w:t>
      </w:r>
    </w:p>
    <w:p>
      <w:pPr>
        <w:pStyle w:val="ListNumber"/>
      </w:pPr>
      <w:r>
        <w:t>A traffic capture of several hours (A2) against a node server you control, if possible combined with part 1.</w:t>
      </w:r>
    </w:p>
    <w:p>
      <w:pPr>
        <w:pStyle w:val="ListNumber"/>
      </w:pPr>
      <w:r>
        <w:t>A cryptography review by a specialist (A8).</w:t>
      </w:r>
    </w:p>
    <w:p>
      <w:r>
        <w:t>We can provide the tag, build instructions, test licences, QR codes and a server. You provide the phones and the capture.</w:t>
      </w:r>
    </w:p>
    <w:p>
      <w:pPr>
        <w:pStyle w:val="Heading2"/>
      </w:pPr>
      <w:r>
        <w:t>6. Limits we state ourselves</w:t>
      </w:r>
    </w:p>
    <w:p>
      <w:pPr>
        <w:pStyle w:val="ListBullet"/>
      </w:pPr>
      <w:r>
        <w:t>A phone that is already compromised, and a root user with time, can read what the app can read. The PIN lock-out and the panic PIN are not protection against that.</w:t>
      </w:r>
    </w:p>
    <w:p>
      <w:pPr>
        <w:pStyle w:val="ListBullet"/>
      </w:pPr>
      <w:r>
        <w:t>A 4-digit PIN has little entropy. The lock-out and the phone-bound storage of the hash are the protection. The counter lives in the app's storage and the device clock.</w:t>
      </w:r>
    </w:p>
    <w:p>
      <w:pPr>
        <w:pStyle w:val="ListBullet"/>
      </w:pPr>
      <w:r>
        <w:t>Strings shown on screen cannot be overwritten in memory. Messages are removed from our own store and not from the runtime's copies.</w:t>
      </w:r>
    </w:p>
    <w:p>
      <w:pPr>
        <w:pStyle w:val="ListBullet"/>
      </w:pPr>
      <w:r>
        <w:t>Messages that cannot be sent wait in memory and are lost if the app is closed. This follows from keeping nothing on disk.</w:t>
      </w:r>
    </w:p>
    <w:p>
      <w:pPr>
        <w:pStyle w:val="ListBullet"/>
      </w:pPr>
      <w:r>
        <w:t>The bridge and Snowflake fallbacks contact third parties (broker, front domain, STUN servers). "Only Tor" holds for the direct path.</w:t>
      </w:r>
    </w:p>
    <w:p>
      <w:pPr>
        <w:pStyle w:val="ListBullet"/>
      </w:pPr>
      <w:r>
        <w:t>Whoever gives a user a node list decides which nodes the user writes to. The content stays encrypted but the routing tags and times are visible to that node's operator.</w:t>
      </w:r>
    </w:p>
    <w:p>
      <w:pPr>
        <w:pStyle w:val="ListBullet"/>
      </w:pPr>
      <w:r>
        <w:t>A global observer who sees both ends of the network can correlate timing.</w:t>
      </w:r>
    </w:p>
    <w:p>
      <w:pPr>
        <w:pStyle w:val="ListBullet"/>
      </w:pPr>
      <w:r>
        <w:t>Towards a node operator, a contact's hourly tags can still be chained over days where the operator can tie the requests to one client: requests to one node address share Tor's circuit, and consecutive requests overlap by one epoch. Since 25 October the app asks per contact for two or three epochs instead of 26 and no longer bundles contacts (pre-audit M4, reduced). Separate circuits per contact (SOCKS isolation) are not built.</w:t>
      </w:r>
    </w:p>
    <w:p>
      <w:pPr>
        <w:pStyle w:val="ListBullet"/>
      </w:pPr>
      <w:r>
        <w:t>Control signals (delete contact, node migration, temp node) rely on the static outer layer, not on the ratchet (pre-audit M6).</w:t>
      </w:r>
    </w:p>
    <w:p>
      <w:pPr>
        <w:pStyle w:val="ListBullet"/>
      </w:pPr>
      <w:r>
        <w:t>Old key material of the contact database and the plain copy of older installs can remain in flash storage after the migration; the app cannot overwrite blocks the storage controller has remapped.</w:t>
      </w:r>
    </w:p>
    <w:p>
      <w:pPr>
        <w:pStyle w:val="ListBullet"/>
      </w:pPr>
      <w:r>
        <w:t>Debug builds are debuggable and skip the root check. They are for tests only.</w:t>
      </w:r>
    </w:p>
    <w:p>
      <w:pPr>
        <w:pStyle w:val="ListBullet"/>
      </w:pPr>
      <w:r>
        <w:t>The licence for apps is tied to the device; it is bookkeeping, not copy protection.</w:t>
      </w:r>
    </w:p>
    <w:p>
      <w:pPr>
        <w:pStyle w:val="Heading2"/>
      </w:pPr>
      <w:r>
        <w:t>7. Out of scope</w:t>
      </w:r>
    </w:p>
    <w:p>
      <w:r>
        <w:t xml:space="preserve">Tor and Android themselves, the phone maker's software, the customer's hosting, a global observer, legal assessment (GDPR, Directive 2019/1937), the iOS app, the </w:t>
      </w:r>
      <w:r>
        <w:rPr>
          <w:rFonts w:ascii="Consolas" w:hAnsi="Consolas"/>
          <w:sz w:val="18"/>
        </w:rPr>
        <w:t>whistleblower</w:t>
      </w:r>
      <w:r>
        <w:t xml:space="preserve"> and </w:t>
      </w:r>
      <w:r>
        <w:rPr>
          <w:rFonts w:ascii="Consolas" w:hAnsi="Consolas"/>
          <w:sz w:val="18"/>
        </w:rPr>
        <w:t>press</w:t>
      </w:r>
      <w:r>
        <w:t xml:space="preserve"> specific parts for this round, the officer app, the node server (part 1), the customer tool.</w:t>
      </w:r>
    </w:p>
    <w:p>
      <w:pPr>
        <w:pStyle w:val="Heading2"/>
      </w:pPr>
      <w:r>
        <w:t>8. Deliverables</w:t>
      </w:r>
    </w:p>
    <w:p>
      <w:pPr>
        <w:pStyle w:val="ListBullet"/>
      </w:pPr>
      <w:r>
        <w:t>Report with findings, severities, evidence and recommendations.</w:t>
      </w:r>
    </w:p>
    <w:p>
      <w:pPr>
        <w:pStyle w:val="ListBullet"/>
      </w:pPr>
      <w:r>
        <w:t>A statement of what was covered and what was not, per claim above.</w:t>
      </w:r>
    </w:p>
    <w:p>
      <w:pPr>
        <w:pStyle w:val="ListBullet"/>
      </w:pPr>
      <w:r>
        <w:t>The release fingerprint of what was reviewed.</w:t>
      </w:r>
    </w:p>
    <w:p>
      <w:pPr>
        <w:pStyle w:val="ListBullet"/>
      </w:pPr>
      <w:r>
        <w:t>A re-test of fixed findings.</w:t>
      </w:r>
    </w:p>
    <w:p>
      <w:pPr>
        <w:pStyle w:val="ListBullet"/>
      </w:pPr>
      <w:r>
        <w:t>Permission for NexonAI to quote the summary and the coverage statement. We will not quote more without your agreement.</w:t>
      </w:r>
    </w:p>
    <w:p>
      <w:r>
        <w:t>Timing, price and contact: to be agreed.</w:t>
      </w:r>
    </w:p>
    <w:p>
      <w:pPr>
        <w:pStyle w:val="Heading2"/>
      </w:pPr>
      <w:r>
        <w:t>9. What our own pre-audit found (25 October 2026)</w:t>
      </w:r>
    </w:p>
    <w:p>
      <w:r>
        <w:t>Before this brief went out we ran an internal adversarial review of the app and the node server (code reading, unit tests and a JVM probe; no device, no real Tor). The findings below are told here so that your time goes to what we do not already know. The detailed report is available under the confidentiality agreement.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7ECEF"/>
          </w:tcPr>
          <w:p>
            <w:r>
              <w:rPr>
                <w:b/>
                <w:sz w:val="17"/>
              </w:rPr>
            </w:r>
            <w:r>
              <w:rPr>
                <w:b/>
                <w:sz w:val="17"/>
              </w:rPr>
              <w:t>ID</w:t>
            </w:r>
          </w:p>
        </w:tc>
        <w:tc>
          <w:tcPr>
            <w:tcW w:type="dxa" w:w="2880"/>
            <w:shd w:val="clear" w:color="auto" w:fill="E7ECEF"/>
          </w:tcPr>
          <w:p>
            <w:r>
              <w:rPr>
                <w:b/>
                <w:sz w:val="17"/>
              </w:rPr>
            </w:r>
            <w:r>
              <w:rPr>
                <w:b/>
                <w:sz w:val="17"/>
              </w:rPr>
              <w:t>Finding</w:t>
            </w:r>
          </w:p>
        </w:tc>
        <w:tc>
          <w:tcPr>
            <w:tcW w:type="dxa" w:w="2880"/>
            <w:shd w:val="clear" w:color="auto" w:fill="E7ECEF"/>
          </w:tcPr>
          <w:p>
            <w:r>
              <w:rPr>
                <w:b/>
                <w:sz w:val="17"/>
              </w:rPr>
            </w:r>
            <w:r>
              <w:rPr>
                <w:b/>
                <w:sz w:val="17"/>
              </w:rPr>
              <w:t>Status on 25 October 2026</w:t>
            </w:r>
          </w:p>
        </w:tc>
      </w:tr>
      <w:tr>
        <w:tc>
          <w:tcPr>
            <w:tcW w:type="dxa" w:w="2880"/>
          </w:tcPr>
          <w:p>
            <w:r>
              <w:rPr>
                <w:sz w:val="17"/>
              </w:rPr>
            </w:r>
            <w:r>
              <w:rPr>
                <w:sz w:val="17"/>
              </w:rPr>
              <w:t>F1, L12</w:t>
            </w:r>
          </w:p>
        </w:tc>
        <w:tc>
          <w:tcPr>
            <w:tcW w:type="dxa" w:w="2880"/>
          </w:tcPr>
          <w:p>
            <w:r>
              <w:rPr>
                <w:sz w:val="17"/>
              </w:rPr>
            </w:r>
            <w:r>
              <w:rPr>
                <w:sz w:val="17"/>
              </w:rPr>
              <w:t>Payload length readable in the stored packet; padding is zeros behind the message</w:t>
            </w:r>
          </w:p>
        </w:tc>
        <w:tc>
          <w:tcPr>
            <w:tcW w:type="dxa" w:w="2880"/>
          </w:tcPr>
          <w:p>
            <w:r>
              <w:rPr>
                <w:sz w:val="17"/>
              </w:rPr>
            </w:r>
            <w:r>
              <w:rPr>
                <w:b/>
                <w:sz w:val="17"/>
              </w:rPr>
              <w:t>Open</w:t>
            </w:r>
            <w:r>
              <w:rPr>
                <w:sz w:val="17"/>
              </w:rPr>
              <w:t>, decision pending (wire format v2)</w:t>
            </w:r>
          </w:p>
        </w:tc>
      </w:tr>
      <w:tr>
        <w:tc>
          <w:tcPr>
            <w:tcW w:type="dxa" w:w="2880"/>
          </w:tcPr>
          <w:p>
            <w:r>
              <w:rPr>
                <w:sz w:val="17"/>
              </w:rPr>
            </w:r>
            <w:r>
              <w:rPr>
                <w:sz w:val="17"/>
              </w:rPr>
              <w:t>H1</w:t>
            </w:r>
          </w:p>
        </w:tc>
        <w:tc>
          <w:tcPr>
            <w:tcW w:type="dxa" w:w="2880"/>
          </w:tcPr>
          <w:p>
            <w:r>
              <w:rPr>
                <w:sz w:val="17"/>
              </w:rPr>
            </w:r>
            <w:r>
              <w:rPr>
                <w:sz w:val="17"/>
              </w:rPr>
              <w:t>Key of the contact database in clear in the app settings</w:t>
            </w:r>
          </w:p>
        </w:tc>
        <w:tc>
          <w:tcPr>
            <w:tcW w:type="dxa" w:w="2880"/>
          </w:tcPr>
          <w:p>
            <w:r>
              <w:rPr>
                <w:sz w:val="17"/>
              </w:rPr>
            </w:r>
            <w:r>
              <w:rPr>
                <w:sz w:val="17"/>
              </w:rPr>
              <w:t>Fixed (sealed under the phone key, migration for older installs); device test open</w:t>
            </w:r>
          </w:p>
        </w:tc>
      </w:tr>
      <w:tr>
        <w:tc>
          <w:tcPr>
            <w:tcW w:type="dxa" w:w="2880"/>
          </w:tcPr>
          <w:p>
            <w:r>
              <w:rPr>
                <w:sz w:val="17"/>
              </w:rPr>
            </w:r>
            <w:r>
              <w:rPr>
                <w:sz w:val="17"/>
              </w:rPr>
              <w:t>M9</w:t>
            </w:r>
          </w:p>
        </w:tc>
        <w:tc>
          <w:tcPr>
            <w:tcW w:type="dxa" w:w="2880"/>
          </w:tcPr>
          <w:p>
            <w:r>
              <w:rPr>
                <w:sz w:val="17"/>
              </w:rPr>
            </w:r>
            <w:r>
              <w:rPr>
                <w:sz w:val="17"/>
              </w:rPr>
              <w:t>Device-to-device transfer not excluded</w:t>
            </w:r>
          </w:p>
        </w:tc>
        <w:tc>
          <w:tcPr>
            <w:tcW w:type="dxa" w:w="2880"/>
          </w:tcPr>
          <w:p>
            <w:r>
              <w:rPr>
                <w:sz w:val="17"/>
              </w:rPr>
            </w:r>
            <w:r>
              <w:rPr>
                <w:sz w:val="17"/>
              </w:rPr>
              <w:t>Fixed (</w:t>
            </w:r>
            <w:r>
              <w:rPr>
                <w:rFonts w:ascii="Consolas" w:hAnsi="Consolas"/>
                <w:sz w:val="17"/>
              </w:rPr>
              <w:t>dataExtractionRules</w:t>
            </w:r>
            <w:r>
              <w:rPr>
                <w:sz w:val="17"/>
              </w:rPr>
              <w:t>); device test with a maker tool open</w:t>
            </w:r>
          </w:p>
        </w:tc>
      </w:tr>
      <w:tr>
        <w:tc>
          <w:tcPr>
            <w:tcW w:type="dxa" w:w="2880"/>
          </w:tcPr>
          <w:p>
            <w:r>
              <w:rPr>
                <w:sz w:val="17"/>
              </w:rPr>
            </w:r>
            <w:r>
              <w:rPr>
                <w:sz w:val="17"/>
              </w:rPr>
              <w:t>M10</w:t>
            </w:r>
          </w:p>
        </w:tc>
        <w:tc>
          <w:tcPr>
            <w:tcW w:type="dxa" w:w="2880"/>
          </w:tcPr>
          <w:p>
            <w:r>
              <w:rPr>
                <w:sz w:val="17"/>
              </w:rPr>
            </w:r>
            <w:r>
              <w:rPr>
                <w:sz w:val="17"/>
              </w:rPr>
              <w:t>Panic PIN left the pairing code on screen and recoverable database rows</w:t>
            </w:r>
          </w:p>
        </w:tc>
        <w:tc>
          <w:tcPr>
            <w:tcW w:type="dxa" w:w="2880"/>
          </w:tcPr>
          <w:p>
            <w:r>
              <w:rPr>
                <w:sz w:val="17"/>
              </w:rPr>
            </w:r>
            <w:r>
              <w:rPr>
                <w:sz w:val="17"/>
              </w:rPr>
              <w:t>Fixed (wipe extended, secure delete, vacuum); device test open</w:t>
            </w:r>
          </w:p>
        </w:tc>
      </w:tr>
      <w:tr>
        <w:tc>
          <w:tcPr>
            <w:tcW w:type="dxa" w:w="2880"/>
          </w:tcPr>
          <w:p>
            <w:r>
              <w:rPr>
                <w:sz w:val="17"/>
              </w:rPr>
            </w:r>
            <w:r>
              <w:rPr>
                <w:sz w:val="17"/>
              </w:rPr>
              <w:t>M7</w:t>
            </w:r>
          </w:p>
        </w:tc>
        <w:tc>
          <w:tcPr>
            <w:tcW w:type="dxa" w:w="2880"/>
          </w:tcPr>
          <w:p>
            <w:r>
              <w:rPr>
                <w:sz w:val="17"/>
              </w:rPr>
            </w:r>
            <w:r>
              <w:rPr>
                <w:sz w:val="17"/>
              </w:rPr>
              <w:t>Node addresses not limited to v3 onions (write key could go to a plain host through an exit)</w:t>
            </w:r>
          </w:p>
        </w:tc>
        <w:tc>
          <w:tcPr>
            <w:tcW w:type="dxa" w:w="2880"/>
          </w:tcPr>
          <w:p>
            <w:r>
              <w:rPr>
                <w:sz w:val="17"/>
              </w:rPr>
            </w:r>
            <w:r>
              <w:rPr>
                <w:sz w:val="17"/>
              </w:rPr>
              <w:t>Fixed in pairing codes, node lists, owner strings, migration signals and the transport</w:t>
            </w:r>
          </w:p>
        </w:tc>
      </w:tr>
      <w:tr>
        <w:tc>
          <w:tcPr>
            <w:tcW w:type="dxa" w:w="2880"/>
          </w:tcPr>
          <w:p>
            <w:r>
              <w:rPr>
                <w:sz w:val="17"/>
              </w:rPr>
            </w:r>
            <w:r>
              <w:rPr>
                <w:sz w:val="17"/>
              </w:rPr>
              <w:t>L4</w:t>
            </w:r>
          </w:p>
        </w:tc>
        <w:tc>
          <w:tcPr>
            <w:tcW w:type="dxa" w:w="2880"/>
          </w:tcPr>
          <w:p>
            <w:r>
              <w:rPr>
                <w:sz w:val="17"/>
              </w:rPr>
            </w:r>
            <w:r>
              <w:rPr>
                <w:sz w:val="17"/>
              </w:rPr>
              <w:t>Clipboard not cleared when the app is in the background</w:t>
            </w:r>
          </w:p>
        </w:tc>
        <w:tc>
          <w:tcPr>
            <w:tcW w:type="dxa" w:w="2880"/>
          </w:tcPr>
          <w:p>
            <w:r>
              <w:rPr>
                <w:sz w:val="17"/>
              </w:rPr>
            </w:r>
            <w:r>
              <w:rPr>
                <w:sz w:val="17"/>
              </w:rPr>
              <w:t>Fixed; device test open</w:t>
            </w:r>
          </w:p>
        </w:tc>
      </w:tr>
      <w:tr>
        <w:tc>
          <w:tcPr>
            <w:tcW w:type="dxa" w:w="2880"/>
          </w:tcPr>
          <w:p>
            <w:r>
              <w:rPr>
                <w:sz w:val="17"/>
              </w:rPr>
            </w:r>
            <w:r>
              <w:rPr>
                <w:sz w:val="17"/>
              </w:rPr>
              <w:t>L5, L6, L10, L11</w:t>
            </w:r>
          </w:p>
        </w:tc>
        <w:tc>
          <w:tcPr>
            <w:tcW w:type="dxa" w:w="2880"/>
          </w:tcPr>
          <w:p>
            <w:r>
              <w:rPr>
                <w:sz w:val="17"/>
              </w:rPr>
            </w:r>
            <w:r>
              <w:rPr>
                <w:sz w:val="17"/>
              </w:rPr>
              <w:t>Unbounded chunk count and packet header, quadratic list parser, PIN pause shortened by moving the date, slow Temp Node connections</w:t>
            </w:r>
          </w:p>
        </w:tc>
        <w:tc>
          <w:tcPr>
            <w:tcW w:type="dxa" w:w="2880"/>
          </w:tcPr>
          <w:p>
            <w:r>
              <w:rPr>
                <w:sz w:val="17"/>
              </w:rPr>
            </w:r>
            <w:r>
              <w:rPr>
                <w:sz w:val="17"/>
              </w:rPr>
              <w:t>Fixed</w:t>
            </w:r>
          </w:p>
        </w:tc>
      </w:tr>
      <w:tr>
        <w:tc>
          <w:tcPr>
            <w:tcW w:type="dxa" w:w="2880"/>
          </w:tcPr>
          <w:p>
            <w:r>
              <w:rPr>
                <w:sz w:val="17"/>
              </w:rPr>
            </w:r>
            <w:r>
              <w:rPr>
                <w:sz w:val="17"/>
              </w:rPr>
              <w:t>M4</w:t>
            </w:r>
          </w:p>
        </w:tc>
        <w:tc>
          <w:tcPr>
            <w:tcW w:type="dxa" w:w="2880"/>
          </w:tcPr>
          <w:p>
            <w:r>
              <w:rPr>
                <w:sz w:val="17"/>
              </w:rPr>
            </w:r>
            <w:r>
              <w:rPr>
                <w:sz w:val="17"/>
              </w:rPr>
              <w:t>A node operator can chain a contact's tags over days (26 tags per request, contacts bundled)</w:t>
            </w:r>
          </w:p>
        </w:tc>
        <w:tc>
          <w:tcPr>
            <w:tcW w:type="dxa" w:w="2880"/>
          </w:tcPr>
          <w:p>
            <w:r>
              <w:rPr>
                <w:sz w:val="17"/>
              </w:rPr>
            </w:r>
            <w:r>
              <w:rPr>
                <w:b/>
                <w:sz w:val="17"/>
              </w:rPr>
              <w:t>Reduced</w:t>
            </w:r>
            <w:r>
              <w:rPr>
                <w:sz w:val="17"/>
              </w:rPr>
              <w:t xml:space="preserve"> on 25 Oct: per-contact requests, 2 to 3 epochs, spread in time; chaining via a shared Tor circuit remains</w:t>
            </w:r>
          </w:p>
        </w:tc>
      </w:tr>
      <w:tr>
        <w:tc>
          <w:tcPr>
            <w:tcW w:type="dxa" w:w="2880"/>
          </w:tcPr>
          <w:p>
            <w:r>
              <w:rPr>
                <w:sz w:val="17"/>
              </w:rPr>
            </w:r>
            <w:r>
              <w:rPr>
                <w:sz w:val="17"/>
              </w:rPr>
              <w:t>M5</w:t>
            </w:r>
          </w:p>
        </w:tc>
        <w:tc>
          <w:tcPr>
            <w:tcW w:type="dxa" w:w="2880"/>
          </w:tcPr>
          <w:p>
            <w:r>
              <w:rPr>
                <w:sz w:val="17"/>
              </w:rPr>
            </w:r>
            <w:r>
              <w:rPr>
                <w:sz w:val="17"/>
              </w:rPr>
              <w:t>One write key per server for all company devices</w:t>
            </w:r>
          </w:p>
        </w:tc>
        <w:tc>
          <w:tcPr>
            <w:tcW w:type="dxa" w:w="2880"/>
          </w:tcPr>
          <w:p>
            <w:r>
              <w:rPr>
                <w:sz w:val="17"/>
              </w:rPr>
            </w:r>
            <w:r>
              <w:rPr>
                <w:b/>
                <w:sz w:val="17"/>
              </w:rPr>
              <w:t>Open</w:t>
            </w:r>
            <w:r>
              <w:rPr>
                <w:sz w:val="17"/>
              </w:rPr>
              <w:t>, design question</w:t>
            </w:r>
          </w:p>
        </w:tc>
      </w:tr>
      <w:tr>
        <w:tc>
          <w:tcPr>
            <w:tcW w:type="dxa" w:w="2880"/>
          </w:tcPr>
          <w:p>
            <w:r>
              <w:rPr>
                <w:sz w:val="17"/>
              </w:rPr>
            </w:r>
            <w:r>
              <w:rPr>
                <w:sz w:val="17"/>
              </w:rPr>
              <w:t>M6</w:t>
            </w:r>
          </w:p>
        </w:tc>
        <w:tc>
          <w:tcPr>
            <w:tcW w:type="dxa" w:w="2880"/>
          </w:tcPr>
          <w:p>
            <w:r>
              <w:rPr>
                <w:sz w:val="17"/>
              </w:rPr>
            </w:r>
            <w:r>
              <w:rPr>
                <w:sz w:val="17"/>
              </w:rPr>
              <w:t>Control signals not carried by the ratchet</w:t>
            </w:r>
          </w:p>
        </w:tc>
        <w:tc>
          <w:tcPr>
            <w:tcW w:type="dxa" w:w="2880"/>
          </w:tcPr>
          <w:p>
            <w:r>
              <w:rPr>
                <w:sz w:val="17"/>
              </w:rPr>
            </w:r>
            <w:r>
              <w:rPr>
                <w:b/>
                <w:sz w:val="17"/>
              </w:rPr>
              <w:t>Open</w:t>
            </w:r>
            <w:r>
              <w:rPr>
                <w:sz w:val="17"/>
              </w:rPr>
              <w:t>, tied to F1</w:t>
            </w:r>
          </w:p>
        </w:tc>
      </w:tr>
      <w:tr>
        <w:tc>
          <w:tcPr>
            <w:tcW w:type="dxa" w:w="2880"/>
          </w:tcPr>
          <w:p>
            <w:r>
              <w:rPr>
                <w:sz w:val="17"/>
              </w:rPr>
            </w:r>
            <w:r>
              <w:rPr>
                <w:sz w:val="17"/>
              </w:rPr>
              <w:t>I4</w:t>
            </w:r>
          </w:p>
        </w:tc>
        <w:tc>
          <w:tcPr>
            <w:tcW w:type="dxa" w:w="2880"/>
          </w:tcPr>
          <w:p>
            <w:r>
              <w:rPr>
                <w:sz w:val="17"/>
              </w:rPr>
            </w:r>
            <w:r>
              <w:rPr>
                <w:sz w:val="17"/>
              </w:rPr>
              <w:t>Biometric unlock without a cryptographic object, bypassable on a rooted phone with hooking tools</w:t>
            </w:r>
          </w:p>
        </w:tc>
        <w:tc>
          <w:tcPr>
            <w:tcW w:type="dxa" w:w="2880"/>
          </w:tcPr>
          <w:p>
            <w:r>
              <w:rPr>
                <w:sz w:val="17"/>
              </w:rPr>
            </w:r>
            <w:r>
              <w:rPr>
                <w:sz w:val="17"/>
              </w:rPr>
              <w:t>Known limit</w:t>
            </w:r>
          </w:p>
        </w:tc>
      </w:tr>
    </w:tbl>
    <w:p/>
    <w:p>
      <w:r>
        <w:t xml:space="preserve">Not covered by our own review: any device (normal or rooted), real Tor, bridges and Snowflake, the </w:t>
      </w:r>
      <w:r>
        <w:rPr>
          <w:rFonts w:ascii="Consolas" w:hAnsi="Consolas"/>
          <w:sz w:val="18"/>
        </w:rPr>
        <w:t>TorManager</w:t>
      </w:r>
      <w:r>
        <w:t>, feed cryptography, a traffic capture, a release APK.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