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urn:schemas-microsoft-com:vml" xmlns:ns3="urn:schemas-microsoft-com:office:office" xmlns:ns4="http://schemas.openxmlformats.org/officeDocument/2006/math" xmlns:w="http://schemas.openxmlformats.org/wordprocessingml/2006/main">
  <w:body>
    <w:p>
      <w:pPr>
        <w:pStyle w:val="FirstParagraph"/>
      </w:pPr>
      <w:r>
        <w:rPr>
          <w:bCs/>
          <w:b/>
        </w:rPr>
        <w:t xml:space="preserve">TibaBot</w:t>
      </w:r>
    </w:p>
    <w:p>
      <w:pPr>
        <w:pStyle w:val="BodyText"/>
      </w:pPr>
      <w:r>
        <w:t xml:space="preserve">Clinical Intelligence Platform</w:t>
      </w:r>
    </w:p>
    <w:p>
      <w:pPr>
        <w:pStyle w:val="BodyText"/>
      </w:pPr>
      <w:r>
        <w:t xml:space="preserve">Strategic Partnership Overview for HMIS Providers</w:t>
      </w:r>
    </w:p>
    <w:p>
      <w:pPr>
        <w:pStyle w:val="BodyText"/>
      </w:pPr>
      <w:r>
        <w:rPr>
          <w:bCs/>
          <w:b/>
        </w:rPr>
        <w:t xml:space="preserve">Nexora Consulting Limited</w:t>
      </w:r>
    </w:p>
    <w:p>
      <w:pPr>
        <w:pStyle w:val="BodyText"/>
      </w:pPr>
      <w:hyperlink ns1:id="rId20">
        <w:r>
          <w:rPr>
            <w:rStyle w:val="Hyperlink"/>
          </w:rPr>
          <w:t xml:space="preserve">https://www.nexora.africa</w:t>
        </w:r>
      </w:hyperlink>
    </w:p>
    <w:p>
      <w:r>
        <w:pict>
          <ns2:rect style="width:0;height:1.5pt" ns3:hralign="center" ns3:hrstd="t" ns3:hr="t"/>
        </w:pict>
      </w:r>
    </w:p>
    <w:bookmarkStart w:id="21" w:name="executive-summary"/>
    <w:p>
      <w:pPr>
        <w:pStyle w:val="Heading1"/>
      </w:pPr>
      <w:r>
        <w:t xml:space="preserve">Executive Summary</w:t>
      </w:r>
    </w:p>
    <w:p>
      <w:pPr>
        <w:pStyle w:val="FirstParagraph"/>
      </w:pPr>
      <w:r>
        <w:t xml:space="preserve">Artificial Intelligence is rapidly becoming a core capability expected by healthcare providers. Hospitals increasingly demand intelligent clinical documentation, clinical decision support, coding assistance, operational automation, and evidence-based recommendations directly within their Hospital Management Information Systems (HMIS).</w:t>
      </w:r>
    </w:p>
    <w:p>
      <w:pPr>
        <w:pStyle w:val="BodyText"/>
      </w:pPr>
      <w:r>
        <w:t xml:space="preserve">Developing these capabilities internally requires significant investment in AI engineering, clinical knowledge management, infrastructure, governance, and ongoing model maintenance.</w:t>
      </w:r>
    </w:p>
    <w:p>
      <w:pPr>
        <w:pStyle w:val="BodyText"/>
      </w:pPr>
      <w:r>
        <w:t xml:space="preserve">TibaBot enables HMIS vendors to deliver enterprise-grade healthcare AI without building an in-house AI platform.</w:t>
      </w:r>
    </w:p>
    <w:p>
      <w:pPr>
        <w:pStyle w:val="BodyText"/>
      </w:pPr>
      <w:r>
        <w:t xml:space="preserve">Rather than replacing existing HMIS solutions, TibaBot serves as an intelligent clinical layer that integrates seamlessly with existing healthcare systems, allowing providers to enhance their products while preserving existing workflows and customer relationships.</w:t>
      </w:r>
    </w:p>
    <w:bookmarkEnd w:id="21"/>
    <w:bookmarkStart w:id="22" w:name="the-opportunity"/>
    <w:p>
      <w:pPr>
        <w:pStyle w:val="Heading1"/>
      </w:pPr>
      <w:r>
        <w:t xml:space="preserve">The Opportunity</w:t>
      </w:r>
    </w:p>
    <w:p>
      <w:pPr>
        <w:pStyle w:val="FirstParagraph"/>
      </w:pPr>
      <w:r>
        <w:t xml:space="preserve">Healthcare software is evolving beyond digital record keeping.</w:t>
      </w:r>
    </w:p>
    <w:p>
      <w:pPr>
        <w:pStyle w:val="BodyText"/>
      </w:pPr>
      <w:r>
        <w:t xml:space="preserve">Healthcare providers increasingly expect AI capabilities including:</w:t>
      </w:r>
    </w:p>
    <w:p>
      <w:pPr>
        <w:pStyle w:val="BodyText"/>
      </w:pPr>
      <w:r>
        <w:t xml:space="preserve">HMIS vendors face a strategic choice: invest years and significant capital building these capabilities internally, or leverage an existing, purpose-built Healthcare Intelligence Platform. Building internally requires specialised AI talent, clinical knowledge infrastructure, ongoing model maintenance, and regulatory expertise — diverting resources from your core HMIS.</w:t>
      </w:r>
    </w:p>
    <w:p>
      <w:pPr>
        <w:numPr>
          <w:ilvl w:val="0"/>
          <w:numId w:val="1001"/>
        </w:numPr>
      </w:pPr>
      <w:r>
        <w:t xml:space="preserve">AI-assisted clinical documentation</w:t>
      </w:r>
    </w:p>
    <w:p>
      <w:pPr>
        <w:numPr>
          <w:ilvl w:val="0"/>
          <w:numId w:val="1001"/>
        </w:numPr>
      </w:pPr>
      <w:r>
        <w:t xml:space="preserve">Clinical decision support</w:t>
      </w:r>
    </w:p>
    <w:p>
      <w:pPr>
        <w:numPr>
          <w:ilvl w:val="0"/>
          <w:numId w:val="1001"/>
        </w:numPr>
      </w:pPr>
      <w:r>
        <w:t xml:space="preserve">Differential diagnosis assistance</w:t>
      </w:r>
    </w:p>
    <w:p>
      <w:pPr>
        <w:numPr>
          <w:ilvl w:val="0"/>
          <w:numId w:val="1001"/>
        </w:numPr>
      </w:pPr>
      <w:r>
        <w:t xml:space="preserve">Diagnostic interpretation</w:t>
      </w:r>
    </w:p>
    <w:p>
      <w:pPr>
        <w:numPr>
          <w:ilvl w:val="0"/>
          <w:numId w:val="1001"/>
        </w:numPr>
      </w:pPr>
      <w:r>
        <w:t xml:space="preserve">Risk prediction</w:t>
      </w:r>
    </w:p>
    <w:p>
      <w:pPr>
        <w:numPr>
          <w:ilvl w:val="0"/>
          <w:numId w:val="1001"/>
        </w:numPr>
      </w:pPr>
      <w:r>
        <w:t xml:space="preserve">ICD-10 coding assistance</w:t>
      </w:r>
    </w:p>
    <w:p>
      <w:pPr>
        <w:numPr>
          <w:ilvl w:val="0"/>
          <w:numId w:val="1001"/>
        </w:numPr>
      </w:pPr>
      <w:r>
        <w:t xml:space="preserve">Clinical summarization</w:t>
      </w:r>
    </w:p>
    <w:p>
      <w:pPr>
        <w:numPr>
          <w:ilvl w:val="0"/>
          <w:numId w:val="1001"/>
        </w:numPr>
      </w:pPr>
      <w:r>
        <w:t xml:space="preserve">Drug information and interaction support</w:t>
      </w:r>
    </w:p>
    <w:p>
      <w:pPr>
        <w:numPr>
          <w:ilvl w:val="0"/>
          <w:numId w:val="1001"/>
        </w:numPr>
      </w:pPr>
      <w:r>
        <w:t xml:space="preserve">Intelligent knowledge retrieval</w:t>
      </w:r>
    </w:p>
    <w:p>
      <w:pPr>
        <w:numPr>
          <w:ilvl w:val="0"/>
          <w:numId w:val="1001"/>
        </w:numPr>
      </w:pPr>
      <w:r>
        <w:t xml:space="preserve">Administrative automation</w:t>
      </w:r>
    </w:p>
    <w:p>
      <w:pPr>
        <w:pStyle w:val="FirstParagraph"/>
      </w:pPr>
      <w:r>
        <w:t xml:space="preserve">For many HMIS providers, developing these capabilities internally can require years of specialised investment.</w:t>
      </w:r>
    </w:p>
    <w:p>
      <w:pPr>
        <w:pStyle w:val="BodyText"/>
      </w:pPr>
      <w:r>
        <w:t xml:space="preserve">TibaBot accelerates this journey by providing an AI platform purpose-built for healthcare.</w:t>
      </w:r>
    </w:p>
    <w:bookmarkEnd w:id="22"/>
    <w:bookmarkStart w:id="23" w:name="what-is-tibabot"/>
    <w:p>
      <w:pPr>
        <w:pStyle w:val="Heading1"/>
      </w:pPr>
      <w:r>
        <w:t xml:space="preserve">What is TibaBot?</w:t>
      </w:r>
    </w:p>
    <w:p>
      <w:pPr>
        <w:pStyle w:val="FirstParagraph"/>
      </w:pPr>
      <w:r>
        <w:t xml:space="preserve">TibaBot is a modular Clinical Intelligence Platform designed to integrate into existing HMIS ecosystems.</w:t>
      </w:r>
    </w:p>
    <w:p>
      <w:pPr>
        <w:pStyle w:val="BodyText"/>
      </w:pPr>
      <w:r>
        <w:t xml:space="preserve">The HMIS remains the authoritative System of Record, while TibaBot provides an extensible System of Intelligence delivering clinical, operational and administrative AI capabilities through a secure integration layer. Together, they form an AI-Native Healthcare platform.</w:t>
      </w:r>
    </w:p>
    <w:tbl>
      <w:tblPr>
        <w:tblStyle w:val="Table"/>
        <w:tblW w:type="auto" w:w="0"/>
        <w:tblLook w:firstRow="0" w:lastRow="0" w:firstColumn="0" w:lastColumn="0" w:noHBand="0" w:noVBand="0" w:val="0000"/>
      </w:tblPr>
      <w:tblGrid>
        <w:gridCol w:w="7920"/>
      </w:tblGrid>
      <w:tr>
        <w:tc>
          <w:tcPr/>
          <w:p>
            <w:pPr>
              <w:pStyle w:val="Compact"/>
              <w:jc w:val="center"/>
            </w:pPr>
            <w:r>
              <w:t xml:space="preserve">Clinicians</w:t>
            </w:r>
          </w:p>
        </w:tc>
      </w:tr>
      <w:tr>
        <w:tc>
          <w:tcPr/>
          <w:p>
            <w:pPr>
              <w:pStyle w:val="Compact"/>
              <w:jc w:val="center"/>
            </w:pPr>
            <ns4:oMath>
              <ns4:r>
                <ns4:rPr>
                  <ns4:sty ns4:val="p"/>
                </ns4:rPr>
                <ns4:t>↓</ns4:t>
              </ns4:r>
            </ns4:oMath>
          </w:p>
        </w:tc>
      </w:tr>
      <w:tr>
        <w:tc>
          <w:tcPr/>
          <w:p>
            <w:pPr>
              <w:pStyle w:val="Compact"/>
              <w:jc w:val="center"/>
            </w:pPr>
            <w:r>
              <w:t xml:space="preserve">Existing HMIS Platform</w:t>
            </w:r>
          </w:p>
        </w:tc>
      </w:tr>
      <w:tr>
        <w:tc>
          <w:tcPr/>
          <w:p>
            <w:pPr>
              <w:pStyle w:val="Compact"/>
              <w:jc w:val="center"/>
            </w:pPr>
            <ns4:oMath>
              <ns4:r>
                <ns4:rPr>
                  <ns4:sty ns4:val="p"/>
                </ns4:rPr>
                <ns4:t>↓</ns4:t>
              </ns4:r>
            </ns4:oMath>
          </w:p>
        </w:tc>
      </w:tr>
      <w:tr>
        <w:tc>
          <w:tcPr/>
          <w:p>
            <w:pPr>
              <w:pStyle w:val="Compact"/>
              <w:jc w:val="center"/>
            </w:pPr>
            <w:r>
              <w:rPr>
                <w:bCs/>
                <w:b/>
              </w:rPr>
              <w:t xml:space="preserve">TibaBot Clinical Intelligence Layer</w:t>
            </w:r>
          </w:p>
        </w:tc>
      </w:tr>
      <w:tr>
        <w:tc>
          <w:tcPr/>
          <w:p>
            <w:pPr>
              <w:pStyle w:val="Compact"/>
              <w:jc w:val="center"/>
            </w:pPr>
            <ns4:oMath>
              <ns4:r>
                <ns4:rPr>
                  <ns4:sty ns4:val="p"/>
                </ns4:rPr>
                <ns4:t>↓</ns4:t>
              </ns4:r>
            </ns4:oMath>
          </w:p>
        </w:tc>
      </w:tr>
      <w:tr>
        <w:tc>
          <w:tcPr/>
          <w:p>
            <w:pPr>
              <w:pStyle w:val="Compact"/>
              <w:jc w:val="center"/>
            </w:pPr>
            <w:r>
              <w:t xml:space="preserve">Clinical AI Services</w:t>
            </w:r>
          </w:p>
        </w:tc>
      </w:tr>
    </w:tbl>
    <w:bookmarkEnd w:id="23"/>
    <w:bookmarkStart w:id="30" w:name="core-capabilities"/>
    <w:p>
      <w:pPr>
        <w:pStyle w:val="Heading1"/>
      </w:pPr>
      <w:r>
        <w:t xml:space="preserve">Core Capabilities</w:t>
      </w:r>
    </w:p>
    <w:bookmarkStart w:id="24" w:name="clinical-intelligence"/>
    <w:p>
      <w:pPr>
        <w:pStyle w:val="Heading2"/>
      </w:pPr>
      <w:r>
        <w:t xml:space="preserve">Clinical Intelligence</w:t>
      </w:r>
    </w:p>
    <w:p>
      <w:pPr>
        <w:numPr>
          <w:ilvl w:val="0"/>
          <w:numId w:val="1002"/>
        </w:numPr>
      </w:pPr>
      <w:r>
        <w:t xml:space="preserve">Clinical decision support</w:t>
      </w:r>
    </w:p>
    <w:p>
      <w:pPr>
        <w:numPr>
          <w:ilvl w:val="0"/>
          <w:numId w:val="1002"/>
        </w:numPr>
      </w:pPr>
      <w:r>
        <w:t xml:space="preserve">Differential diagnosis generation</w:t>
      </w:r>
    </w:p>
    <w:p>
      <w:pPr>
        <w:numPr>
          <w:ilvl w:val="0"/>
          <w:numId w:val="1002"/>
        </w:numPr>
      </w:pPr>
      <w:r>
        <w:t xml:space="preserve">Evidence-based recommendations</w:t>
      </w:r>
    </w:p>
    <w:p>
      <w:pPr>
        <w:numPr>
          <w:ilvl w:val="0"/>
          <w:numId w:val="1002"/>
        </w:numPr>
      </w:pPr>
      <w:r>
        <w:t xml:space="preserve">Risk stratification</w:t>
      </w:r>
    </w:p>
    <w:p>
      <w:pPr>
        <w:numPr>
          <w:ilvl w:val="0"/>
          <w:numId w:val="1002"/>
        </w:numPr>
      </w:pPr>
      <w:r>
        <w:t xml:space="preserve">Clinical reasoning assistance</w:t>
      </w:r>
    </w:p>
    <w:bookmarkEnd w:id="24"/>
    <w:bookmarkStart w:id="25" w:name="intelligent-documentation"/>
    <w:p>
      <w:pPr>
        <w:pStyle w:val="Heading2"/>
      </w:pPr>
      <w:r>
        <w:t xml:space="preserve">Intelligent Clinical Documentation</w:t>
      </w:r>
    </w:p>
    <w:p>
      <w:pPr>
        <w:numPr>
          <w:ilvl w:val="0"/>
          <w:numId w:val="1003"/>
        </w:numPr>
      </w:pPr>
      <w:r>
        <w:t xml:space="preserve">SOAP note generation</w:t>
      </w:r>
    </w:p>
    <w:p>
      <w:pPr>
        <w:numPr>
          <w:ilvl w:val="0"/>
          <w:numId w:val="1003"/>
        </w:numPr>
      </w:pPr>
      <w:r>
        <w:t xml:space="preserve">Clinical summaries</w:t>
      </w:r>
    </w:p>
    <w:p>
      <w:pPr>
        <w:numPr>
          <w:ilvl w:val="0"/>
          <w:numId w:val="1003"/>
        </w:numPr>
      </w:pPr>
      <w:r>
        <w:t xml:space="preserve">Discharge summaries</w:t>
      </w:r>
    </w:p>
    <w:p>
      <w:pPr>
        <w:numPr>
          <w:ilvl w:val="0"/>
          <w:numId w:val="1003"/>
        </w:numPr>
      </w:pPr>
      <w:r>
        <w:t xml:space="preserve">Referral letters</w:t>
      </w:r>
    </w:p>
    <w:p>
      <w:pPr>
        <w:numPr>
          <w:ilvl w:val="0"/>
          <w:numId w:val="1003"/>
        </w:numPr>
      </w:pPr>
      <w:r>
        <w:t xml:space="preserve">Encounter documentation</w:t>
      </w:r>
    </w:p>
    <w:bookmarkEnd w:id="25"/>
    <w:bookmarkStart w:id="26" w:name="diagnostic-intelligence"/>
    <w:p>
      <w:pPr>
        <w:pStyle w:val="Heading2"/>
      </w:pPr>
      <w:r>
        <w:t xml:space="preserve">Diagnostic Intelligence</w:t>
      </w:r>
    </w:p>
    <w:p>
      <w:pPr>
        <w:numPr>
          <w:ilvl w:val="0"/>
          <w:numId w:val="1004"/>
        </w:numPr>
      </w:pPr>
      <w:r>
        <w:t xml:space="preserve">Laboratory interpretation</w:t>
      </w:r>
    </w:p>
    <w:p>
      <w:pPr>
        <w:numPr>
          <w:ilvl w:val="0"/>
          <w:numId w:val="1004"/>
        </w:numPr>
      </w:pPr>
      <w:r>
        <w:t xml:space="preserve">Diagnostic result interpretation</w:t>
      </w:r>
    </w:p>
    <w:p>
      <w:pPr>
        <w:numPr>
          <w:ilvl w:val="0"/>
          <w:numId w:val="1004"/>
        </w:numPr>
      </w:pPr>
      <w:r>
        <w:t xml:space="preserve">Abnormality detection</w:t>
      </w:r>
    </w:p>
    <w:p>
      <w:pPr>
        <w:numPr>
          <w:ilvl w:val="0"/>
          <w:numId w:val="1004"/>
        </w:numPr>
      </w:pPr>
      <w:r>
        <w:t xml:space="preserve">Trend analysis</w:t>
      </w:r>
    </w:p>
    <w:bookmarkEnd w:id="26"/>
    <w:bookmarkStart w:id="27" w:name="clinical-coding"/>
    <w:p>
      <w:pPr>
        <w:pStyle w:val="Heading2"/>
      </w:pPr>
      <w:r>
        <w:t xml:space="preserve">Revenue Cycle Intelligence</w:t>
      </w:r>
    </w:p>
    <w:p>
      <w:pPr>
        <w:numPr>
          <w:ilvl w:val="0"/>
          <w:numId w:val="1005"/>
        </w:numPr>
      </w:pPr>
      <w:r>
        <w:t xml:space="preserve">ICD-10 coding assistance</w:t>
      </w:r>
    </w:p>
    <w:p>
      <w:pPr>
        <w:numPr>
          <w:ilvl w:val="0"/>
          <w:numId w:val="1005"/>
        </w:numPr>
      </w:pPr>
      <w:r>
        <w:t xml:space="preserve">Documentation quality improvement</w:t>
      </w:r>
    </w:p>
    <w:p>
      <w:pPr>
        <w:numPr>
          <w:ilvl w:val="0"/>
          <w:numId w:val="1005"/>
        </w:numPr>
      </w:pPr>
      <w:r>
        <w:t xml:space="preserve">Coding validation</w:t>
      </w:r>
    </w:p>
    <w:p>
      <w:pPr>
        <w:numPr>
          <w:ilvl w:val="0"/>
          <w:numId w:val="1005"/>
        </w:numPr>
      </w:pPr>
      <w:r>
        <w:t xml:space="preserve">Claims support</w:t>
      </w:r>
    </w:p>
    <w:bookmarkEnd w:id="27"/>
    <w:bookmarkStart w:id="28" w:name="knowledge-management"/>
    <w:p>
      <w:pPr>
        <w:pStyle w:val="Heading2"/>
      </w:pPr>
      <w:r>
        <w:t xml:space="preserve">Clinical Knowledge Platform</w:t>
      </w:r>
    </w:p>
    <w:p>
      <w:pPr>
        <w:numPr>
          <w:ilvl w:val="0"/>
          <w:numId w:val="1006"/>
        </w:numPr>
      </w:pPr>
      <w:r>
        <w:t xml:space="preserve">Ministry of Health guideline assistant</w:t>
      </w:r>
    </w:p>
    <w:p>
      <w:pPr>
        <w:numPr>
          <w:ilvl w:val="0"/>
          <w:numId w:val="1006"/>
        </w:numPr>
      </w:pPr>
      <w:r>
        <w:t xml:space="preserve">Hospital SOP assistant</w:t>
      </w:r>
    </w:p>
    <w:p>
      <w:pPr>
        <w:numPr>
          <w:ilvl w:val="0"/>
          <w:numId w:val="1006"/>
        </w:numPr>
      </w:pPr>
      <w:r>
        <w:t xml:space="preserve">Drug reference</w:t>
      </w:r>
    </w:p>
    <w:p>
      <w:pPr>
        <w:numPr>
          <w:ilvl w:val="0"/>
          <w:numId w:val="1006"/>
        </w:numPr>
      </w:pPr>
      <w:r>
        <w:t xml:space="preserve">Clinical protocol retrieval</w:t>
      </w:r>
    </w:p>
    <w:p>
      <w:pPr>
        <w:numPr>
          <w:ilvl w:val="0"/>
          <w:numId w:val="1006"/>
        </w:numPr>
      </w:pPr>
      <w:r>
        <w:t xml:space="preserve">Institutional knowledge base</w:t>
      </w:r>
    </w:p>
    <w:bookmarkEnd w:id="28"/>
    <w:bookmarkStart w:id="29" w:name="operational-intelligence"/>
    <w:p>
      <w:pPr>
        <w:pStyle w:val="Heading2"/>
      </w:pPr>
      <w:r>
        <w:t xml:space="preserve">Operational Intelligence</w:t>
      </w:r>
    </w:p>
    <w:p>
      <w:pPr>
        <w:numPr>
          <w:ilvl w:val="0"/>
          <w:numId w:val="1007"/>
        </w:numPr>
      </w:pPr>
      <w:r>
        <w:t xml:space="preserve">AI-powered search</w:t>
      </w:r>
    </w:p>
    <w:p>
      <w:pPr>
        <w:numPr>
          <w:ilvl w:val="0"/>
          <w:numId w:val="1007"/>
        </w:numPr>
      </w:pPr>
      <w:r>
        <w:t xml:space="preserve">Administrative assistant</w:t>
      </w:r>
    </w:p>
    <w:p>
      <w:pPr>
        <w:numPr>
          <w:ilvl w:val="0"/>
          <w:numId w:val="1007"/>
        </w:numPr>
      </w:pPr>
      <w:r>
        <w:t xml:space="preserve">Workflow automation</w:t>
      </w:r>
    </w:p>
    <w:p>
      <w:pPr>
        <w:numPr>
          <w:ilvl w:val="0"/>
          <w:numId w:val="1007"/>
        </w:numPr>
      </w:pPr>
      <w:r>
        <w:t xml:space="preserve">Intelligent reporting</w:t>
      </w:r>
    </w:p>
    <w:bookmarkEnd w:id="29"/>
    <w:bookmarkEnd w:id="30"/>
    <w:bookmarkStart w:id="31" w:name="integration"/>
    <w:p>
      <w:pPr>
        <w:pStyle w:val="Heading1"/>
      </w:pPr>
      <w:r>
        <w:t xml:space="preserve">Integration</w:t>
      </w:r>
    </w:p>
    <w:p>
      <w:pPr>
        <w:pStyle w:val="FirstParagraph"/>
      </w:pPr>
      <w:r>
        <w:t xml:space="preserve">TibaBot has been designed for rapid integration into existing healthcare software environments.</w:t>
      </w:r>
    </w:p>
    <w:p>
      <w:pPr>
        <w:pStyle w:val="BodyText"/>
      </w:pPr>
      <w:r>
        <w:t xml:space="preserve">Supported integration methods include:</w:t>
      </w:r>
    </w:p>
    <w:p>
      <w:pPr>
        <w:numPr>
          <w:ilvl w:val="0"/>
          <w:numId w:val="1008"/>
        </w:numPr>
      </w:pPr>
      <w:r>
        <w:t xml:space="preserve">REST APIs</w:t>
      </w:r>
    </w:p>
    <w:p>
      <w:pPr>
        <w:numPr>
          <w:ilvl w:val="0"/>
          <w:numId w:val="1008"/>
        </w:numPr>
      </w:pPr>
      <w:r>
        <w:t xml:space="preserve">HL7</w:t>
      </w:r>
    </w:p>
    <w:p>
      <w:pPr>
        <w:numPr>
          <w:ilvl w:val="0"/>
          <w:numId w:val="1008"/>
        </w:numPr>
      </w:pPr>
      <w:r>
        <w:t xml:space="preserve">HL7 FHIR</w:t>
      </w:r>
    </w:p>
    <w:p>
      <w:pPr>
        <w:numPr>
          <w:ilvl w:val="0"/>
          <w:numId w:val="1008"/>
        </w:numPr>
      </w:pPr>
      <w:r>
        <w:t xml:space="preserve">Secure SDK integration</w:t>
      </w:r>
    </w:p>
    <w:p>
      <w:pPr>
        <w:numPr>
          <w:ilvl w:val="0"/>
          <w:numId w:val="1008"/>
        </w:numPr>
      </w:pPr>
      <w:r>
        <w:t xml:space="preserve">Embedded widgets</w:t>
      </w:r>
    </w:p>
    <w:p>
      <w:pPr>
        <w:numPr>
          <w:ilvl w:val="0"/>
          <w:numId w:val="1008"/>
        </w:numPr>
      </w:pPr>
      <w:r>
        <w:t xml:space="preserve">Web-based interfaces</w:t>
      </w:r>
    </w:p>
    <w:p>
      <w:pPr>
        <w:numPr>
          <w:ilvl w:val="0"/>
          <w:numId w:val="1001"/>
        </w:numPr>
      </w:pPr>
      <w:r>
        <w:t xml:space="preserve">SMART on FHIR</w:t>
      </w:r>
    </w:p>
    <w:p>
      <w:pPr>
        <w:numPr>
          <w:ilvl w:val="0"/>
          <w:numId w:val="1001"/>
        </w:numPr>
      </w:pPr>
      <w:r>
        <w:t xml:space="preserve">Event-driven integrations</w:t>
      </w:r>
    </w:p>
    <w:p>
      <w:pPr>
        <w:pStyle w:val="FirstParagraph"/>
      </w:pPr>
      <w:r>
        <w:t xml:space="preserve">The platform is architecture-agnostic and can integrate with cloud, hybrid or on-premise HMIS deployments.</w:t>
      </w:r>
    </w:p>
    <w:bookmarkEnd w:id="31"/>
    <w:bookmarkStart w:id="35" w:name="partnership-models"/>
    <w:p>
      <w:pPr>
        <w:pStyle w:val="Heading1"/>
      </w:pPr>
      <w:r>
        <w:t xml:space="preserve">Partnership Models</w:t>
      </w:r>
    </w:p>
    <w:bookmarkStart w:id="32" w:name="co-branded-ai"/>
    <w:p>
      <w:pPr>
        <w:pStyle w:val="Heading2"/>
      </w:pPr>
      <w:r>
        <w:t xml:space="preserve">Co-Branded AI</w:t>
      </w:r>
    </w:p>
    <w:p>
      <w:pPr>
        <w:pStyle w:val="FirstParagraph"/>
      </w:pPr>
      <w:r>
        <w:t xml:space="preserve">Partners integrate the TibaBot Healthcare Intelligence Platform as their AI infrastructure layer, exposing selected Intelligence Services within their HMIS while retaining their own product identity. Customer-facing functionality is presented as "Powered by TibaBot Healthcare Intelligence Platform".</w:t>
      </w:r>
    </w:p>
    <w:p>
      <w:pPr>
        <w:pStyle w:val="BodyText"/>
      </w:pPr>
      <w:r>
        <w:rPr>
          <w:bCs/>
          <w:b/>
        </w:rPr>
        <w:t xml:space="preserve">Example:</w:t>
      </w:r>
    </w:p>
    <w:p>
      <w:pPr>
        <w:pStyle w:val="BlockText"/>
      </w:pPr>
      <w:r>
        <w:t xml:space="preserve">Clinical Intelligence</w:t>
      </w:r>
      <w:r>
        <w:br/>
      </w:r>
      <w:r>
        <w:t xml:space="preserve">Powered by TibaBot</w:t>
      </w:r>
    </w:p>
    <w:bookmarkEnd w:id="32"/>
    <w:bookmarkStart w:id="33" w:name="white-label"/>
    <w:p>
      <w:pPr>
        <w:pStyle w:val="Heading2"/>
      </w:pPr>
      <w:r>
        <w:t xml:space="preserve">White Label</w:t>
      </w:r>
    </w:p>
    <w:p>
      <w:pPr>
        <w:pStyle w:val="FirstParagraph"/>
      </w:pPr>
      <w:r>
        <w:t xml:space="preserve">AI capabilities are fully integrated under your organisation’s branding.</w:t>
      </w:r>
    </w:p>
    <w:bookmarkEnd w:id="33"/>
    <w:bookmarkStart w:id="34" w:name="platform-api"/>
    <w:p>
      <w:pPr>
        <w:pStyle w:val="Heading2"/>
      </w:pPr>
      <w:r>
        <w:t xml:space="preserve">Platform Services Integration</w:t>
      </w:r>
    </w:p>
    <w:p>
      <w:pPr>
        <w:pStyle w:val="FirstParagraph"/>
      </w:pPr>
      <w:r>
        <w:t xml:space="preserve">Integrate selected Platform Services through secure APIs while maintaining complete control over your user experience.</w:t>
      </w:r>
    </w:p>
    <w:p>
      <w:pPr>
        <w:pStyle w:val="BodyText"/>
      </w:pPr>
      <w:r>
        <w:t xml:space="preserve">TibaBot supports flexible deployment — fully managed Nexora Cloud, dedicated single-tenant instances, partner cloud deployment, or hybrid configurations — to accommodate different infrastructure and regulatory requirements.</w:t>
      </w:r>
    </w:p>
    <w:bookmarkEnd w:id="34"/>
    <w:bookmarkEnd w:id="35"/>
    <w:bookmarkStart w:id="36" w:name="pilot-programme"/>
    <w:p>
      <w:pPr>
        <w:pStyle w:val="Heading1"/>
      </w:pPr>
      <w:r>
        <w:t xml:space="preserve">Pilot Programme</w:t>
      </w:r>
    </w:p>
    <w:p>
      <w:pPr>
        <w:pStyle w:val="BodyText"/>
      </w:pPr>
      <w:r>
        <w:t xml:space="preserve">We recommend a phased approach: Discovery → Integration → Pilot → Scale → Continuous Innovation. This minimises implementation risk while delivering measurable value early.</w:t>
      </w:r>
    </w:p>
    <w:p>
      <w:pPr>
        <w:pStyle w:val="FirstParagraph"/>
      </w:pPr>
      <w:r>
        <w:t xml:space="preserve">We recommend beginning with a structured pilot.</w:t>
      </w:r>
    </w:p>
    <w:p>
      <w:pPr>
        <w:numPr>
          <w:ilvl w:val="0"/>
          <w:numId w:val="1009"/>
        </w:numPr>
      </w:pPr>
      <w:r>
        <w:t xml:space="preserve">One HMIS platform</w:t>
      </w:r>
    </w:p>
    <w:p>
      <w:pPr>
        <w:numPr>
          <w:ilvl w:val="0"/>
          <w:numId w:val="1009"/>
        </w:numPr>
      </w:pPr>
      <w:r>
        <w:t xml:space="preserve">One healthcare facility</w:t>
      </w:r>
    </w:p>
    <w:p>
      <w:pPr>
        <w:numPr>
          <w:ilvl w:val="0"/>
          <w:numId w:val="1009"/>
        </w:numPr>
      </w:pPr>
      <w:r>
        <w:t xml:space="preserve">60–90 day implementation</w:t>
      </w:r>
    </w:p>
    <w:p>
      <w:pPr>
        <w:numPr>
          <w:ilvl w:val="0"/>
          <w:numId w:val="1009"/>
        </w:numPr>
      </w:pPr>
      <w:r>
        <w:t xml:space="preserve">Defined success metrics</w:t>
      </w:r>
    </w:p>
    <w:p>
      <w:pPr>
        <w:pStyle w:val="FirstParagraph"/>
      </w:pPr>
      <w:r>
        <w:t xml:space="preserve">Key evaluation metrics include:</w:t>
      </w:r>
    </w:p>
    <w:p>
      <w:pPr>
        <w:numPr>
          <w:ilvl w:val="0"/>
          <w:numId w:val="1010"/>
        </w:numPr>
      </w:pPr>
      <w:r>
        <w:t xml:space="preserve">Reduction in clinical documentation time</w:t>
      </w:r>
    </w:p>
    <w:p>
      <w:pPr>
        <w:numPr>
          <w:ilvl w:val="0"/>
          <w:numId w:val="1010"/>
        </w:numPr>
      </w:pPr>
      <w:r>
        <w:t xml:space="preserve">Clinician adoption</w:t>
      </w:r>
    </w:p>
    <w:p>
      <w:pPr>
        <w:numPr>
          <w:ilvl w:val="0"/>
          <w:numId w:val="1010"/>
        </w:numPr>
      </w:pPr>
      <w:r>
        <w:t xml:space="preserve">User satisfaction</w:t>
      </w:r>
    </w:p>
    <w:p>
      <w:pPr>
        <w:numPr>
          <w:ilvl w:val="0"/>
          <w:numId w:val="1010"/>
        </w:numPr>
      </w:pPr>
      <w:r>
        <w:t xml:space="preserve">Workflow efficiency</w:t>
      </w:r>
    </w:p>
    <w:p>
      <w:pPr>
        <w:numPr>
          <w:ilvl w:val="0"/>
          <w:numId w:val="1010"/>
        </w:numPr>
      </w:pPr>
      <w:r>
        <w:t xml:space="preserve">Operational impact</w:t>
      </w:r>
    </w:p>
    <w:bookmarkEnd w:id="36"/>
    <w:bookmarkStart w:id="37" w:name="why-partner-with-nexora"/>
    <w:p>
      <w:pPr>
        <w:pStyle w:val="Heading1"/>
      </w:pPr>
      <w:r>
        <w:t xml:space="preserve">Why Partner With Nexora?</w:t>
      </w:r>
    </w:p>
    <w:p>
      <w:pPr>
        <w:pStyle w:val="FirstParagraph"/>
      </w:pPr>
      <w:r>
        <w:t xml:space="preserve">Nexora is focused exclusively on building healthcare intelligence solutions tailored for African healthcare systems.</w:t>
      </w:r>
    </w:p>
    <w:p>
      <w:pPr>
        <w:pStyle w:val="BodyText"/>
      </w:pPr>
      <w:r>
        <w:t xml:space="preserve">Rather than competing with HMIS vendors, we enable them to rapidly introduce AI capabilities while remaining focused on their core healthcare platforms.</w:t>
      </w:r>
    </w:p>
    <w:p>
      <w:pPr>
        <w:pStyle w:val="BodyText"/>
      </w:pPr>
      <w:r>
        <w:t xml:space="preserve">TibaBot includes an enterprise-grade AI Governance Layer — encryption in transit and at rest, audit trails, role-based access control, explainable AI outputs, human oversight, and continuous model monitoring. Every AI-assisted decision is logged and auditable.</w:t>
      </w:r>
    </w:p>
    <w:p>
      <w:pPr>
        <w:pStyle w:val="BodyText"/>
      </w:pPr>
      <w:r>
        <w:t xml:space="preserve">Our long-term vision is to become the intelligence infrastructure powering healthcare systems across Africa.</w:t>
      </w:r>
    </w:p>
    <w:bookmarkEnd w:id="37"/>
    <w:bookmarkStart w:id="38" w:name="next-steps"/>
    <w:p>
      <w:pPr>
        <w:pStyle w:val="Heading1"/>
      </w:pPr>
      <w:r>
        <w:t xml:space="preserve">Next Steps</w:t>
      </w:r>
    </w:p>
    <w:p>
      <w:pPr>
        <w:pStyle w:val="FirstParagraph"/>
      </w:pPr>
      <w:r>
        <w:t xml:space="preserve">We would welcome an opportunity to discuss how TibaBot can complement your existing HMIS platform.</w:t>
      </w:r>
    </w:p>
    <w:p>
      <w:pPr>
        <w:pStyle w:val="BodyText"/>
      </w:pPr>
      <w:r>
        <w:t xml:space="preserve">Possible discussion topics include:</w:t>
      </w:r>
    </w:p>
    <w:p>
      <w:pPr>
        <w:numPr>
          <w:ilvl w:val="0"/>
          <w:numId w:val="1011"/>
        </w:numPr>
      </w:pPr>
      <w:r>
        <w:t xml:space="preserve">Technical integration</w:t>
      </w:r>
    </w:p>
    <w:p>
      <w:pPr>
        <w:numPr>
          <w:ilvl w:val="0"/>
          <w:numId w:val="1011"/>
        </w:numPr>
      </w:pPr>
      <w:r>
        <w:t xml:space="preserve">Partnership structure</w:t>
      </w:r>
    </w:p>
    <w:p>
      <w:pPr>
        <w:numPr>
          <w:ilvl w:val="0"/>
          <w:numId w:val="1011"/>
        </w:numPr>
      </w:pPr>
      <w:r>
        <w:t xml:space="preserve">Commercial model</w:t>
      </w:r>
    </w:p>
    <w:p>
      <w:pPr>
        <w:numPr>
          <w:ilvl w:val="0"/>
          <w:numId w:val="1011"/>
        </w:numPr>
      </w:pPr>
      <w:r>
        <w:t xml:space="preserve">Pilot implementation</w:t>
      </w:r>
    </w:p>
    <w:p>
      <w:pPr>
        <w:numPr>
          <w:ilvl w:val="0"/>
          <w:numId w:val="1011"/>
        </w:numPr>
      </w:pPr>
      <w:r>
        <w:t xml:space="preserve">Joint go-to-market opportunities</w:t>
      </w:r>
    </w:p>
    <w:p>
      <w:r>
        <w:pict>
          <ns2:rect style="width:0;height:1.5pt" ns3:hralign="center" ns3:hrstd="t" ns3:hr="t"/>
        </w:pict>
      </w:r>
    </w:p>
    <w:p>
      <w:pPr>
        <w:pStyle w:val="FirstParagraph"/>
      </w:pPr>
      <w:r>
        <w:rPr>
          <w:bCs/>
          <w:b/>
        </w:rPr>
        <w:t xml:space="preserve">Thande Murito</w:t>
      </w:r>
    </w:p>
    <w:p>
      <w:pPr>
        <w:pStyle w:val="BodyText"/>
      </w:pPr>
      <w:r>
        <w:t xml:space="preserve">Founder &amp; Lead AI Consultant</w:t>
      </w:r>
    </w:p>
    <w:p>
      <w:pPr>
        <w:pStyle w:val="BodyText"/>
      </w:pPr>
      <w:r>
        <w:t xml:space="preserve">Nexora Consulting Limited</w:t>
      </w:r>
    </w:p>
    <w:p>
      <w:pPr>
        <w:pStyle w:val="BodyText"/>
      </w:pPr>
      <w:r>
        <w:t xml:space="preserve">Founder: Thande Murito</w:t>
      </w:r>
    </w:p>
    <w:p>
      <w:pPr>
        <w:pStyle w:val="BodyText"/>
      </w:pPr>
      <w:r>
        <w:t xml:space="preserve">Phone: +254 717 550 482</w:t>
      </w:r>
    </w:p>
    <w:p>
      <w:pPr>
        <w:pStyle w:val="BodyText"/>
      </w:pPr>
      <w:r>
        <w:t xml:space="preserve">Email: hello@nexora.africa</w:t>
      </w:r>
    </w:p>
    <w:p>
      <w:pPr>
        <w:pStyle w:val="BodyText"/>
      </w:pPr>
      <w:r>
        <w:t xml:space="preserve">Website:</w:t>
      </w:r>
      <w:r>
        <w:t xml:space="preserve"> </w:t>
      </w:r>
      <w:hyperlink ns1:id="rId20">
        <w:r>
          <w:rPr>
            <w:rStyle w:val="Hyperlink"/>
          </w:rPr>
          <w:t xml:space="preserve">https://www.nexora.africa</w:t>
        </w:r>
      </w:hyperlink>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exora.africa" TargetMode="External" /></Relationships>
</file>

<file path=word/_rels/footnotes.xml.rels><?xml version="1.0" encoding="UTF-8"?><Relationships xmlns="http://schemas.openxmlformats.org/package/2006/relationships"><Relationship Type="http://schemas.openxmlformats.org/officeDocument/2006/relationships/hyperlink" Id="rId20" Target="https://www.nexora.af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