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700"/>
        <w:jc w:val="center"/>
      </w:pPr>
      <w:r>
        <w:rPr>
          <w:rFonts w:ascii="Calibri" w:cs="Calibri" w:eastAsia="Calibri" w:hAnsi="Calibri"/>
          <w:b/>
          <w:bCs/>
          <w:color w:val="C9A227"/>
          <w:spacing w:val="20"/>
          <w:sz w:val="20"/>
          <w:szCs w:val="20"/>
        </w:rPr>
        <w:t xml:space="preserve">CONFIDENTIAL</w:t>
      </w:r>
    </w:p>
    <w:p>
      <w:pPr>
        <w:spacing w:after="260"/>
        <w:jc w:val="center"/>
      </w:pPr>
      <w:r>
        <w:rPr>
          <w:rFonts w:ascii="Calibri" w:cs="Calibri" w:eastAsia="Calibri" w:hAnsi="Calibri"/>
          <w:b/>
          <w:bCs/>
          <w:color w:val="0B2545"/>
          <w:sz w:val="46"/>
          <w:szCs w:val="46"/>
        </w:rPr>
        <w:t xml:space="preserve">VAT Compliance Operating Model &amp; Technology Transformation</w:t>
      </w:r>
    </w:p>
    <w:p>
      <w:pPr>
        <w:spacing w:after="200"/>
        <w:jc w:val="center"/>
      </w:pPr>
      <w:r>
        <w:rPr>
          <w:rFonts w:ascii="Calibri" w:cs="Calibri" w:eastAsia="Calibri" w:hAnsi="Calibri"/>
          <w:i/>
          <w:iCs/>
          <w:color w:val="0E7C7B"/>
          <w:sz w:val="28"/>
          <w:szCs w:val="28"/>
        </w:rPr>
        <w:t xml:space="preserve">End-to-End Solution Design, Implementation &amp; Transition Proposal</w:t>
      </w:r>
    </w:p>
    <w:p>
      <w:pPr>
        <w:spacing w:after="1600"/>
        <w:jc w:val="center"/>
      </w:pPr>
      <w:r>
        <w:rPr>
          <w:rFonts w:ascii="Calibri" w:cs="Calibri" w:eastAsia="Calibri" w:hAnsi="Calibri"/>
          <w:color w:val="5B6470"/>
          <w:sz w:val="22"/>
          <w:szCs w:val="22"/>
        </w:rPr>
        <w:t xml:space="preserve">Built on Oracle Fusion ERP, Oracle Integration Cloud (OIC), Oracle APEX &amp; Oracle ATP</w:t>
      </w:r>
    </w:p>
    <w:p>
      <w:pPr>
        <w:spacing w:after="80"/>
        <w:jc w:val="center"/>
      </w:pPr>
      <w:r>
        <w:rPr>
          <w:rFonts w:ascii="Calibri" w:cs="Calibri" w:eastAsia="Calibri" w:hAnsi="Calibri"/>
          <w:color w:val="5B6470"/>
          <w:sz w:val="20"/>
          <w:szCs w:val="20"/>
        </w:rPr>
        <w:t xml:space="preserve">Prepared for</w:t>
      </w:r>
    </w:p>
    <w:p>
      <w:pPr>
        <w:spacing w:after="500"/>
        <w:jc w:val="center"/>
      </w:pPr>
      <w:r>
        <w:rPr>
          <w:rFonts w:ascii="Calibri" w:cs="Calibri" w:eastAsia="Calibri" w:hAnsi="Calibri"/>
          <w:b/>
          <w:bCs/>
          <w:color w:val="0B2545"/>
          <w:sz w:val="26"/>
          <w:szCs w:val="26"/>
        </w:rPr>
        <w:t xml:space="preserve">Abu Dhabi Department of Finance (DoF)</w:t>
      </w:r>
    </w:p>
    <w:p>
      <w:pPr>
        <w:spacing w:after="3000"/>
        <w:jc w:val="center"/>
      </w:pPr>
      <w:r>
        <w:rPr>
          <w:rFonts w:ascii="Calibri" w:cs="Calibri" w:eastAsia="Calibri" w:hAnsi="Calibri"/>
          <w:color w:val="5B6470"/>
          <w:sz w:val="19"/>
          <w:szCs w:val="19"/>
        </w:rPr>
        <w:t xml:space="preserve">Document Date: 23 August 2026        |        Version: 1.0        |        Status: Draft for Discussion</w:t>
      </w:r>
    </w:p>
    <w:p>
      <w:pPr>
        <w:jc w:val="center"/>
      </w:pPr>
      <w:r>
        <w:rPr>
          <w:rFonts w:ascii="Calibri" w:cs="Calibri" w:eastAsia="Calibri" w:hAnsi="Calibri"/>
          <w:i/>
          <w:iCs/>
          <w:color w:val="5B6470"/>
          <w:sz w:val="17"/>
          <w:szCs w:val="17"/>
        </w:rPr>
        <w:t xml:space="preserve">This document is confidential and prepared solely for the internal evaluation of the Abu Dhabi Department of Finance. It is intended to present an indicative solution design, implementation approach and effort estimate, subject to refinement during the Discovery phase.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B2545" w:sz="8" w:space="4"/>
        </w:pBdr>
        <w:spacing w:after="220" w:before="480"/>
      </w:pPr>
      <w:r>
        <w:t xml:space="preserve">Table of Contents</w:t>
      </w:r>
    </w:p>
    <w:p>
      <w:pPr>
        <w:tabs>
          <w:tab w:val="right" w:pos="9350" w:leader="dot"/>
        </w:tabs>
        <w:spacing w:after="40" w:before="160"/>
        <w:ind w:left="0"/>
      </w:pPr>
      <w:r>
        <w:rPr>
          <w:rFonts w:ascii="Calibri" w:cs="Calibri" w:eastAsia="Calibri" w:hAnsi="Calibri"/>
          <w:b/>
          <w:bCs/>
          <w:color w:val="0B2545"/>
          <w:sz w:val="22"/>
          <w:szCs w:val="22"/>
        </w:rPr>
        <w:t xml:space="preserve">1. Executive Summary</w:t>
      </w:r>
      <w:r>
        <w:rPr>
          <w:rFonts w:ascii="Calibri" w:cs="Calibri" w:eastAsia="Calibri" w:hAnsi="Calibri"/>
          <w:b/>
          <w:bCs/>
          <w:color w:val="0B2545"/>
          <w:sz w:val="22"/>
          <w:szCs w:val="22"/>
        </w:rPr>
        <w:t xml:space="preserve">	4</w:t>
      </w:r>
    </w:p>
    <w:p>
      <w:pPr>
        <w:tabs>
          <w:tab w:val="right" w:pos="9350" w:leader="dot"/>
        </w:tabs>
        <w:spacing w:after="40" w:before="160"/>
        <w:ind w:left="0"/>
      </w:pPr>
      <w:r>
        <w:rPr>
          <w:rFonts w:ascii="Calibri" w:cs="Calibri" w:eastAsia="Calibri" w:hAnsi="Calibri"/>
          <w:b/>
          <w:bCs/>
          <w:color w:val="0B2545"/>
          <w:sz w:val="22"/>
          <w:szCs w:val="22"/>
        </w:rPr>
        <w:t xml:space="preserve">2. Current State Assessment</w:t>
      </w:r>
      <w:r>
        <w:rPr>
          <w:rFonts w:ascii="Calibri" w:cs="Calibri" w:eastAsia="Calibri" w:hAnsi="Calibri"/>
          <w:b/>
          <w:bCs/>
          <w:color w:val="0B2545"/>
          <w:sz w:val="22"/>
          <w:szCs w:val="22"/>
        </w:rPr>
        <w:t xml:space="preserve">	5</w:t>
      </w:r>
    </w:p>
    <w:p>
      <w:pPr>
        <w:tabs>
          <w:tab w:val="right" w:pos="9350" w:leader="dot"/>
        </w:tabs>
        <w:spacing w:after="40" w:before="160"/>
        <w:ind w:left="0"/>
      </w:pPr>
      <w:r>
        <w:rPr>
          <w:rFonts w:ascii="Calibri" w:cs="Calibri" w:eastAsia="Calibri" w:hAnsi="Calibri"/>
          <w:b/>
          <w:bCs/>
          <w:color w:val="0B2545"/>
          <w:sz w:val="22"/>
          <w:szCs w:val="22"/>
        </w:rPr>
        <w:t xml:space="preserve">3. Proposed Target Operating Model — Overview</w:t>
      </w:r>
      <w:r>
        <w:rPr>
          <w:rFonts w:ascii="Calibri" w:cs="Calibri" w:eastAsia="Calibri" w:hAnsi="Calibri"/>
          <w:b/>
          <w:bCs/>
          <w:color w:val="0B2545"/>
          <w:sz w:val="22"/>
          <w:szCs w:val="22"/>
        </w:rPr>
        <w:t xml:space="preserve">	5</w:t>
      </w:r>
    </w:p>
    <w:p>
      <w:pPr>
        <w:tabs>
          <w:tab w:val="right" w:pos="8990" w:leader="dot"/>
        </w:tabs>
        <w:spacing w:after="40" w:before="40"/>
        <w:ind w:left="360"/>
      </w:pPr>
      <w:r>
        <w:rPr>
          <w:rFonts w:ascii="Calibri" w:cs="Calibri" w:eastAsia="Calibri" w:hAnsi="Calibri"/>
          <w:b w:val="false"/>
          <w:bCs w:val="false"/>
          <w:color w:val="1A1A1A"/>
          <w:sz w:val="19"/>
          <w:szCs w:val="19"/>
        </w:rPr>
        <w:t xml:space="preserve">3.1 People &amp; Roles</w:t>
      </w:r>
      <w:r>
        <w:rPr>
          <w:rFonts w:ascii="Calibri" w:cs="Calibri" w:eastAsia="Calibri" w:hAnsi="Calibri"/>
          <w:b w:val="false"/>
          <w:bCs w:val="false"/>
          <w:color w:val="1A1A1A"/>
          <w:sz w:val="19"/>
          <w:szCs w:val="19"/>
        </w:rPr>
        <w:t xml:space="preserve">	5</w:t>
      </w:r>
    </w:p>
    <w:p>
      <w:pPr>
        <w:tabs>
          <w:tab w:val="right" w:pos="8990" w:leader="dot"/>
        </w:tabs>
        <w:spacing w:after="40" w:before="40"/>
        <w:ind w:left="360"/>
      </w:pPr>
      <w:r>
        <w:rPr>
          <w:rFonts w:ascii="Calibri" w:cs="Calibri" w:eastAsia="Calibri" w:hAnsi="Calibri"/>
          <w:b w:val="false"/>
          <w:bCs w:val="false"/>
          <w:color w:val="1A1A1A"/>
          <w:sz w:val="19"/>
          <w:szCs w:val="19"/>
        </w:rPr>
        <w:t xml:space="preserve">3.2 Process Pillars</w:t>
      </w:r>
      <w:r>
        <w:rPr>
          <w:rFonts w:ascii="Calibri" w:cs="Calibri" w:eastAsia="Calibri" w:hAnsi="Calibri"/>
          <w:b w:val="false"/>
          <w:bCs w:val="false"/>
          <w:color w:val="1A1A1A"/>
          <w:sz w:val="19"/>
          <w:szCs w:val="19"/>
        </w:rPr>
        <w:t xml:space="preserve">	6</w:t>
      </w:r>
    </w:p>
    <w:p>
      <w:pPr>
        <w:tabs>
          <w:tab w:val="right" w:pos="8990" w:leader="dot"/>
        </w:tabs>
        <w:spacing w:after="40" w:before="40"/>
        <w:ind w:left="360"/>
      </w:pPr>
      <w:r>
        <w:rPr>
          <w:rFonts w:ascii="Calibri" w:cs="Calibri" w:eastAsia="Calibri" w:hAnsi="Calibri"/>
          <w:b w:val="false"/>
          <w:bCs w:val="false"/>
          <w:color w:val="1A1A1A"/>
          <w:sz w:val="19"/>
          <w:szCs w:val="19"/>
        </w:rPr>
        <w:t xml:space="preserve">3.3 Technology Pillars</w:t>
      </w:r>
      <w:r>
        <w:rPr>
          <w:rFonts w:ascii="Calibri" w:cs="Calibri" w:eastAsia="Calibri" w:hAnsi="Calibri"/>
          <w:b w:val="false"/>
          <w:bCs w:val="false"/>
          <w:color w:val="1A1A1A"/>
          <w:sz w:val="19"/>
          <w:szCs w:val="19"/>
        </w:rPr>
        <w:t xml:space="preserve">	6</w:t>
      </w:r>
    </w:p>
    <w:p>
      <w:pPr>
        <w:tabs>
          <w:tab w:val="right" w:pos="9350" w:leader="dot"/>
        </w:tabs>
        <w:spacing w:after="40" w:before="160"/>
        <w:ind w:left="0"/>
      </w:pPr>
      <w:r>
        <w:rPr>
          <w:rFonts w:ascii="Calibri" w:cs="Calibri" w:eastAsia="Calibri" w:hAnsi="Calibri"/>
          <w:b/>
          <w:bCs/>
          <w:color w:val="0B2545"/>
          <w:sz w:val="22"/>
          <w:szCs w:val="22"/>
        </w:rPr>
        <w:t xml:space="preserve">4. End-to-End Solution Architecture</w:t>
      </w:r>
      <w:r>
        <w:rPr>
          <w:rFonts w:ascii="Calibri" w:cs="Calibri" w:eastAsia="Calibri" w:hAnsi="Calibri"/>
          <w:b/>
          <w:bCs/>
          <w:color w:val="0B2545"/>
          <w:sz w:val="22"/>
          <w:szCs w:val="22"/>
        </w:rPr>
        <w:t xml:space="preserve">	6</w:t>
      </w:r>
    </w:p>
    <w:p>
      <w:pPr>
        <w:tabs>
          <w:tab w:val="right" w:pos="8990" w:leader="dot"/>
        </w:tabs>
        <w:spacing w:after="40" w:before="40"/>
        <w:ind w:left="360"/>
      </w:pPr>
      <w:r>
        <w:rPr>
          <w:rFonts w:ascii="Calibri" w:cs="Calibri" w:eastAsia="Calibri" w:hAnsi="Calibri"/>
          <w:b w:val="false"/>
          <w:bCs w:val="false"/>
          <w:color w:val="1A1A1A"/>
          <w:sz w:val="19"/>
          <w:szCs w:val="19"/>
        </w:rPr>
        <w:t xml:space="preserve">4.1 Data Flow — Step by Step</w:t>
      </w:r>
      <w:r>
        <w:rPr>
          <w:rFonts w:ascii="Calibri" w:cs="Calibri" w:eastAsia="Calibri" w:hAnsi="Calibri"/>
          <w:b w:val="false"/>
          <w:bCs w:val="false"/>
          <w:color w:val="1A1A1A"/>
          <w:sz w:val="19"/>
          <w:szCs w:val="19"/>
        </w:rPr>
        <w:t xml:space="preserve">	7</w:t>
      </w:r>
    </w:p>
    <w:p>
      <w:pPr>
        <w:tabs>
          <w:tab w:val="right" w:pos="8990" w:leader="dot"/>
        </w:tabs>
        <w:spacing w:after="40" w:before="40"/>
        <w:ind w:left="360"/>
      </w:pPr>
      <w:r>
        <w:rPr>
          <w:rFonts w:ascii="Calibri" w:cs="Calibri" w:eastAsia="Calibri" w:hAnsi="Calibri"/>
          <w:b w:val="false"/>
          <w:bCs w:val="false"/>
          <w:color w:val="1A1A1A"/>
          <w:sz w:val="19"/>
          <w:szCs w:val="19"/>
        </w:rPr>
        <w:t xml:space="preserve">4.2 Technology Stack</w:t>
      </w:r>
      <w:r>
        <w:rPr>
          <w:rFonts w:ascii="Calibri" w:cs="Calibri" w:eastAsia="Calibri" w:hAnsi="Calibri"/>
          <w:b w:val="false"/>
          <w:bCs w:val="false"/>
          <w:color w:val="1A1A1A"/>
          <w:sz w:val="19"/>
          <w:szCs w:val="19"/>
        </w:rPr>
        <w:t xml:space="preserve">	8</w:t>
      </w:r>
    </w:p>
    <w:p>
      <w:pPr>
        <w:tabs>
          <w:tab w:val="right" w:pos="9350" w:leader="dot"/>
        </w:tabs>
        <w:spacing w:after="40" w:before="160"/>
        <w:ind w:left="0"/>
      </w:pPr>
      <w:r>
        <w:rPr>
          <w:rFonts w:ascii="Calibri" w:cs="Calibri" w:eastAsia="Calibri" w:hAnsi="Calibri"/>
          <w:b/>
          <w:bCs/>
          <w:color w:val="0B2545"/>
          <w:sz w:val="22"/>
          <w:szCs w:val="22"/>
        </w:rPr>
        <w:t xml:space="preserve">5. Functional Solution Design</w:t>
      </w:r>
      <w:r>
        <w:rPr>
          <w:rFonts w:ascii="Calibri" w:cs="Calibri" w:eastAsia="Calibri" w:hAnsi="Calibri"/>
          <w:b/>
          <w:bCs/>
          <w:color w:val="0B2545"/>
          <w:sz w:val="22"/>
          <w:szCs w:val="22"/>
        </w:rPr>
        <w:t xml:space="preserve">	9</w:t>
      </w:r>
    </w:p>
    <w:p>
      <w:pPr>
        <w:tabs>
          <w:tab w:val="right" w:pos="8990" w:leader="dot"/>
        </w:tabs>
        <w:spacing w:after="40" w:before="40"/>
        <w:ind w:left="360"/>
      </w:pPr>
      <w:r>
        <w:rPr>
          <w:rFonts w:ascii="Calibri" w:cs="Calibri" w:eastAsia="Calibri" w:hAnsi="Calibri"/>
          <w:b w:val="false"/>
          <w:bCs w:val="false"/>
          <w:color w:val="1A1A1A"/>
          <w:sz w:val="19"/>
          <w:szCs w:val="19"/>
        </w:rPr>
        <w:t xml:space="preserve">5.1 Data Ingestion &amp; AI-Driven Exception Identification</w:t>
      </w:r>
      <w:r>
        <w:rPr>
          <w:rFonts w:ascii="Calibri" w:cs="Calibri" w:eastAsia="Calibri" w:hAnsi="Calibri"/>
          <w:b w:val="false"/>
          <w:bCs w:val="false"/>
          <w:color w:val="1A1A1A"/>
          <w:sz w:val="19"/>
          <w:szCs w:val="19"/>
        </w:rPr>
        <w:t xml:space="preserve">	9</w:t>
      </w:r>
    </w:p>
    <w:p>
      <w:pPr>
        <w:tabs>
          <w:tab w:val="right" w:pos="8990" w:leader="dot"/>
        </w:tabs>
        <w:spacing w:after="40" w:before="40"/>
        <w:ind w:left="360"/>
      </w:pPr>
      <w:r>
        <w:rPr>
          <w:rFonts w:ascii="Calibri" w:cs="Calibri" w:eastAsia="Calibri" w:hAnsi="Calibri"/>
          <w:b w:val="false"/>
          <w:bCs w:val="false"/>
          <w:color w:val="1A1A1A"/>
          <w:sz w:val="19"/>
          <w:szCs w:val="19"/>
        </w:rPr>
        <w:t xml:space="preserve">5.2 User-Configurable, AI-Enhanced Rules Engine</w:t>
      </w:r>
      <w:r>
        <w:rPr>
          <w:rFonts w:ascii="Calibri" w:cs="Calibri" w:eastAsia="Calibri" w:hAnsi="Calibri"/>
          <w:b w:val="false"/>
          <w:bCs w:val="false"/>
          <w:color w:val="1A1A1A"/>
          <w:sz w:val="19"/>
          <w:szCs w:val="19"/>
        </w:rPr>
        <w:t xml:space="preserve">	9</w:t>
      </w:r>
    </w:p>
    <w:p>
      <w:pPr>
        <w:tabs>
          <w:tab w:val="right" w:pos="8990" w:leader="dot"/>
        </w:tabs>
        <w:spacing w:after="40" w:before="40"/>
        <w:ind w:left="360"/>
      </w:pPr>
      <w:r>
        <w:rPr>
          <w:rFonts w:ascii="Calibri" w:cs="Calibri" w:eastAsia="Calibri" w:hAnsi="Calibri"/>
          <w:b w:val="false"/>
          <w:bCs w:val="false"/>
          <w:color w:val="1A1A1A"/>
          <w:sz w:val="19"/>
          <w:szCs w:val="19"/>
        </w:rPr>
        <w:t xml:space="preserve">5.3 VAT Adjustment Management</w:t>
      </w:r>
      <w:r>
        <w:rPr>
          <w:rFonts w:ascii="Calibri" w:cs="Calibri" w:eastAsia="Calibri" w:hAnsi="Calibri"/>
          <w:b w:val="false"/>
          <w:bCs w:val="false"/>
          <w:color w:val="1A1A1A"/>
          <w:sz w:val="19"/>
          <w:szCs w:val="19"/>
        </w:rPr>
        <w:t xml:space="preserve">	9</w:t>
      </w:r>
    </w:p>
    <w:p>
      <w:pPr>
        <w:tabs>
          <w:tab w:val="right" w:pos="8990" w:leader="dot"/>
        </w:tabs>
        <w:spacing w:after="40" w:before="40"/>
        <w:ind w:left="360"/>
      </w:pPr>
      <w:r>
        <w:rPr>
          <w:rFonts w:ascii="Calibri" w:cs="Calibri" w:eastAsia="Calibri" w:hAnsi="Calibri"/>
          <w:b w:val="false"/>
          <w:bCs w:val="false"/>
          <w:color w:val="1A1A1A"/>
          <w:sz w:val="19"/>
          <w:szCs w:val="19"/>
        </w:rPr>
        <w:t xml:space="preserve">5.4 VAT Return Preparation, Review &amp; Sign-off</w:t>
      </w:r>
      <w:r>
        <w:rPr>
          <w:rFonts w:ascii="Calibri" w:cs="Calibri" w:eastAsia="Calibri" w:hAnsi="Calibri"/>
          <w:b w:val="false"/>
          <w:bCs w:val="false"/>
          <w:color w:val="1A1A1A"/>
          <w:sz w:val="19"/>
          <w:szCs w:val="19"/>
        </w:rPr>
        <w:t xml:space="preserve">	10</w:t>
      </w:r>
    </w:p>
    <w:p>
      <w:pPr>
        <w:tabs>
          <w:tab w:val="right" w:pos="8990" w:leader="dot"/>
        </w:tabs>
        <w:spacing w:after="40" w:before="40"/>
        <w:ind w:left="360"/>
      </w:pPr>
      <w:r>
        <w:rPr>
          <w:rFonts w:ascii="Calibri" w:cs="Calibri" w:eastAsia="Calibri" w:hAnsi="Calibri"/>
          <w:b w:val="false"/>
          <w:bCs w:val="false"/>
          <w:color w:val="1A1A1A"/>
          <w:sz w:val="19"/>
          <w:szCs w:val="19"/>
        </w:rPr>
        <w:t xml:space="preserve">5.5 Multi-Entity VAT Group Processing</w:t>
      </w:r>
      <w:r>
        <w:rPr>
          <w:rFonts w:ascii="Calibri" w:cs="Calibri" w:eastAsia="Calibri" w:hAnsi="Calibri"/>
          <w:b w:val="false"/>
          <w:bCs w:val="false"/>
          <w:color w:val="1A1A1A"/>
          <w:sz w:val="19"/>
          <w:szCs w:val="19"/>
        </w:rPr>
        <w:t xml:space="preserve">	10</w:t>
      </w:r>
    </w:p>
    <w:p>
      <w:pPr>
        <w:tabs>
          <w:tab w:val="right" w:pos="8990" w:leader="dot"/>
        </w:tabs>
        <w:spacing w:after="40" w:before="40"/>
        <w:ind w:left="360"/>
      </w:pPr>
      <w:r>
        <w:rPr>
          <w:rFonts w:ascii="Calibri" w:cs="Calibri" w:eastAsia="Calibri" w:hAnsi="Calibri"/>
          <w:b w:val="false"/>
          <w:bCs w:val="false"/>
          <w:color w:val="1A1A1A"/>
          <w:sz w:val="19"/>
          <w:szCs w:val="19"/>
        </w:rPr>
        <w:t xml:space="preserve">5.6 Reconciliation &amp; Exception Management</w:t>
      </w:r>
      <w:r>
        <w:rPr>
          <w:rFonts w:ascii="Calibri" w:cs="Calibri" w:eastAsia="Calibri" w:hAnsi="Calibri"/>
          <w:b w:val="false"/>
          <w:bCs w:val="false"/>
          <w:color w:val="1A1A1A"/>
          <w:sz w:val="19"/>
          <w:szCs w:val="19"/>
        </w:rPr>
        <w:t xml:space="preserve">	10</w:t>
      </w:r>
    </w:p>
    <w:p>
      <w:pPr>
        <w:tabs>
          <w:tab w:val="right" w:pos="8990" w:leader="dot"/>
        </w:tabs>
        <w:spacing w:after="40" w:before="40"/>
        <w:ind w:left="360"/>
      </w:pPr>
      <w:r>
        <w:rPr>
          <w:rFonts w:ascii="Calibri" w:cs="Calibri" w:eastAsia="Calibri" w:hAnsi="Calibri"/>
          <w:b w:val="false"/>
          <w:bCs w:val="false"/>
          <w:color w:val="1A1A1A"/>
          <w:sz w:val="19"/>
          <w:szCs w:val="19"/>
        </w:rPr>
        <w:t xml:space="preserve">5.7 Outputs &amp; Documentation</w:t>
      </w:r>
      <w:r>
        <w:rPr>
          <w:rFonts w:ascii="Calibri" w:cs="Calibri" w:eastAsia="Calibri" w:hAnsi="Calibri"/>
          <w:b w:val="false"/>
          <w:bCs w:val="false"/>
          <w:color w:val="1A1A1A"/>
          <w:sz w:val="19"/>
          <w:szCs w:val="19"/>
        </w:rPr>
        <w:t xml:space="preserve">	11</w:t>
      </w:r>
    </w:p>
    <w:p>
      <w:pPr>
        <w:tabs>
          <w:tab w:val="right" w:pos="8990" w:leader="dot"/>
        </w:tabs>
        <w:spacing w:after="40" w:before="40"/>
        <w:ind w:left="360"/>
      </w:pPr>
      <w:r>
        <w:rPr>
          <w:rFonts w:ascii="Calibri" w:cs="Calibri" w:eastAsia="Calibri" w:hAnsi="Calibri"/>
          <w:b w:val="false"/>
          <w:bCs w:val="false"/>
          <w:color w:val="1A1A1A"/>
          <w:sz w:val="19"/>
          <w:szCs w:val="19"/>
        </w:rPr>
        <w:t xml:space="preserve">5.8 Refund Processing</w:t>
      </w:r>
      <w:r>
        <w:rPr>
          <w:rFonts w:ascii="Calibri" w:cs="Calibri" w:eastAsia="Calibri" w:hAnsi="Calibri"/>
          <w:b w:val="false"/>
          <w:bCs w:val="false"/>
          <w:color w:val="1A1A1A"/>
          <w:sz w:val="19"/>
          <w:szCs w:val="19"/>
        </w:rPr>
        <w:t xml:space="preserve">	11</w:t>
      </w:r>
    </w:p>
    <w:p>
      <w:pPr>
        <w:tabs>
          <w:tab w:val="right" w:pos="8990" w:leader="dot"/>
        </w:tabs>
        <w:spacing w:after="40" w:before="40"/>
        <w:ind w:left="360"/>
      </w:pPr>
      <w:r>
        <w:rPr>
          <w:rFonts w:ascii="Calibri" w:cs="Calibri" w:eastAsia="Calibri" w:hAnsi="Calibri"/>
          <w:b w:val="false"/>
          <w:bCs w:val="false"/>
          <w:color w:val="1A1A1A"/>
          <w:sz w:val="19"/>
          <w:szCs w:val="19"/>
        </w:rPr>
        <w:t xml:space="preserve">5.9 Controls, Audit Trail, RBAC &amp; Segregation of Duties</w:t>
      </w:r>
      <w:r>
        <w:rPr>
          <w:rFonts w:ascii="Calibri" w:cs="Calibri" w:eastAsia="Calibri" w:hAnsi="Calibri"/>
          <w:b w:val="false"/>
          <w:bCs w:val="false"/>
          <w:color w:val="1A1A1A"/>
          <w:sz w:val="19"/>
          <w:szCs w:val="19"/>
        </w:rPr>
        <w:t xml:space="preserve">	11</w:t>
      </w:r>
    </w:p>
    <w:p>
      <w:pPr>
        <w:tabs>
          <w:tab w:val="right" w:pos="8990" w:leader="dot"/>
        </w:tabs>
        <w:spacing w:after="40" w:before="40"/>
        <w:ind w:left="360"/>
      </w:pPr>
      <w:r>
        <w:rPr>
          <w:rFonts w:ascii="Calibri" w:cs="Calibri" w:eastAsia="Calibri" w:hAnsi="Calibri"/>
          <w:b w:val="false"/>
          <w:bCs w:val="false"/>
          <w:color w:val="1A1A1A"/>
          <w:sz w:val="19"/>
          <w:szCs w:val="19"/>
        </w:rPr>
        <w:t xml:space="preserve">5.10 Dashboards &amp; Reporting</w:t>
      </w:r>
      <w:r>
        <w:rPr>
          <w:rFonts w:ascii="Calibri" w:cs="Calibri" w:eastAsia="Calibri" w:hAnsi="Calibri"/>
          <w:b w:val="false"/>
          <w:bCs w:val="false"/>
          <w:color w:val="1A1A1A"/>
          <w:sz w:val="19"/>
          <w:szCs w:val="19"/>
        </w:rPr>
        <w:t xml:space="preserve">	11</w:t>
      </w:r>
    </w:p>
    <w:p>
      <w:pPr>
        <w:tabs>
          <w:tab w:val="right" w:pos="8990" w:leader="dot"/>
        </w:tabs>
        <w:spacing w:after="40" w:before="40"/>
        <w:ind w:left="360"/>
      </w:pPr>
      <w:r>
        <w:rPr>
          <w:rFonts w:ascii="Calibri" w:cs="Calibri" w:eastAsia="Calibri" w:hAnsi="Calibri"/>
          <w:b w:val="false"/>
          <w:bCs w:val="false"/>
          <w:color w:val="1A1A1A"/>
          <w:sz w:val="19"/>
          <w:szCs w:val="19"/>
        </w:rPr>
        <w:t xml:space="preserve">5.11 Data Governance &amp; UAE Data Residency</w:t>
      </w:r>
      <w:r>
        <w:rPr>
          <w:rFonts w:ascii="Calibri" w:cs="Calibri" w:eastAsia="Calibri" w:hAnsi="Calibri"/>
          <w:b w:val="false"/>
          <w:bCs w:val="false"/>
          <w:color w:val="1A1A1A"/>
          <w:sz w:val="19"/>
          <w:szCs w:val="19"/>
        </w:rPr>
        <w:t xml:space="preserve">	12</w:t>
      </w:r>
    </w:p>
    <w:p>
      <w:pPr>
        <w:tabs>
          <w:tab w:val="right" w:pos="8990" w:leader="dot"/>
        </w:tabs>
        <w:spacing w:after="40" w:before="40"/>
        <w:ind w:left="360"/>
      </w:pPr>
      <w:r>
        <w:rPr>
          <w:rFonts w:ascii="Calibri" w:cs="Calibri" w:eastAsia="Calibri" w:hAnsi="Calibri"/>
          <w:b w:val="false"/>
          <w:bCs w:val="false"/>
          <w:color w:val="1A1A1A"/>
          <w:sz w:val="19"/>
          <w:szCs w:val="19"/>
        </w:rPr>
        <w:t xml:space="preserve">5.12 Future Readiness &amp; Extensibility</w:t>
      </w:r>
      <w:r>
        <w:rPr>
          <w:rFonts w:ascii="Calibri" w:cs="Calibri" w:eastAsia="Calibri" w:hAnsi="Calibri"/>
          <w:b w:val="false"/>
          <w:bCs w:val="false"/>
          <w:color w:val="1A1A1A"/>
          <w:sz w:val="19"/>
          <w:szCs w:val="19"/>
        </w:rPr>
        <w:t xml:space="preserve">	12</w:t>
      </w:r>
    </w:p>
    <w:p>
      <w:pPr>
        <w:tabs>
          <w:tab w:val="right" w:pos="9350" w:leader="dot"/>
        </w:tabs>
        <w:spacing w:after="40" w:before="160"/>
        <w:ind w:left="0"/>
      </w:pPr>
      <w:r>
        <w:rPr>
          <w:rFonts w:ascii="Calibri" w:cs="Calibri" w:eastAsia="Calibri" w:hAnsi="Calibri"/>
          <w:b/>
          <w:bCs/>
          <w:color w:val="0B2545"/>
          <w:sz w:val="22"/>
          <w:szCs w:val="22"/>
        </w:rPr>
        <w:t xml:space="preserve">6. Solution Inventory Summary</w:t>
      </w:r>
      <w:r>
        <w:rPr>
          <w:rFonts w:ascii="Calibri" w:cs="Calibri" w:eastAsia="Calibri" w:hAnsi="Calibri"/>
          <w:b/>
          <w:bCs/>
          <w:color w:val="0B2545"/>
          <w:sz w:val="22"/>
          <w:szCs w:val="22"/>
        </w:rPr>
        <w:t xml:space="preserve">	12</w:t>
      </w:r>
    </w:p>
    <w:p>
      <w:pPr>
        <w:tabs>
          <w:tab w:val="right" w:pos="8990" w:leader="dot"/>
        </w:tabs>
        <w:spacing w:after="40" w:before="40"/>
        <w:ind w:left="360"/>
      </w:pPr>
      <w:r>
        <w:rPr>
          <w:rFonts w:ascii="Calibri" w:cs="Calibri" w:eastAsia="Calibri" w:hAnsi="Calibri"/>
          <w:b w:val="false"/>
          <w:bCs w:val="false"/>
          <w:color w:val="1A1A1A"/>
          <w:sz w:val="19"/>
          <w:szCs w:val="19"/>
        </w:rPr>
        <w:t xml:space="preserve">6.1 Integrations (OIC) — 10</w:t>
      </w:r>
      <w:r>
        <w:rPr>
          <w:rFonts w:ascii="Calibri" w:cs="Calibri" w:eastAsia="Calibri" w:hAnsi="Calibri"/>
          <w:b w:val="false"/>
          <w:bCs w:val="false"/>
          <w:color w:val="1A1A1A"/>
          <w:sz w:val="19"/>
          <w:szCs w:val="19"/>
        </w:rPr>
        <w:t xml:space="preserve">	12</w:t>
      </w:r>
    </w:p>
    <w:p>
      <w:pPr>
        <w:tabs>
          <w:tab w:val="right" w:pos="8990" w:leader="dot"/>
        </w:tabs>
        <w:spacing w:after="40" w:before="40"/>
        <w:ind w:left="360"/>
      </w:pPr>
      <w:r>
        <w:rPr>
          <w:rFonts w:ascii="Calibri" w:cs="Calibri" w:eastAsia="Calibri" w:hAnsi="Calibri"/>
          <w:b w:val="false"/>
          <w:bCs w:val="false"/>
          <w:color w:val="1A1A1A"/>
          <w:sz w:val="19"/>
          <w:szCs w:val="19"/>
        </w:rPr>
        <w:t xml:space="preserve">6.2 APEX Forms / Screens — 18</w:t>
      </w:r>
      <w:r>
        <w:rPr>
          <w:rFonts w:ascii="Calibri" w:cs="Calibri" w:eastAsia="Calibri" w:hAnsi="Calibri"/>
          <w:b w:val="false"/>
          <w:bCs w:val="false"/>
          <w:color w:val="1A1A1A"/>
          <w:sz w:val="19"/>
          <w:szCs w:val="19"/>
        </w:rPr>
        <w:t xml:space="preserve">	13</w:t>
      </w:r>
    </w:p>
    <w:p>
      <w:pPr>
        <w:tabs>
          <w:tab w:val="right" w:pos="8990" w:leader="dot"/>
        </w:tabs>
        <w:spacing w:after="40" w:before="40"/>
        <w:ind w:left="360"/>
      </w:pPr>
      <w:r>
        <w:rPr>
          <w:rFonts w:ascii="Calibri" w:cs="Calibri" w:eastAsia="Calibri" w:hAnsi="Calibri"/>
          <w:b w:val="false"/>
          <w:bCs w:val="false"/>
          <w:color w:val="1A1A1A"/>
          <w:sz w:val="19"/>
          <w:szCs w:val="19"/>
        </w:rPr>
        <w:t xml:space="preserve">6.3 Reports &amp; Dashboards — 12</w:t>
      </w:r>
      <w:r>
        <w:rPr>
          <w:rFonts w:ascii="Calibri" w:cs="Calibri" w:eastAsia="Calibri" w:hAnsi="Calibri"/>
          <w:b w:val="false"/>
          <w:bCs w:val="false"/>
          <w:color w:val="1A1A1A"/>
          <w:sz w:val="19"/>
          <w:szCs w:val="19"/>
        </w:rPr>
        <w:t xml:space="preserve">	14</w:t>
      </w:r>
    </w:p>
    <w:p>
      <w:pPr>
        <w:tabs>
          <w:tab w:val="right" w:pos="8990" w:leader="dot"/>
        </w:tabs>
        <w:spacing w:after="40" w:before="40"/>
        <w:ind w:left="360"/>
      </w:pPr>
      <w:r>
        <w:rPr>
          <w:rFonts w:ascii="Calibri" w:cs="Calibri" w:eastAsia="Calibri" w:hAnsi="Calibri"/>
          <w:b w:val="false"/>
          <w:bCs w:val="false"/>
          <w:color w:val="1A1A1A"/>
          <w:sz w:val="19"/>
          <w:szCs w:val="19"/>
        </w:rPr>
        <w:t xml:space="preserve">6.4 Configurable Workflows — 7</w:t>
      </w:r>
      <w:r>
        <w:rPr>
          <w:rFonts w:ascii="Calibri" w:cs="Calibri" w:eastAsia="Calibri" w:hAnsi="Calibri"/>
          <w:b w:val="false"/>
          <w:bCs w:val="false"/>
          <w:color w:val="1A1A1A"/>
          <w:sz w:val="19"/>
          <w:szCs w:val="19"/>
        </w:rPr>
        <w:t xml:space="preserve">	14</w:t>
      </w:r>
    </w:p>
    <w:p>
      <w:pPr>
        <w:tabs>
          <w:tab w:val="right" w:pos="9350" w:leader="dot"/>
        </w:tabs>
        <w:spacing w:after="40" w:before="160"/>
        <w:ind w:left="0"/>
      </w:pPr>
      <w:r>
        <w:rPr>
          <w:rFonts w:ascii="Calibri" w:cs="Calibri" w:eastAsia="Calibri" w:hAnsi="Calibri"/>
          <w:b/>
          <w:bCs/>
          <w:color w:val="0B2545"/>
          <w:sz w:val="22"/>
          <w:szCs w:val="22"/>
        </w:rPr>
        <w:t xml:space="preserve">7. Implementation Methodology &amp; Phases</w:t>
      </w:r>
      <w:r>
        <w:rPr>
          <w:rFonts w:ascii="Calibri" w:cs="Calibri" w:eastAsia="Calibri" w:hAnsi="Calibri"/>
          <w:b/>
          <w:bCs/>
          <w:color w:val="0B2545"/>
          <w:sz w:val="22"/>
          <w:szCs w:val="22"/>
        </w:rPr>
        <w:t xml:space="preserve">	15</w:t>
      </w:r>
    </w:p>
    <w:p>
      <w:pPr>
        <w:tabs>
          <w:tab w:val="right" w:pos="8990" w:leader="dot"/>
        </w:tabs>
        <w:spacing w:after="40" w:before="40"/>
        <w:ind w:left="360"/>
      </w:pPr>
      <w:r>
        <w:rPr>
          <w:rFonts w:ascii="Calibri" w:cs="Calibri" w:eastAsia="Calibri" w:hAnsi="Calibri"/>
          <w:b w:val="false"/>
          <w:bCs w:val="false"/>
          <w:color w:val="1A1A1A"/>
          <w:sz w:val="19"/>
          <w:szCs w:val="19"/>
        </w:rPr>
        <w:t xml:space="preserve">7.1 Discovery</w:t>
      </w:r>
      <w:r>
        <w:rPr>
          <w:rFonts w:ascii="Calibri" w:cs="Calibri" w:eastAsia="Calibri" w:hAnsi="Calibri"/>
          <w:b w:val="false"/>
          <w:bCs w:val="false"/>
          <w:color w:val="1A1A1A"/>
          <w:sz w:val="19"/>
          <w:szCs w:val="19"/>
        </w:rPr>
        <w:t xml:space="preserve">	15</w:t>
      </w:r>
    </w:p>
    <w:p>
      <w:pPr>
        <w:tabs>
          <w:tab w:val="right" w:pos="8990" w:leader="dot"/>
        </w:tabs>
        <w:spacing w:after="40" w:before="40"/>
        <w:ind w:left="360"/>
      </w:pPr>
      <w:r>
        <w:rPr>
          <w:rFonts w:ascii="Calibri" w:cs="Calibri" w:eastAsia="Calibri" w:hAnsi="Calibri"/>
          <w:b w:val="false"/>
          <w:bCs w:val="false"/>
          <w:color w:val="1A1A1A"/>
          <w:sz w:val="19"/>
          <w:szCs w:val="19"/>
        </w:rPr>
        <w:t xml:space="preserve">7.2 Design</w:t>
      </w:r>
      <w:r>
        <w:rPr>
          <w:rFonts w:ascii="Calibri" w:cs="Calibri" w:eastAsia="Calibri" w:hAnsi="Calibri"/>
          <w:b w:val="false"/>
          <w:bCs w:val="false"/>
          <w:color w:val="1A1A1A"/>
          <w:sz w:val="19"/>
          <w:szCs w:val="19"/>
        </w:rPr>
        <w:t xml:space="preserve">	15</w:t>
      </w:r>
    </w:p>
    <w:p>
      <w:pPr>
        <w:tabs>
          <w:tab w:val="right" w:pos="8990" w:leader="dot"/>
        </w:tabs>
        <w:spacing w:after="40" w:before="40"/>
        <w:ind w:left="360"/>
      </w:pPr>
      <w:r>
        <w:rPr>
          <w:rFonts w:ascii="Calibri" w:cs="Calibri" w:eastAsia="Calibri" w:hAnsi="Calibri"/>
          <w:b w:val="false"/>
          <w:bCs w:val="false"/>
          <w:color w:val="1A1A1A"/>
          <w:sz w:val="19"/>
          <w:szCs w:val="19"/>
        </w:rPr>
        <w:t xml:space="preserve">7.3 Build</w:t>
      </w:r>
      <w:r>
        <w:rPr>
          <w:rFonts w:ascii="Calibri" w:cs="Calibri" w:eastAsia="Calibri" w:hAnsi="Calibri"/>
          <w:b w:val="false"/>
          <w:bCs w:val="false"/>
          <w:color w:val="1A1A1A"/>
          <w:sz w:val="19"/>
          <w:szCs w:val="19"/>
        </w:rPr>
        <w:t xml:space="preserve">	16</w:t>
      </w:r>
    </w:p>
    <w:p>
      <w:pPr>
        <w:tabs>
          <w:tab w:val="right" w:pos="8990" w:leader="dot"/>
        </w:tabs>
        <w:spacing w:after="40" w:before="40"/>
        <w:ind w:left="360"/>
      </w:pPr>
      <w:r>
        <w:rPr>
          <w:rFonts w:ascii="Calibri" w:cs="Calibri" w:eastAsia="Calibri" w:hAnsi="Calibri"/>
          <w:b w:val="false"/>
          <w:bCs w:val="false"/>
          <w:color w:val="1A1A1A"/>
          <w:sz w:val="19"/>
          <w:szCs w:val="19"/>
        </w:rPr>
        <w:t xml:space="preserve">7.4 Testing (Unit, Integration &amp; UAT)</w:t>
      </w:r>
      <w:r>
        <w:rPr>
          <w:rFonts w:ascii="Calibri" w:cs="Calibri" w:eastAsia="Calibri" w:hAnsi="Calibri"/>
          <w:b w:val="false"/>
          <w:bCs w:val="false"/>
          <w:color w:val="1A1A1A"/>
          <w:sz w:val="19"/>
          <w:szCs w:val="19"/>
        </w:rPr>
        <w:t xml:space="preserve">	16</w:t>
      </w:r>
    </w:p>
    <w:p>
      <w:pPr>
        <w:tabs>
          <w:tab w:val="right" w:pos="8990" w:leader="dot"/>
        </w:tabs>
        <w:spacing w:after="40" w:before="40"/>
        <w:ind w:left="360"/>
      </w:pPr>
      <w:r>
        <w:rPr>
          <w:rFonts w:ascii="Calibri" w:cs="Calibri" w:eastAsia="Calibri" w:hAnsi="Calibri"/>
          <w:b w:val="false"/>
          <w:bCs w:val="false"/>
          <w:color w:val="1A1A1A"/>
          <w:sz w:val="19"/>
          <w:szCs w:val="19"/>
        </w:rPr>
        <w:t xml:space="preserve">7.5 Roll-out &amp; Training</w:t>
      </w:r>
      <w:r>
        <w:rPr>
          <w:rFonts w:ascii="Calibri" w:cs="Calibri" w:eastAsia="Calibri" w:hAnsi="Calibri"/>
          <w:b w:val="false"/>
          <w:bCs w:val="false"/>
          <w:color w:val="1A1A1A"/>
          <w:sz w:val="19"/>
          <w:szCs w:val="19"/>
        </w:rPr>
        <w:t xml:space="preserve">	16</w:t>
      </w:r>
    </w:p>
    <w:p>
      <w:pPr>
        <w:tabs>
          <w:tab w:val="right" w:pos="8990" w:leader="dot"/>
        </w:tabs>
        <w:spacing w:after="40" w:before="40"/>
        <w:ind w:left="360"/>
      </w:pPr>
      <w:r>
        <w:rPr>
          <w:rFonts w:ascii="Calibri" w:cs="Calibri" w:eastAsia="Calibri" w:hAnsi="Calibri"/>
          <w:b w:val="false"/>
          <w:bCs w:val="false"/>
          <w:color w:val="1A1A1A"/>
          <w:sz w:val="19"/>
          <w:szCs w:val="19"/>
        </w:rPr>
        <w:t xml:space="preserve">7.6 Parallel Run</w:t>
      </w:r>
      <w:r>
        <w:rPr>
          <w:rFonts w:ascii="Calibri" w:cs="Calibri" w:eastAsia="Calibri" w:hAnsi="Calibri"/>
          <w:b w:val="false"/>
          <w:bCs w:val="false"/>
          <w:color w:val="1A1A1A"/>
          <w:sz w:val="19"/>
          <w:szCs w:val="19"/>
        </w:rPr>
        <w:t xml:space="preserve">	17</w:t>
      </w:r>
    </w:p>
    <w:p>
      <w:pPr>
        <w:tabs>
          <w:tab w:val="right" w:pos="8990" w:leader="dot"/>
        </w:tabs>
        <w:spacing w:after="40" w:before="40"/>
        <w:ind w:left="360"/>
      </w:pPr>
      <w:r>
        <w:rPr>
          <w:rFonts w:ascii="Calibri" w:cs="Calibri" w:eastAsia="Calibri" w:hAnsi="Calibri"/>
          <w:b w:val="false"/>
          <w:bCs w:val="false"/>
          <w:color w:val="1A1A1A"/>
          <w:sz w:val="19"/>
          <w:szCs w:val="19"/>
        </w:rPr>
        <w:t xml:space="preserve">7.7 Go-Live</w:t>
      </w:r>
      <w:r>
        <w:rPr>
          <w:rFonts w:ascii="Calibri" w:cs="Calibri" w:eastAsia="Calibri" w:hAnsi="Calibri"/>
          <w:b w:val="false"/>
          <w:bCs w:val="false"/>
          <w:color w:val="1A1A1A"/>
          <w:sz w:val="19"/>
          <w:szCs w:val="19"/>
        </w:rPr>
        <w:t xml:space="preserve">	17</w:t>
      </w:r>
    </w:p>
    <w:p>
      <w:pPr>
        <w:tabs>
          <w:tab w:val="right" w:pos="8990" w:leader="dot"/>
        </w:tabs>
        <w:spacing w:after="40" w:before="40"/>
        <w:ind w:left="360"/>
      </w:pPr>
      <w:r>
        <w:rPr>
          <w:rFonts w:ascii="Calibri" w:cs="Calibri" w:eastAsia="Calibri" w:hAnsi="Calibri"/>
          <w:b w:val="false"/>
          <w:bCs w:val="false"/>
          <w:color w:val="1A1A1A"/>
          <w:sz w:val="19"/>
          <w:szCs w:val="19"/>
        </w:rPr>
        <w:t xml:space="preserve">7.8 Hypercare</w:t>
      </w:r>
      <w:r>
        <w:rPr>
          <w:rFonts w:ascii="Calibri" w:cs="Calibri" w:eastAsia="Calibri" w:hAnsi="Calibri"/>
          <w:b w:val="false"/>
          <w:bCs w:val="false"/>
          <w:color w:val="1A1A1A"/>
          <w:sz w:val="19"/>
          <w:szCs w:val="19"/>
        </w:rPr>
        <w:t xml:space="preserve">	17</w:t>
      </w:r>
    </w:p>
    <w:p>
      <w:pPr>
        <w:tabs>
          <w:tab w:val="right" w:pos="9350" w:leader="dot"/>
        </w:tabs>
        <w:spacing w:after="40" w:before="160"/>
        <w:ind w:left="0"/>
      </w:pPr>
      <w:r>
        <w:rPr>
          <w:rFonts w:ascii="Calibri" w:cs="Calibri" w:eastAsia="Calibri" w:hAnsi="Calibri"/>
          <w:b/>
          <w:bCs/>
          <w:color w:val="0B2545"/>
          <w:sz w:val="22"/>
          <w:szCs w:val="22"/>
        </w:rPr>
        <w:t xml:space="preserve">8. Effort Estimation &amp; Resourcing</w:t>
      </w:r>
      <w:r>
        <w:rPr>
          <w:rFonts w:ascii="Calibri" w:cs="Calibri" w:eastAsia="Calibri" w:hAnsi="Calibri"/>
          <w:b/>
          <w:bCs/>
          <w:color w:val="0B2545"/>
          <w:sz w:val="22"/>
          <w:szCs w:val="22"/>
        </w:rPr>
        <w:t xml:space="preserve">	18</w:t>
      </w:r>
    </w:p>
    <w:p>
      <w:pPr>
        <w:tabs>
          <w:tab w:val="right" w:pos="8990" w:leader="dot"/>
        </w:tabs>
        <w:spacing w:after="40" w:before="40"/>
        <w:ind w:left="360"/>
      </w:pPr>
      <w:r>
        <w:rPr>
          <w:rFonts w:ascii="Calibri" w:cs="Calibri" w:eastAsia="Calibri" w:hAnsi="Calibri"/>
          <w:b w:val="false"/>
          <w:bCs w:val="false"/>
          <w:color w:val="1A1A1A"/>
          <w:sz w:val="19"/>
          <w:szCs w:val="19"/>
        </w:rPr>
        <w:t xml:space="preserve">8.1 Effort by Phase &amp; Role — Part 1</w:t>
      </w:r>
      <w:r>
        <w:rPr>
          <w:rFonts w:ascii="Calibri" w:cs="Calibri" w:eastAsia="Calibri" w:hAnsi="Calibri"/>
          <w:b w:val="false"/>
          <w:bCs w:val="false"/>
          <w:color w:val="1A1A1A"/>
          <w:sz w:val="19"/>
          <w:szCs w:val="19"/>
        </w:rPr>
        <w:t xml:space="preserve">	18</w:t>
      </w:r>
    </w:p>
    <w:p>
      <w:pPr>
        <w:tabs>
          <w:tab w:val="right" w:pos="8990" w:leader="dot"/>
        </w:tabs>
        <w:spacing w:after="40" w:before="40"/>
        <w:ind w:left="360"/>
      </w:pPr>
      <w:r>
        <w:rPr>
          <w:rFonts w:ascii="Calibri" w:cs="Calibri" w:eastAsia="Calibri" w:hAnsi="Calibri"/>
          <w:b w:val="false"/>
          <w:bCs w:val="false"/>
          <w:color w:val="1A1A1A"/>
          <w:sz w:val="19"/>
          <w:szCs w:val="19"/>
        </w:rPr>
        <w:t xml:space="preserve">8.2 Effort by Phase &amp; Role — Part 2</w:t>
      </w:r>
      <w:r>
        <w:rPr>
          <w:rFonts w:ascii="Calibri" w:cs="Calibri" w:eastAsia="Calibri" w:hAnsi="Calibri"/>
          <w:b w:val="false"/>
          <w:bCs w:val="false"/>
          <w:color w:val="1A1A1A"/>
          <w:sz w:val="19"/>
          <w:szCs w:val="19"/>
        </w:rPr>
        <w:t xml:space="preserve">	18</w:t>
      </w:r>
    </w:p>
    <w:p>
      <w:pPr>
        <w:tabs>
          <w:tab w:val="right" w:pos="8990" w:leader="dot"/>
        </w:tabs>
        <w:spacing w:after="40" w:before="40"/>
        <w:ind w:left="360"/>
      </w:pPr>
      <w:r>
        <w:rPr>
          <w:rFonts w:ascii="Calibri" w:cs="Calibri" w:eastAsia="Calibri" w:hAnsi="Calibri"/>
          <w:b w:val="false"/>
          <w:bCs w:val="false"/>
          <w:color w:val="1A1A1A"/>
          <w:sz w:val="19"/>
          <w:szCs w:val="19"/>
        </w:rPr>
        <w:t xml:space="preserve">8.3 Indicative Team Composition</w:t>
      </w:r>
      <w:r>
        <w:rPr>
          <w:rFonts w:ascii="Calibri" w:cs="Calibri" w:eastAsia="Calibri" w:hAnsi="Calibri"/>
          <w:b w:val="false"/>
          <w:bCs w:val="false"/>
          <w:color w:val="1A1A1A"/>
          <w:sz w:val="19"/>
          <w:szCs w:val="19"/>
        </w:rPr>
        <w:t xml:space="preserve">	19</w:t>
      </w:r>
    </w:p>
    <w:p>
      <w:pPr>
        <w:tabs>
          <w:tab w:val="right" w:pos="8990" w:leader="dot"/>
        </w:tabs>
        <w:spacing w:after="40" w:before="40"/>
        <w:ind w:left="360"/>
      </w:pPr>
      <w:r>
        <w:rPr>
          <w:rFonts w:ascii="Calibri" w:cs="Calibri" w:eastAsia="Calibri" w:hAnsi="Calibri"/>
          <w:b w:val="false"/>
          <w:bCs w:val="false"/>
          <w:color w:val="1A1A1A"/>
          <w:sz w:val="19"/>
          <w:szCs w:val="19"/>
        </w:rPr>
        <w:t xml:space="preserve">8.4 Indicative Program Timeline</w:t>
      </w:r>
      <w:r>
        <w:rPr>
          <w:rFonts w:ascii="Calibri" w:cs="Calibri" w:eastAsia="Calibri" w:hAnsi="Calibri"/>
          <w:b w:val="false"/>
          <w:bCs w:val="false"/>
          <w:color w:val="1A1A1A"/>
          <w:sz w:val="19"/>
          <w:szCs w:val="19"/>
        </w:rPr>
        <w:t xml:space="preserve">	19</w:t>
      </w:r>
    </w:p>
    <w:p>
      <w:pPr>
        <w:tabs>
          <w:tab w:val="right" w:pos="9350" w:leader="dot"/>
        </w:tabs>
        <w:spacing w:after="40" w:before="160"/>
        <w:ind w:left="0"/>
      </w:pPr>
      <w:r>
        <w:rPr>
          <w:rFonts w:ascii="Calibri" w:cs="Calibri" w:eastAsia="Calibri" w:hAnsi="Calibri"/>
          <w:b/>
          <w:bCs/>
          <w:color w:val="0B2545"/>
          <w:sz w:val="22"/>
          <w:szCs w:val="22"/>
        </w:rPr>
        <w:t xml:space="preserve">9. Governance</w:t>
      </w:r>
      <w:r>
        <w:rPr>
          <w:rFonts w:ascii="Calibri" w:cs="Calibri" w:eastAsia="Calibri" w:hAnsi="Calibri"/>
          <w:b/>
          <w:bCs/>
          <w:color w:val="0B2545"/>
          <w:sz w:val="22"/>
          <w:szCs w:val="22"/>
        </w:rPr>
        <w:t xml:space="preserve">	20</w:t>
      </w:r>
    </w:p>
    <w:p>
      <w:pPr>
        <w:tabs>
          <w:tab w:val="right" w:pos="8990" w:leader="dot"/>
        </w:tabs>
        <w:spacing w:after="40" w:before="40"/>
        <w:ind w:left="360"/>
      </w:pPr>
      <w:r>
        <w:rPr>
          <w:rFonts w:ascii="Calibri" w:cs="Calibri" w:eastAsia="Calibri" w:hAnsi="Calibri"/>
          <w:b w:val="false"/>
          <w:bCs w:val="false"/>
          <w:color w:val="1A1A1A"/>
          <w:sz w:val="19"/>
          <w:szCs w:val="19"/>
        </w:rPr>
        <w:t xml:space="preserve">9.1 Indicative RACI</w:t>
      </w:r>
      <w:r>
        <w:rPr>
          <w:rFonts w:ascii="Calibri" w:cs="Calibri" w:eastAsia="Calibri" w:hAnsi="Calibri"/>
          <w:b w:val="false"/>
          <w:bCs w:val="false"/>
          <w:color w:val="1A1A1A"/>
          <w:sz w:val="19"/>
          <w:szCs w:val="19"/>
        </w:rPr>
        <w:t xml:space="preserve">	20</w:t>
      </w:r>
    </w:p>
    <w:p>
      <w:pPr>
        <w:tabs>
          <w:tab w:val="right" w:pos="9350" w:leader="dot"/>
        </w:tabs>
        <w:spacing w:after="40" w:before="160"/>
        <w:ind w:left="0"/>
      </w:pPr>
      <w:r>
        <w:rPr>
          <w:rFonts w:ascii="Calibri" w:cs="Calibri" w:eastAsia="Calibri" w:hAnsi="Calibri"/>
          <w:b/>
          <w:bCs/>
          <w:color w:val="0B2545"/>
          <w:sz w:val="22"/>
          <w:szCs w:val="22"/>
        </w:rPr>
        <w:t xml:space="preserve">10. Assumptions &amp; Dependencies</w:t>
      </w:r>
      <w:r>
        <w:rPr>
          <w:rFonts w:ascii="Calibri" w:cs="Calibri" w:eastAsia="Calibri" w:hAnsi="Calibri"/>
          <w:b/>
          <w:bCs/>
          <w:color w:val="0B2545"/>
          <w:sz w:val="22"/>
          <w:szCs w:val="22"/>
        </w:rPr>
        <w:t xml:space="preserve">	20</w:t>
      </w:r>
    </w:p>
    <w:p>
      <w:pPr>
        <w:tabs>
          <w:tab w:val="right" w:pos="9350" w:leader="dot"/>
        </w:tabs>
        <w:spacing w:after="40" w:before="160"/>
        <w:ind w:left="0"/>
      </w:pPr>
      <w:r>
        <w:rPr>
          <w:rFonts w:ascii="Calibri" w:cs="Calibri" w:eastAsia="Calibri" w:hAnsi="Calibri"/>
          <w:b/>
          <w:bCs/>
          <w:color w:val="0B2545"/>
          <w:sz w:val="22"/>
          <w:szCs w:val="22"/>
        </w:rPr>
        <w:t xml:space="preserve">11. Key Risks &amp; Mitigations</w:t>
      </w:r>
      <w:r>
        <w:rPr>
          <w:rFonts w:ascii="Calibri" w:cs="Calibri" w:eastAsia="Calibri" w:hAnsi="Calibri"/>
          <w:b/>
          <w:bCs/>
          <w:color w:val="0B2545"/>
          <w:sz w:val="22"/>
          <w:szCs w:val="22"/>
        </w:rPr>
        <w:t xml:space="preserve">	21</w:t>
      </w:r>
    </w:p>
    <w:p>
      <w:pPr>
        <w:tabs>
          <w:tab w:val="right" w:pos="9350" w:leader="dot"/>
        </w:tabs>
        <w:spacing w:after="40" w:before="160"/>
        <w:ind w:left="0"/>
      </w:pPr>
      <w:r>
        <w:rPr>
          <w:rFonts w:ascii="Calibri" w:cs="Calibri" w:eastAsia="Calibri" w:hAnsi="Calibri"/>
          <w:b/>
          <w:bCs/>
          <w:color w:val="0B2545"/>
          <w:sz w:val="22"/>
          <w:szCs w:val="22"/>
        </w:rPr>
        <w:t xml:space="preserve">12. Conclusion &amp; Next Steps</w:t>
      </w:r>
      <w:r>
        <w:rPr>
          <w:rFonts w:ascii="Calibri" w:cs="Calibri" w:eastAsia="Calibri" w:hAnsi="Calibri"/>
          <w:b/>
          <w:bCs/>
          <w:color w:val="0B2545"/>
          <w:sz w:val="22"/>
          <w:szCs w:val="22"/>
        </w:rPr>
        <w:t xml:space="preserve">	21</w:t>
      </w:r>
    </w:p>
    <w:p>
      <w:r>
        <w:br w:type="page"/>
      </w:r>
    </w:p>
    <w:p>
      <w:pPr>
        <w:pStyle w:val="Heading1"/>
        <w:pBdr>
          <w:bottom w:val="single" w:color="0B2545" w:sz="8" w:space="4"/>
        </w:pBdr>
        <w:spacing w:after="220" w:before="480"/>
      </w:pPr>
      <w:r>
        <w:t xml:space="preserve">1. Executive Summary</w:t>
      </w:r>
    </w:p>
    <w:p>
      <w:pPr>
        <w:spacing w:after="160"/>
        <w:jc w:val="both"/>
      </w:pPr>
      <w:r>
        <w:rPr>
          <w:rFonts w:ascii="Calibri" w:cs="Calibri" w:eastAsia="Calibri" w:hAnsi="Calibri"/>
          <w:sz w:val="21"/>
          <w:szCs w:val="21"/>
        </w:rPr>
        <w:t xml:space="preserve">The Abu Dhabi Department of Finance (DoF) is required to comply with Value Added Tax (VAT) filing obligations and holds oversight responsibility for VAT compliance across the multiple government entities that constitute the DoF VAT Group. VAT-related processes today are largely manual: data is extracted by hand from Oracle Fusion and satellite systems, reconciliations between source data and VAT reporting positions are performed offline in spreadsheets, adjustments are tracked outside of any system of record, and submission-ready outputs are compiled manually. This creates operational risk, limits auditability, extends the close-to-file cycle, and places heavy reliance on key individuals.</w:t>
      </w:r>
    </w:p>
    <w:p>
      <w:pPr>
        <w:spacing w:after="160"/>
        <w:jc w:val="both"/>
      </w:pPr>
      <w:r>
        <w:rPr>
          <w:rFonts w:ascii="Calibri" w:cs="Calibri" w:eastAsia="Calibri" w:hAnsi="Calibri"/>
          <w:sz w:val="21"/>
          <w:szCs w:val="21"/>
        </w:rPr>
        <w:t xml:space="preserve">This proposal sets out a target operating model (TOM) and a supporting end-to-end technology solution to modernise VAT compliance for the DoF VAT Group, built natively on the DoF's existing Oracle technology estate — Oracle Fusion ERP as the system of record, Oracle Integration Cloud (OIC) as the integration and orchestration layer, Oracle Autonomous Transaction Processing (ATP) as the data, rules and processing engine, and Oracle APEX as the front-end for workflow, review, sign-off, reconciliation and reporting — hosted within the UAE to satisfy data residency requirements.</w:t>
      </w:r>
    </w:p>
    <w:p>
      <w:pPr>
        <w:spacing w:after="160"/>
        <w:jc w:val="both"/>
      </w:pPr>
      <w:r>
        <w:rPr>
          <w:rFonts w:ascii="Calibri" w:cs="Calibri" w:eastAsia="Calibri" w:hAnsi="Calibri"/>
          <w:sz w:val="21"/>
          <w:szCs w:val="21"/>
        </w:rPr>
        <w:t xml:space="preserve">The solution automates data ingestion from Oracle Fusion and satellite/Excel sources, applies an AI-enhanced, user-configurable rules engine to identify and support correction of VAT exceptions, manages DoF-specific adjustments and approvals, supports multi-entity VAT Group consolidation, drives a bespoke multi-level review and sign-off workflow for VAT return preparation, automates reconciliation between source systems, sub-ledgers, the general ledger and the VAT working, produces submission-ready outputs (VAT return file in XML/JSON, working schedules, reconciliation packs and audit-ready evidence), supports configurable refund scenarios, and embeds a full role-based access control (RBAC), segregation-of-duties (SoD) and audit-trail framework, together with operational, VAT-check and tax-risk dashboards.</w:t>
      </w:r>
    </w:p>
    <w:p>
      <w:pPr>
        <w:spacing w:after="160"/>
        <w:jc w:val="both"/>
      </w:pPr>
      <w:r>
        <w:rPr>
          <w:rFonts w:ascii="Calibri" w:cs="Calibri" w:eastAsia="Calibri" w:hAnsi="Calibri"/>
          <w:sz w:val="21"/>
          <w:szCs w:val="21"/>
        </w:rPr>
        <w:t xml:space="preserve">The proposal is structured around a full delivery lifecycle — Discovery, Design, Build, Testing (Unit, Integration and User Acceptance), Roll-out and Training, Parallel Run, Go-Live and post go-live Hypercare — with an indicative program duration of approximately 11 months (48 weeks) and an estimated effort of approximately 2,175 person-days. The defined solution inventory comprises 10 system integrations, 18 Oracle APEX forms/screens, 12 reports and dashboards, and 7 configurable workflows, each described in detail in this document.</w:t>
      </w:r>
    </w:p>
    <w:p>
      <w:pPr>
        <w:pStyle w:val="Heading3"/>
        <w:spacing w:after="120" w:before="220"/>
      </w:pPr>
      <w:r>
        <w:t xml:space="preserve">Key Outcomes</w:t>
      </w:r>
    </w:p>
    <w:p>
      <w:pPr>
        <w:pStyle w:val="ListParagraph"/>
        <w:numPr>
          <w:ilvl w:val="0"/>
          <w:numId w:val="1"/>
        </w:numPr>
        <w:spacing w:after="90"/>
      </w:pPr>
      <w:r>
        <w:rPr>
          <w:rFonts w:ascii="Calibri" w:cs="Calibri" w:eastAsia="Calibri" w:hAnsi="Calibri"/>
          <w:sz w:val="21"/>
          <w:szCs w:val="21"/>
        </w:rPr>
        <w:t xml:space="preserve">Reduction in manual effort across data extraction, reconciliation, adjustment tracking and return preparation.</w:t>
      </w:r>
    </w:p>
    <w:p>
      <w:pPr>
        <w:pStyle w:val="ListParagraph"/>
        <w:numPr>
          <w:ilvl w:val="0"/>
          <w:numId w:val="1"/>
        </w:numPr>
        <w:spacing w:after="90"/>
      </w:pPr>
      <w:r>
        <w:rPr>
          <w:rFonts w:ascii="Calibri" w:cs="Calibri" w:eastAsia="Calibri" w:hAnsi="Calibri"/>
          <w:sz w:val="21"/>
          <w:szCs w:val="21"/>
        </w:rPr>
        <w:t xml:space="preserve">A single, auditable system of record for VAT positions across the DoF VAT Group, with full traceability from return box to source transaction and back.</w:t>
      </w:r>
    </w:p>
    <w:p>
      <w:pPr>
        <w:pStyle w:val="ListParagraph"/>
        <w:numPr>
          <w:ilvl w:val="0"/>
          <w:numId w:val="1"/>
        </w:numPr>
        <w:spacing w:after="90"/>
      </w:pPr>
      <w:r>
        <w:rPr>
          <w:rFonts w:ascii="Calibri" w:cs="Calibri" w:eastAsia="Calibri" w:hAnsi="Calibri"/>
          <w:sz w:val="21"/>
          <w:szCs w:val="21"/>
        </w:rPr>
        <w:t xml:space="preserve">Faster, more accurate and more controlled VAT close-to-file cycle, with configurable close timetables and approval workflows.</w:t>
      </w:r>
    </w:p>
    <w:p>
      <w:pPr>
        <w:pStyle w:val="ListParagraph"/>
        <w:numPr>
          <w:ilvl w:val="0"/>
          <w:numId w:val="1"/>
        </w:numPr>
        <w:spacing w:after="90"/>
      </w:pPr>
      <w:r>
        <w:rPr>
          <w:rFonts w:ascii="Calibri" w:cs="Calibri" w:eastAsia="Calibri" w:hAnsi="Calibri"/>
          <w:sz w:val="21"/>
          <w:szCs w:val="21"/>
        </w:rPr>
        <w:t xml:space="preserve">Proactive identification of VAT risk and errors through an AI-enhanced, user-configurable rules engine, rather than retrospective discovery.</w:t>
      </w:r>
    </w:p>
    <w:p>
      <w:pPr>
        <w:pStyle w:val="ListParagraph"/>
        <w:numPr>
          <w:ilvl w:val="0"/>
          <w:numId w:val="1"/>
        </w:numPr>
        <w:spacing w:after="90"/>
      </w:pPr>
      <w:r>
        <w:rPr>
          <w:rFonts w:ascii="Calibri" w:cs="Calibri" w:eastAsia="Calibri" w:hAnsi="Calibri"/>
          <w:sz w:val="21"/>
          <w:szCs w:val="21"/>
        </w:rPr>
        <w:t xml:space="preserve">A scalable, extensible architecture built on the DoF's existing Oracle investment, positioned for future integration with regulatory platforms and additional entities.</w:t>
      </w:r>
    </w:p>
    <w:p>
      <w:pPr>
        <w:pStyle w:val="Heading1"/>
        <w:pBdr>
          <w:bottom w:val="single" w:color="0B2545" w:sz="8" w:space="4"/>
        </w:pBdr>
        <w:spacing w:after="220" w:before="480"/>
      </w:pPr>
      <w:r>
        <w:t xml:space="preserve">2. Current State Assessment</w:t>
      </w:r>
    </w:p>
    <w:p>
      <w:pPr>
        <w:spacing w:after="160"/>
        <w:jc w:val="both"/>
      </w:pPr>
      <w:r>
        <w:rPr>
          <w:rFonts w:ascii="Calibri" w:cs="Calibri" w:eastAsia="Calibri" w:hAnsi="Calibri"/>
          <w:sz w:val="21"/>
          <w:szCs w:val="21"/>
        </w:rPr>
        <w:t xml:space="preserve">Based on the requirements shared, the current VAT compliance process across the DoF VAT Group is characterised by the following challenges:</w:t>
      </w:r>
    </w:p>
    <w:p>
      <w:pPr>
        <w:pStyle w:val="ListParagraph"/>
        <w:numPr>
          <w:ilvl w:val="0"/>
          <w:numId w:val="1"/>
        </w:numPr>
        <w:spacing w:after="90"/>
      </w:pPr>
      <w:r>
        <w:rPr>
          <w:rFonts w:ascii="Calibri" w:cs="Calibri" w:eastAsia="Calibri" w:hAnsi="Calibri"/>
          <w:sz w:val="21"/>
          <w:szCs w:val="21"/>
        </w:rPr>
        <w:t xml:space="preserve">Manual extraction of transactional and tax data from Oracle Fusion and other satellite/non-Fusion systems, typically into spreadsheets, with no standard, repeatable extraction mechanism.</w:t>
      </w:r>
    </w:p>
    <w:p>
      <w:pPr>
        <w:pStyle w:val="ListParagraph"/>
        <w:numPr>
          <w:ilvl w:val="0"/>
          <w:numId w:val="1"/>
        </w:numPr>
        <w:spacing w:after="90"/>
      </w:pPr>
      <w:r>
        <w:rPr>
          <w:rFonts w:ascii="Calibri" w:cs="Calibri" w:eastAsia="Calibri" w:hAnsi="Calibri"/>
          <w:sz w:val="21"/>
          <w:szCs w:val="21"/>
        </w:rPr>
        <w:t xml:space="preserve">Manual reconciliation of financial data (sub-ledger and general ledger) to VAT reporting positions, increasing the risk of error and consuming significant preparer and reviewer time each filing cycle.</w:t>
      </w:r>
    </w:p>
    <w:p>
      <w:pPr>
        <w:pStyle w:val="ListParagraph"/>
        <w:numPr>
          <w:ilvl w:val="0"/>
          <w:numId w:val="1"/>
        </w:numPr>
        <w:spacing w:after="90"/>
      </w:pPr>
      <w:r>
        <w:rPr>
          <w:rFonts w:ascii="Calibri" w:cs="Calibri" w:eastAsia="Calibri" w:hAnsi="Calibri"/>
          <w:sz w:val="21"/>
          <w:szCs w:val="21"/>
        </w:rPr>
        <w:t xml:space="preserve">Manual tracking of VAT adjustments outside of any system of record, with limited visibility of approval status, ownership, or linkage back to the return.</w:t>
      </w:r>
    </w:p>
    <w:p>
      <w:pPr>
        <w:pStyle w:val="ListParagraph"/>
        <w:numPr>
          <w:ilvl w:val="0"/>
          <w:numId w:val="1"/>
        </w:numPr>
        <w:spacing w:after="90"/>
      </w:pPr>
      <w:r>
        <w:rPr>
          <w:rFonts w:ascii="Calibri" w:cs="Calibri" w:eastAsia="Calibri" w:hAnsi="Calibri"/>
          <w:sz w:val="21"/>
          <w:szCs w:val="21"/>
        </w:rPr>
        <w:t xml:space="preserve">Manual preparation of submission-ready outputs (VAT return, supporting schedules, evidence packs), with no standard, version-controlled audit trail.</w:t>
      </w:r>
    </w:p>
    <w:p>
      <w:pPr>
        <w:pStyle w:val="ListParagraph"/>
        <w:numPr>
          <w:ilvl w:val="0"/>
          <w:numId w:val="1"/>
        </w:numPr>
        <w:spacing w:after="90"/>
      </w:pPr>
      <w:r>
        <w:rPr>
          <w:rFonts w:ascii="Calibri" w:cs="Calibri" w:eastAsia="Calibri" w:hAnsi="Calibri"/>
          <w:sz w:val="21"/>
          <w:szCs w:val="21"/>
        </w:rPr>
        <w:t xml:space="preserve">Limited, inconsistent segregation of duties and role-based control over who can prepare, review, adjust and approve VAT positions across entities.</w:t>
      </w:r>
    </w:p>
    <w:p>
      <w:pPr>
        <w:pStyle w:val="ListParagraph"/>
        <w:numPr>
          <w:ilvl w:val="0"/>
          <w:numId w:val="1"/>
        </w:numPr>
        <w:spacing w:after="90"/>
      </w:pPr>
      <w:r>
        <w:rPr>
          <w:rFonts w:ascii="Calibri" w:cs="Calibri" w:eastAsia="Calibri" w:hAnsi="Calibri"/>
          <w:sz w:val="21"/>
          <w:szCs w:val="21"/>
        </w:rPr>
        <w:t xml:space="preserve">No consolidated, real-time view of VAT exceptions, tax risk, or process status across the VAT Group — visibility is retrospective and fragmented.</w:t>
      </w:r>
    </w:p>
    <w:p>
      <w:pPr>
        <w:pStyle w:val="ListParagraph"/>
        <w:numPr>
          <w:ilvl w:val="0"/>
          <w:numId w:val="1"/>
        </w:numPr>
        <w:spacing w:after="90"/>
      </w:pPr>
      <w:r>
        <w:rPr>
          <w:rFonts w:ascii="Calibri" w:cs="Calibri" w:eastAsia="Calibri" w:hAnsi="Calibri"/>
          <w:sz w:val="21"/>
          <w:szCs w:val="21"/>
        </w:rPr>
        <w:t xml:space="preserve">Multi-entity VAT Group consolidation is performed manually, increasing complexity and the risk of inconsistent treatment across entities.</w:t>
      </w:r>
    </w:p>
    <w:p>
      <w:pPr>
        <w:pStyle w:val="ListParagraph"/>
        <w:numPr>
          <w:ilvl w:val="0"/>
          <w:numId w:val="1"/>
        </w:numPr>
        <w:spacing w:after="90"/>
      </w:pPr>
      <w:r>
        <w:rPr>
          <w:rFonts w:ascii="Calibri" w:cs="Calibri" w:eastAsia="Calibri" w:hAnsi="Calibri"/>
          <w:sz w:val="21"/>
          <w:szCs w:val="21"/>
        </w:rPr>
        <w:t xml:space="preserve">Heavy dependency on institutional knowledge held by a small number of individuals, creating key-person risk and limiting scalability as the VAT Group evolves.</w:t>
      </w:r>
    </w:p>
    <w:p>
      <w:pPr>
        <w:spacing w:after="160"/>
        <w:jc w:val="both"/>
      </w:pPr>
      <w:r>
        <w:rPr>
          <w:rFonts w:ascii="Calibri" w:cs="Calibri" w:eastAsia="Calibri" w:hAnsi="Calibri"/>
          <w:sz w:val="21"/>
          <w:szCs w:val="21"/>
        </w:rPr>
        <w:t xml:space="preserve">These challenges form the basis for the target operating model and solution design set out in the remainder of this document.</w:t>
      </w:r>
    </w:p>
    <w:p>
      <w:pPr>
        <w:pStyle w:val="Heading1"/>
        <w:pBdr>
          <w:bottom w:val="single" w:color="0B2545" w:sz="8" w:space="4"/>
        </w:pBdr>
        <w:spacing w:after="220" w:before="480"/>
      </w:pPr>
      <w:r>
        <w:t xml:space="preserve">3. Proposed Target Operating Model — Overview</w:t>
      </w:r>
    </w:p>
    <w:p>
      <w:pPr>
        <w:spacing w:after="160"/>
        <w:jc w:val="both"/>
      </w:pPr>
      <w:r>
        <w:rPr>
          <w:rFonts w:ascii="Calibri" w:cs="Calibri" w:eastAsia="Calibri" w:hAnsi="Calibri"/>
          <w:sz w:val="21"/>
          <w:szCs w:val="21"/>
        </w:rPr>
        <w:t xml:space="preserve">The proposed target operating model (TOM) is organised around three pillars — People &amp; Roles, Process, and Technology — anchored on a single, auditable VAT data and control layer built on Oracle ATP and surfaced through Oracle APEX.</w:t>
      </w:r>
    </w:p>
    <w:p>
      <w:pPr>
        <w:pStyle w:val="Heading3"/>
        <w:spacing w:after="120" w:before="220"/>
      </w:pPr>
      <w:r>
        <w:t xml:space="preserve">3.1 People &amp; Roles</w:t>
      </w:r>
    </w:p>
    <w:p>
      <w:pPr>
        <w:pStyle w:val="ListParagraph"/>
        <w:numPr>
          <w:ilvl w:val="0"/>
          <w:numId w:val="1"/>
        </w:numPr>
        <w:spacing w:after="90"/>
      </w:pPr>
      <w:r>
        <w:rPr>
          <w:rFonts w:ascii="Calibri" w:cs="Calibri" w:eastAsia="Calibri" w:hAnsi="Calibri"/>
          <w:sz w:val="21"/>
          <w:szCs w:val="21"/>
        </w:rPr>
        <w:t xml:space="preserve">Local Accountants (entity level) — responsible for data validation, exception resolution and first-line VAT return preparation for their entity.</w:t>
      </w:r>
    </w:p>
    <w:p>
      <w:pPr>
        <w:pStyle w:val="ListParagraph"/>
        <w:numPr>
          <w:ilvl w:val="0"/>
          <w:numId w:val="1"/>
        </w:numPr>
        <w:spacing w:after="90"/>
      </w:pPr>
      <w:r>
        <w:rPr>
          <w:rFonts w:ascii="Calibri" w:cs="Calibri" w:eastAsia="Calibri" w:hAnsi="Calibri"/>
          <w:sz w:val="21"/>
          <w:szCs w:val="21"/>
        </w:rPr>
        <w:t xml:space="preserve">VAT Reviewers — responsible for reviewing entity-level VAT positions, exceptions and adjustments prior to escalation.</w:t>
      </w:r>
    </w:p>
    <w:p>
      <w:pPr>
        <w:pStyle w:val="ListParagraph"/>
        <w:numPr>
          <w:ilvl w:val="0"/>
          <w:numId w:val="1"/>
        </w:numPr>
        <w:spacing w:after="90"/>
      </w:pPr>
      <w:r>
        <w:rPr>
          <w:rFonts w:ascii="Calibri" w:cs="Calibri" w:eastAsia="Calibri" w:hAnsi="Calibri"/>
          <w:sz w:val="21"/>
          <w:szCs w:val="21"/>
        </w:rPr>
        <w:t xml:space="preserve">Finance Controller — responsible for entity-level sign-off of VAT returns and reconciliation packs.</w:t>
      </w:r>
    </w:p>
    <w:p>
      <w:pPr>
        <w:pStyle w:val="ListParagraph"/>
        <w:numPr>
          <w:ilvl w:val="0"/>
          <w:numId w:val="1"/>
        </w:numPr>
        <w:spacing w:after="90"/>
      </w:pPr>
      <w:r>
        <w:rPr>
          <w:rFonts w:ascii="Calibri" w:cs="Calibri" w:eastAsia="Calibri" w:hAnsi="Calibri"/>
          <w:sz w:val="21"/>
          <w:szCs w:val="21"/>
        </w:rPr>
        <w:t xml:space="preserve">DoF Tax Team / Central VAT Group Function — responsible for VAT Group consolidation, final review and sign-off, submission, refund processing oversight, and configuration of rules, adjustments and workflows.</w:t>
      </w:r>
    </w:p>
    <w:p>
      <w:pPr>
        <w:pStyle w:val="ListParagraph"/>
        <w:numPr>
          <w:ilvl w:val="0"/>
          <w:numId w:val="1"/>
        </w:numPr>
        <w:spacing w:after="90"/>
      </w:pPr>
      <w:r>
        <w:rPr>
          <w:rFonts w:ascii="Calibri" w:cs="Calibri" w:eastAsia="Calibri" w:hAnsi="Calibri"/>
          <w:sz w:val="21"/>
          <w:szCs w:val="21"/>
        </w:rPr>
        <w:t xml:space="preserve">System/Security Administrators — responsible for RBAC, SoD configuration and platform administration.</w:t>
      </w:r>
    </w:p>
    <w:p>
      <w:pPr>
        <w:pStyle w:val="Heading3"/>
        <w:spacing w:after="120" w:before="220"/>
      </w:pPr>
      <w:r>
        <w:t xml:space="preserve">3.2 Process Pillars</w:t>
      </w:r>
    </w:p>
    <w:p>
      <w:pPr>
        <w:pStyle w:val="ListParagraph"/>
        <w:numPr>
          <w:ilvl w:val="0"/>
          <w:numId w:val="1"/>
        </w:numPr>
        <w:spacing w:after="90"/>
      </w:pPr>
      <w:r>
        <w:rPr>
          <w:rFonts w:ascii="Calibri" w:cs="Calibri" w:eastAsia="Calibri" w:hAnsi="Calibri"/>
          <w:sz w:val="21"/>
          <w:szCs w:val="21"/>
        </w:rPr>
        <w:t xml:space="preserve">Data ingestion and AI-driven exception identification.</w:t>
      </w:r>
    </w:p>
    <w:p>
      <w:pPr>
        <w:pStyle w:val="ListParagraph"/>
        <w:numPr>
          <w:ilvl w:val="0"/>
          <w:numId w:val="1"/>
        </w:numPr>
        <w:spacing w:after="90"/>
      </w:pPr>
      <w:r>
        <w:rPr>
          <w:rFonts w:ascii="Calibri" w:cs="Calibri" w:eastAsia="Calibri" w:hAnsi="Calibri"/>
          <w:sz w:val="21"/>
          <w:szCs w:val="21"/>
        </w:rPr>
        <w:t xml:space="preserve">Configurable rules-based and AI-enhanced VAT error detection and correction support.</w:t>
      </w:r>
    </w:p>
    <w:p>
      <w:pPr>
        <w:pStyle w:val="ListParagraph"/>
        <w:numPr>
          <w:ilvl w:val="0"/>
          <w:numId w:val="1"/>
        </w:numPr>
        <w:spacing w:after="90"/>
      </w:pPr>
      <w:r>
        <w:rPr>
          <w:rFonts w:ascii="Calibri" w:cs="Calibri" w:eastAsia="Calibri" w:hAnsi="Calibri"/>
          <w:sz w:val="21"/>
          <w:szCs w:val="21"/>
        </w:rPr>
        <w:t xml:space="preserve">VAT adjustment management with DoF-specific approval workflow.</w:t>
      </w:r>
    </w:p>
    <w:p>
      <w:pPr>
        <w:pStyle w:val="ListParagraph"/>
        <w:numPr>
          <w:ilvl w:val="0"/>
          <w:numId w:val="1"/>
        </w:numPr>
        <w:spacing w:after="90"/>
      </w:pPr>
      <w:r>
        <w:rPr>
          <w:rFonts w:ascii="Calibri" w:cs="Calibri" w:eastAsia="Calibri" w:hAnsi="Calibri"/>
          <w:sz w:val="21"/>
          <w:szCs w:val="21"/>
        </w:rPr>
        <w:t xml:space="preserve">VAT return preparation, multi-level review and electronic sign-off.</w:t>
      </w:r>
    </w:p>
    <w:p>
      <w:pPr>
        <w:pStyle w:val="ListParagraph"/>
        <w:numPr>
          <w:ilvl w:val="0"/>
          <w:numId w:val="1"/>
        </w:numPr>
        <w:spacing w:after="90"/>
      </w:pPr>
      <w:r>
        <w:rPr>
          <w:rFonts w:ascii="Calibri" w:cs="Calibri" w:eastAsia="Calibri" w:hAnsi="Calibri"/>
          <w:sz w:val="21"/>
          <w:szCs w:val="21"/>
        </w:rPr>
        <w:t xml:space="preserve">Multi-entity VAT Group processing and consolidation.</w:t>
      </w:r>
    </w:p>
    <w:p>
      <w:pPr>
        <w:pStyle w:val="ListParagraph"/>
        <w:numPr>
          <w:ilvl w:val="0"/>
          <w:numId w:val="1"/>
        </w:numPr>
        <w:spacing w:after="90"/>
      </w:pPr>
      <w:r>
        <w:rPr>
          <w:rFonts w:ascii="Calibri" w:cs="Calibri" w:eastAsia="Calibri" w:hAnsi="Calibri"/>
          <w:sz w:val="21"/>
          <w:szCs w:val="21"/>
        </w:rPr>
        <w:t xml:space="preserve">Reconciliation and exception management across source, sub-ledger, GL and VAT working.</w:t>
      </w:r>
    </w:p>
    <w:p>
      <w:pPr>
        <w:pStyle w:val="ListParagraph"/>
        <w:numPr>
          <w:ilvl w:val="0"/>
          <w:numId w:val="1"/>
        </w:numPr>
        <w:spacing w:after="90"/>
      </w:pPr>
      <w:r>
        <w:rPr>
          <w:rFonts w:ascii="Calibri" w:cs="Calibri" w:eastAsia="Calibri" w:hAnsi="Calibri"/>
          <w:sz w:val="21"/>
          <w:szCs w:val="21"/>
        </w:rPr>
        <w:t xml:space="preserve">Submission-ready output generation and audit-ready documentation.</w:t>
      </w:r>
    </w:p>
    <w:p>
      <w:pPr>
        <w:pStyle w:val="ListParagraph"/>
        <w:numPr>
          <w:ilvl w:val="0"/>
          <w:numId w:val="1"/>
        </w:numPr>
        <w:spacing w:after="90"/>
      </w:pPr>
      <w:r>
        <w:rPr>
          <w:rFonts w:ascii="Calibri" w:cs="Calibri" w:eastAsia="Calibri" w:hAnsi="Calibri"/>
          <w:sz w:val="21"/>
          <w:szCs w:val="21"/>
        </w:rPr>
        <w:t xml:space="preserve">Configurable refund processing.</w:t>
      </w:r>
    </w:p>
    <w:p>
      <w:pPr>
        <w:pStyle w:val="ListParagraph"/>
        <w:numPr>
          <w:ilvl w:val="0"/>
          <w:numId w:val="1"/>
        </w:numPr>
        <w:spacing w:after="90"/>
      </w:pPr>
      <w:r>
        <w:rPr>
          <w:rFonts w:ascii="Calibri" w:cs="Calibri" w:eastAsia="Calibri" w:hAnsi="Calibri"/>
          <w:sz w:val="21"/>
          <w:szCs w:val="21"/>
        </w:rPr>
        <w:t xml:space="preserve">Controls, RBAC/SoD and audit trail.</w:t>
      </w:r>
    </w:p>
    <w:p>
      <w:pPr>
        <w:pStyle w:val="ListParagraph"/>
        <w:numPr>
          <w:ilvl w:val="0"/>
          <w:numId w:val="1"/>
        </w:numPr>
        <w:spacing w:after="90"/>
      </w:pPr>
      <w:r>
        <w:rPr>
          <w:rFonts w:ascii="Calibri" w:cs="Calibri" w:eastAsia="Calibri" w:hAnsi="Calibri"/>
          <w:sz w:val="21"/>
          <w:szCs w:val="21"/>
        </w:rPr>
        <w:t xml:space="preserve">Dashboards and management reporting.</w:t>
      </w:r>
    </w:p>
    <w:p>
      <w:pPr>
        <w:pStyle w:val="Heading3"/>
        <w:spacing w:after="120" w:before="220"/>
      </w:pPr>
      <w:r>
        <w:t xml:space="preserve">3.3 Technology Pillars</w:t>
      </w:r>
    </w:p>
    <w:p>
      <w:pPr>
        <w:pStyle w:val="ListParagraph"/>
        <w:numPr>
          <w:ilvl w:val="0"/>
          <w:numId w:val="1"/>
        </w:numPr>
        <w:spacing w:after="90"/>
      </w:pPr>
      <w:r>
        <w:rPr>
          <w:rFonts w:ascii="Calibri" w:cs="Calibri" w:eastAsia="Calibri" w:hAnsi="Calibri"/>
          <w:sz w:val="21"/>
          <w:szCs w:val="21"/>
        </w:rPr>
        <w:t xml:space="preserve">Oracle Fusion ERP — system of record for financial and tax transaction data.</w:t>
      </w:r>
    </w:p>
    <w:p>
      <w:pPr>
        <w:pStyle w:val="ListParagraph"/>
        <w:numPr>
          <w:ilvl w:val="0"/>
          <w:numId w:val="1"/>
        </w:numPr>
        <w:spacing w:after="90"/>
      </w:pPr>
      <w:r>
        <w:rPr>
          <w:rFonts w:ascii="Calibri" w:cs="Calibri" w:eastAsia="Calibri" w:hAnsi="Calibri"/>
          <w:sz w:val="21"/>
          <w:szCs w:val="21"/>
        </w:rPr>
        <w:t xml:space="preserve">Oracle Integration Cloud (OIC) — integration, extraction and workflow orchestration layer.</w:t>
      </w:r>
    </w:p>
    <w:p>
      <w:pPr>
        <w:pStyle w:val="ListParagraph"/>
        <w:numPr>
          <w:ilvl w:val="0"/>
          <w:numId w:val="1"/>
        </w:numPr>
        <w:spacing w:after="90"/>
      </w:pPr>
      <w:r>
        <w:rPr>
          <w:rFonts w:ascii="Calibri" w:cs="Calibri" w:eastAsia="Calibri" w:hAnsi="Calibri"/>
          <w:sz w:val="21"/>
          <w:szCs w:val="21"/>
        </w:rPr>
        <w:t xml:space="preserve">Oracle ATP — data platform, staging area, VAT data model, configurable rules engine and AI/ML exception scoring.</w:t>
      </w:r>
    </w:p>
    <w:p>
      <w:pPr>
        <w:pStyle w:val="ListParagraph"/>
        <w:numPr>
          <w:ilvl w:val="0"/>
          <w:numId w:val="1"/>
        </w:numPr>
        <w:spacing w:after="90"/>
      </w:pPr>
      <w:r>
        <w:rPr>
          <w:rFonts w:ascii="Calibri" w:cs="Calibri" w:eastAsia="Calibri" w:hAnsi="Calibri"/>
          <w:sz w:val="21"/>
          <w:szCs w:val="21"/>
        </w:rPr>
        <w:t xml:space="preserve">Oracle APEX — low-code front-end for forms, workflow, reconciliation, dashboards and reporting.</w:t>
      </w:r>
    </w:p>
    <w:p>
      <w:pPr>
        <w:pStyle w:val="ListParagraph"/>
        <w:numPr>
          <w:ilvl w:val="0"/>
          <w:numId w:val="1"/>
        </w:numPr>
        <w:spacing w:after="90"/>
      </w:pPr>
      <w:r>
        <w:rPr>
          <w:rFonts w:ascii="Calibri" w:cs="Calibri" w:eastAsia="Calibri" w:hAnsi="Calibri"/>
          <w:sz w:val="21"/>
          <w:szCs w:val="21"/>
        </w:rPr>
        <w:t xml:space="preserve">Oracle Cloud Infrastructure (OCI), UAE region — hosting, data residency and security.</w:t>
      </w:r>
    </w:p>
    <w:p>
      <w:pPr>
        <w:pStyle w:val="Heading1"/>
        <w:pBdr>
          <w:bottom w:val="single" w:color="0B2545" w:sz="8" w:space="4"/>
        </w:pBdr>
        <w:spacing w:after="220" w:before="480"/>
      </w:pPr>
      <w:r>
        <w:t xml:space="preserve">4. End-to-End Solution Architecture</w:t>
      </w:r>
    </w:p>
    <w:p>
      <w:pPr>
        <w:spacing w:after="160"/>
        <w:jc w:val="both"/>
      </w:pPr>
      <w:r>
        <w:rPr>
          <w:rFonts w:ascii="Calibri" w:cs="Calibri" w:eastAsia="Calibri" w:hAnsi="Calibri"/>
          <w:sz w:val="21"/>
          <w:szCs w:val="21"/>
        </w:rPr>
        <w:t xml:space="preserve">The solution architecture is built entirely on the DoF's existing Oracle Cloud investment and is organised into five layers — Source Systems, Integration &amp; Orchestration, Data/Rules/AI Processing, Presentation, and Users &amp; Outputs — with security, RBAC/SoD and audit trail applied as a cross-cutting layer, and the entire platform hosted on Oracle Cloud Infrastructure (OCI) in the UAE (Abu Dhabi) region to satisfy data residency requirements.</w:t>
      </w:r>
    </w:p>
    <w:p>
      <w:pPr>
        <w:spacing w:after="80" w:before="12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71875"/>
                    </a:xfrm>
                    <a:prstGeom prst="rect">
                      <a:avLst/>
                    </a:prstGeom>
                  </pic:spPr>
                </pic:pic>
              </a:graphicData>
            </a:graphic>
          </wp:inline>
        </w:drawing>
      </w:r>
    </w:p>
    <w:p>
      <w:pPr>
        <w:spacing w:after="260"/>
        <w:jc w:val="center"/>
      </w:pPr>
      <w:r>
        <w:rPr>
          <w:rFonts w:ascii="Calibri" w:cs="Calibri" w:eastAsia="Calibri" w:hAnsi="Calibri"/>
          <w:i/>
          <w:iCs/>
          <w:color w:val="5B6470"/>
          <w:sz w:val="18"/>
          <w:szCs w:val="18"/>
        </w:rPr>
        <w:t xml:space="preserve">Figure 1 — DoF VAT Compliance Solution: End-to-End Architecture &amp; Data Flow</w:t>
      </w:r>
    </w:p>
    <w:p>
      <w:pPr>
        <w:pStyle w:val="Heading2"/>
        <w:spacing w:after="160" w:before="320"/>
      </w:pPr>
      <w:r>
        <w:t xml:space="preserve">4.1 Data Flow — Step by Step</w:t>
      </w:r>
    </w:p>
    <w:p>
      <w:pPr>
        <w:pStyle w:val="ListParagraph"/>
        <w:numPr>
          <w:ilvl w:val="0"/>
          <w:numId w:val="1"/>
        </w:numPr>
        <w:spacing w:after="90"/>
      </w:pPr>
      <w:r>
        <w:rPr>
          <w:rFonts w:ascii="Calibri" w:cs="Calibri" w:eastAsia="Calibri" w:hAnsi="Calibri"/>
          <w:sz w:val="21"/>
          <w:szCs w:val="21"/>
        </w:rPr>
        <w:t xml:space="preserve">1. Scheduled and on-demand OIC integration flows extract transaction, master and tax data from Oracle Fusion (General Ledger, Payables, Receivables, Fixed Assets, Procurement) using Fusion REST/BI Publisher extracts and OIC Application Integration adapters.</w:t>
      </w:r>
    </w:p>
    <w:p>
      <w:pPr>
        <w:pStyle w:val="ListParagraph"/>
        <w:numPr>
          <w:ilvl w:val="0"/>
          <w:numId w:val="1"/>
        </w:numPr>
        <w:spacing w:after="90"/>
      </w:pPr>
      <w:r>
        <w:rPr>
          <w:rFonts w:ascii="Calibri" w:cs="Calibri" w:eastAsia="Calibri" w:hAnsi="Calibri"/>
          <w:sz w:val="21"/>
          <w:szCs w:val="21"/>
        </w:rPr>
        <w:t xml:space="preserve">2. Data from satellite systems, or manually maintained data, is ingested through an APEX-based templated Excel/CSV upload facility, with in-line structural and business-rule validation before staging.</w:t>
      </w:r>
    </w:p>
    <w:p>
      <w:pPr>
        <w:pStyle w:val="ListParagraph"/>
        <w:numPr>
          <w:ilvl w:val="0"/>
          <w:numId w:val="1"/>
        </w:numPr>
        <w:spacing w:after="90"/>
      </w:pPr>
      <w:r>
        <w:rPr>
          <w:rFonts w:ascii="Calibri" w:cs="Calibri" w:eastAsia="Calibri" w:hAnsi="Calibri"/>
          <w:sz w:val="21"/>
          <w:szCs w:val="21"/>
        </w:rPr>
        <w:t xml:space="preserve">3. All ingested data lands in a common staging schema in Oracle ATP. The configurable rules engine executes DoF-defined validation rules (e.g. missing/incorrect tax code, rate mismatch, place-of-supply errors, duplicate transactions, threshold breaches), and the AI/ML exception engine scores transactions for anomalies not captured by static rules and proposes likely corrections.</w:t>
      </w:r>
    </w:p>
    <w:p>
      <w:pPr>
        <w:pStyle w:val="ListParagraph"/>
        <w:numPr>
          <w:ilvl w:val="0"/>
          <w:numId w:val="1"/>
        </w:numPr>
        <w:spacing w:after="90"/>
      </w:pPr>
      <w:r>
        <w:rPr>
          <w:rFonts w:ascii="Calibri" w:cs="Calibri" w:eastAsia="Calibri" w:hAnsi="Calibri"/>
          <w:sz w:val="21"/>
          <w:szCs w:val="21"/>
        </w:rPr>
        <w:t xml:space="preserve">4. Identified exceptions are routed via the Exception Resolution Workflow to the relevant source-owning team (accountant/entity level) for correction at source, or for a compensating adjustment where source correction is not possible.</w:t>
      </w:r>
    </w:p>
    <w:p>
      <w:pPr>
        <w:pStyle w:val="ListParagraph"/>
        <w:numPr>
          <w:ilvl w:val="0"/>
          <w:numId w:val="1"/>
        </w:numPr>
        <w:spacing w:after="90"/>
      </w:pPr>
      <w:r>
        <w:rPr>
          <w:rFonts w:ascii="Calibri" w:cs="Calibri" w:eastAsia="Calibri" w:hAnsi="Calibri"/>
          <w:sz w:val="21"/>
          <w:szCs w:val="21"/>
        </w:rPr>
        <w:t xml:space="preserve">5. Validated data is aggregated into entity-level VAT working schedules and consolidated at VAT Group level within Oracle ATP, applying DoF-specific VAT grouping and elimination rules.</w:t>
      </w:r>
    </w:p>
    <w:p>
      <w:pPr>
        <w:pStyle w:val="ListParagraph"/>
        <w:numPr>
          <w:ilvl w:val="0"/>
          <w:numId w:val="1"/>
        </w:numPr>
        <w:spacing w:after="90"/>
      </w:pPr>
      <w:r>
        <w:rPr>
          <w:rFonts w:ascii="Calibri" w:cs="Calibri" w:eastAsia="Calibri" w:hAnsi="Calibri"/>
          <w:sz w:val="21"/>
          <w:szCs w:val="21"/>
        </w:rPr>
        <w:t xml:space="preserve">6. The reconciliation engine automatically cross-matches source system, sub-ledger and general ledger positions against the VAT working, raising reconciliation exceptions for review where variances exceed configurable tolerances.</w:t>
      </w:r>
    </w:p>
    <w:p>
      <w:pPr>
        <w:pStyle w:val="ListParagraph"/>
        <w:numPr>
          <w:ilvl w:val="0"/>
          <w:numId w:val="1"/>
        </w:numPr>
        <w:spacing w:after="90"/>
      </w:pPr>
      <w:r>
        <w:rPr>
          <w:rFonts w:ascii="Calibri" w:cs="Calibri" w:eastAsia="Calibri" w:hAnsi="Calibri"/>
          <w:sz w:val="21"/>
          <w:szCs w:val="21"/>
        </w:rPr>
        <w:t xml:space="preserve">7. Adjustments — manual or AI-suggested — are captured with full workflow approval and remain fully traceable to the originating transaction, reconciliation item or exception.</w:t>
      </w:r>
    </w:p>
    <w:p>
      <w:pPr>
        <w:pStyle w:val="ListParagraph"/>
        <w:numPr>
          <w:ilvl w:val="0"/>
          <w:numId w:val="1"/>
        </w:numPr>
        <w:spacing w:after="90"/>
      </w:pPr>
      <w:r>
        <w:rPr>
          <w:rFonts w:ascii="Calibri" w:cs="Calibri" w:eastAsia="Calibri" w:hAnsi="Calibri"/>
          <w:sz w:val="21"/>
          <w:szCs w:val="21"/>
        </w:rPr>
        <w:t xml:space="preserve">8. The VAT return is prepared box-by-box, per entity and consolidated, within a dedicated APEX workspace, and passes through a bespoke multi-level review and electronic sign-off workflow (Accountant → VAT Reviewer → Finance Controller → DoF Tax Team).</w:t>
      </w:r>
    </w:p>
    <w:p>
      <w:pPr>
        <w:pStyle w:val="ListParagraph"/>
        <w:numPr>
          <w:ilvl w:val="0"/>
          <w:numId w:val="1"/>
        </w:numPr>
        <w:spacing w:after="90"/>
      </w:pPr>
      <w:r>
        <w:rPr>
          <w:rFonts w:ascii="Calibri" w:cs="Calibri" w:eastAsia="Calibri" w:hAnsi="Calibri"/>
          <w:sz w:val="21"/>
          <w:szCs w:val="21"/>
        </w:rPr>
        <w:t xml:space="preserve">9. On final approval, the system generates the submission-ready VAT return file (XML/JSON), the reconciliation pack, working schedules and an audit-ready evidence pack.</w:t>
      </w:r>
    </w:p>
    <w:p>
      <w:pPr>
        <w:pStyle w:val="ListParagraph"/>
        <w:numPr>
          <w:ilvl w:val="0"/>
          <w:numId w:val="1"/>
        </w:numPr>
        <w:spacing w:after="90"/>
      </w:pPr>
      <w:r>
        <w:rPr>
          <w:rFonts w:ascii="Calibri" w:cs="Calibri" w:eastAsia="Calibri" w:hAnsi="Calibri"/>
          <w:sz w:val="21"/>
          <w:szCs w:val="21"/>
        </w:rPr>
        <w:t xml:space="preserve">10. Refund scenarios, where applicable, are processed through a configurable refund sub-process with dedicated tracking and reporting.</w:t>
      </w:r>
    </w:p>
    <w:p>
      <w:pPr>
        <w:pStyle w:val="ListParagraph"/>
        <w:numPr>
          <w:ilvl w:val="0"/>
          <w:numId w:val="1"/>
        </w:numPr>
        <w:spacing w:after="90"/>
      </w:pPr>
      <w:r>
        <w:rPr>
          <w:rFonts w:ascii="Calibri" w:cs="Calibri" w:eastAsia="Calibri" w:hAnsi="Calibri"/>
          <w:sz w:val="21"/>
          <w:szCs w:val="21"/>
        </w:rPr>
        <w:t xml:space="preserve">11. Every action — data change, exception resolution, adjustment, approval, and return submission — is captured in an immutable audit trail, enabling full drill-down from a VAT return box to the originating line item, and vice versa.</w:t>
      </w:r>
    </w:p>
    <w:p>
      <w:pPr>
        <w:pStyle w:val="ListParagraph"/>
        <w:numPr>
          <w:ilvl w:val="0"/>
          <w:numId w:val="1"/>
        </w:numPr>
        <w:spacing w:after="90"/>
      </w:pPr>
      <w:r>
        <w:rPr>
          <w:rFonts w:ascii="Calibri" w:cs="Calibri" w:eastAsia="Calibri" w:hAnsi="Calibri"/>
          <w:sz w:val="21"/>
          <w:szCs w:val="21"/>
        </w:rPr>
        <w:t xml:space="preserve">12. Operational, VAT-check and tax-risk dashboards are refreshed from Oracle ATP and surfaced in Oracle APEX for real-time visibility.</w:t>
      </w:r>
    </w:p>
    <w:p>
      <w:pPr>
        <w:pStyle w:val="Heading2"/>
        <w:spacing w:after="160" w:before="320"/>
      </w:pPr>
      <w:r>
        <w:t xml:space="preserve">4.2 Technology Stack</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2200"/>
        <w:gridCol w:w="3400"/>
        <w:gridCol w:w="376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Layer</w:t>
            </w:r>
          </w:p>
        </w:tc>
        <w:tc>
          <w:tcPr>
            <w:tcW w:type="dxa" w:w="3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Technology</w:t>
            </w:r>
          </w:p>
        </w:tc>
        <w:tc>
          <w:tcPr>
            <w:tcW w:type="dxa" w:w="37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Purpose in the Solution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Source Systems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Fusion ERP (GL, AP, AR, Fixed Assets, Procurement)</w:t>
            </w:r>
          </w:p>
        </w:tc>
        <w:tc>
          <w:tcPr>
            <w:tcW w:type="dxa" w:w="37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System of record for financial and tax transaction data across DoF VAT Group entities.</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Source Systems</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Excel / CSV, satellite systems</w:t>
            </w:r>
          </w:p>
        </w:tc>
        <w:tc>
          <w:tcPr>
            <w:tcW w:type="dxa" w:w="37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Manual and non-Fusion transaction data, ingested via a controlled, templated upload process.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Integration &amp; Orchestration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Integration Cloud (OIC) — Application Integration</w:t>
            </w:r>
          </w:p>
        </w:tc>
        <w:tc>
          <w:tcPr>
            <w:tcW w:type="dxa" w:w="37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Scheduled/on-demand extraction adapters from Oracle Fusion and other systems; file and REST adapters.</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Integration &amp; Orchestration</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Integration Cloud (OIC) — Process Automation</w:t>
            </w:r>
          </w:p>
        </w:tc>
        <w:tc>
          <w:tcPr>
            <w:tcW w:type="dxa" w:w="37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Orchestration of exception, adjustment, review/sign-off, reconciliation and refund workflows.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Data, Rules &amp; AI Processing</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Autonomous Transaction Processing (ATP)</w:t>
            </w:r>
          </w:p>
        </w:tc>
        <w:tc>
          <w:tcPr>
            <w:tcW w:type="dxa" w:w="37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Staging schema, VAT data model, configurable rules engine, adjustment/reconciliation/return data store.</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Data, Rules &amp; AI Processing</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AI/ML Exception Engine (OCI Data Science / OML4Py)</w:t>
            </w:r>
          </w:p>
        </w:tc>
        <w:tc>
          <w:tcPr>
            <w:tcW w:type="dxa" w:w="37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Anomaly detection, error scoring and suggested-correction models supplementing rule-based checks.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Presentation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APEX</w:t>
            </w:r>
          </w:p>
        </w:tc>
        <w:tc>
          <w:tcPr>
            <w:tcW w:type="dxa" w:w="37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Low-code front-end delivering all forms, workflow screens, reconciliation workbench, dashboards and reports.</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Reporting / BI</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APEX native charts &amp; interactive reports; optional Oracle Analytics integration</w:t>
            </w:r>
          </w:p>
        </w:tc>
        <w:tc>
          <w:tcPr>
            <w:tcW w:type="dxa" w:w="37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Operational, VAT-check and tax-risk dashboards; executive-level reporting where required.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Security</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Identity Cloud Service / IAM, APEX RBAC, ATP Data Safe, OIC OAuth2</w:t>
            </w:r>
          </w:p>
        </w:tc>
        <w:tc>
          <w:tcPr>
            <w:tcW w:type="dxa" w:w="37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Authentication, role-based access control, segregation of duties, data protection and encryption.</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Hosting</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Cloud Infrastructure (OCI) — UAE (Abu Dhabi) region</w:t>
            </w:r>
          </w:p>
        </w:tc>
        <w:tc>
          <w:tcPr>
            <w:tcW w:type="dxa" w:w="37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In-country hosting to satisfy DoF data residency and sovereignty requirements.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Output Generation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APEX_JSON / XMLType generation; APEX/BI Publisher PDF rendering</w:t>
            </w:r>
          </w:p>
        </w:tc>
        <w:tc>
          <w:tcPr>
            <w:tcW w:type="dxa" w:w="37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Generation of the VAT return file (XML/JSON) and PDF-based reconciliation packs and evidence documentation.</w:t>
            </w:r>
          </w:p>
        </w:tc>
      </w:tr>
    </w:tbl>
    <w:p>
      <w:pPr>
        <w:pStyle w:val="Heading1"/>
        <w:pBdr>
          <w:bottom w:val="single" w:color="0B2545" w:sz="8" w:space="4"/>
        </w:pBdr>
        <w:spacing w:after="220" w:before="480"/>
      </w:pPr>
      <w:r>
        <w:t xml:space="preserve">5. Functional Solution Design</w:t>
      </w:r>
    </w:p>
    <w:p>
      <w:pPr>
        <w:spacing w:after="160"/>
        <w:jc w:val="both"/>
      </w:pPr>
      <w:r>
        <w:rPr>
          <w:rFonts w:ascii="Calibri" w:cs="Calibri" w:eastAsia="Calibri" w:hAnsi="Calibri"/>
          <w:sz w:val="21"/>
          <w:szCs w:val="21"/>
        </w:rPr>
        <w:t xml:space="preserve">This section describes how each of the DoF's stated requirements is addressed within the solution, mapped to the underlying Oracle technology.</w:t>
      </w:r>
    </w:p>
    <w:p>
      <w:pPr>
        <w:pStyle w:val="Heading2"/>
        <w:spacing w:after="160" w:before="320"/>
      </w:pPr>
      <w:r>
        <w:t xml:space="preserve">5.1 Data Ingestion &amp; AI-Driven Exception Identification</w:t>
      </w:r>
    </w:p>
    <w:p>
      <w:pPr>
        <w:spacing w:after="160"/>
        <w:jc w:val="both"/>
      </w:pPr>
      <w:r>
        <w:rPr>
          <w:rFonts w:ascii="Calibri" w:cs="Calibri" w:eastAsia="Calibri" w:hAnsi="Calibri"/>
          <w:sz w:val="21"/>
          <w:szCs w:val="21"/>
        </w:rPr>
        <w:t xml:space="preserve">Transaction and tax data is ingested from Oracle Fusion via OIC-managed extraction flows (scheduled and on-demand), and from satellite systems via a controlled, templated Excel/CSV upload facility built in Oracle APEX with in-line structural validation. All data lands in a common Oracle ATP staging model, ensuring a single, consistent basis for downstream processing regardless of source.</w:t>
      </w:r>
    </w:p>
    <w:p>
      <w:pPr>
        <w:pStyle w:val="ListParagraph"/>
        <w:numPr>
          <w:ilvl w:val="0"/>
          <w:numId w:val="1"/>
        </w:numPr>
        <w:spacing w:after="90"/>
      </w:pPr>
      <w:r>
        <w:rPr>
          <w:rFonts w:ascii="Calibri" w:cs="Calibri" w:eastAsia="Calibri" w:hAnsi="Calibri"/>
          <w:sz w:val="21"/>
          <w:szCs w:val="21"/>
        </w:rPr>
        <w:t xml:space="preserve">AI-enhanced exception identification scores every ingested transaction against learned patterns of prior errors and anomalies (e.g. unusual tax code/rate combinations, outlier amounts, duplicate or near-duplicate transactions), in addition to deterministic rule checks.</w:t>
      </w:r>
    </w:p>
    <w:p>
      <w:pPr>
        <w:pStyle w:val="ListParagraph"/>
        <w:numPr>
          <w:ilvl w:val="0"/>
          <w:numId w:val="1"/>
        </w:numPr>
        <w:spacing w:after="90"/>
      </w:pPr>
      <w:r>
        <w:rPr>
          <w:rFonts w:ascii="Calibri" w:cs="Calibri" w:eastAsia="Calibri" w:hAnsi="Calibri"/>
          <w:sz w:val="21"/>
          <w:szCs w:val="21"/>
        </w:rPr>
        <w:t xml:space="preserve">Exceptions are automatically categorised, prioritised and routed to the appropriate owner via the Exception Resolution Workflow, with full visibility in the Data &amp; Exception Workbench.</w:t>
      </w:r>
    </w:p>
    <w:p>
      <w:pPr>
        <w:pStyle w:val="ListParagraph"/>
        <w:numPr>
          <w:ilvl w:val="0"/>
          <w:numId w:val="1"/>
        </w:numPr>
        <w:spacing w:after="90"/>
      </w:pPr>
      <w:r>
        <w:rPr>
          <w:rFonts w:ascii="Calibri" w:cs="Calibri" w:eastAsia="Calibri" w:hAnsi="Calibri"/>
          <w:sz w:val="21"/>
          <w:szCs w:val="21"/>
        </w:rPr>
        <w:t xml:space="preserve">Ingestion status, volumes and exception rates are visible in real time on the Operational Dashboard.</w:t>
      </w:r>
    </w:p>
    <w:p>
      <w:pPr>
        <w:pStyle w:val="Heading2"/>
        <w:spacing w:after="160" w:before="320"/>
      </w:pPr>
      <w:r>
        <w:t xml:space="preserve">5.2 User-Configurable, AI-Enhanced Rules Engine</w:t>
      </w:r>
    </w:p>
    <w:p>
      <w:pPr>
        <w:spacing w:after="160"/>
        <w:jc w:val="both"/>
      </w:pPr>
      <w:r>
        <w:rPr>
          <w:rFonts w:ascii="Calibri" w:cs="Calibri" w:eastAsia="Calibri" w:hAnsi="Calibri"/>
          <w:sz w:val="21"/>
          <w:szCs w:val="21"/>
        </w:rPr>
        <w:t xml:space="preserve">A configurable rules engine, hosted in Oracle ATP and administered through a dedicated APEX screen, allows the DoF tax team to define, amend and version VAT validation rules without developer involvement — for example tax code validation, place-of-supply checks, reverse-charge identification, threshold-based reviews and cross-field consistency checks.</w:t>
      </w:r>
    </w:p>
    <w:p>
      <w:pPr>
        <w:pStyle w:val="ListParagraph"/>
        <w:numPr>
          <w:ilvl w:val="0"/>
          <w:numId w:val="1"/>
        </w:numPr>
        <w:spacing w:after="90"/>
      </w:pPr>
      <w:r>
        <w:rPr>
          <w:rFonts w:ascii="Calibri" w:cs="Calibri" w:eastAsia="Calibri" w:hAnsi="Calibri"/>
          <w:sz w:val="21"/>
          <w:szCs w:val="21"/>
        </w:rPr>
        <w:t xml:space="preserve">Rules can be scoped by entity, transaction type, tax code, value threshold or time period.</w:t>
      </w:r>
    </w:p>
    <w:p>
      <w:pPr>
        <w:pStyle w:val="ListParagraph"/>
        <w:numPr>
          <w:ilvl w:val="0"/>
          <w:numId w:val="1"/>
        </w:numPr>
        <w:spacing w:after="90"/>
      </w:pPr>
      <w:r>
        <w:rPr>
          <w:rFonts w:ascii="Calibri" w:cs="Calibri" w:eastAsia="Calibri" w:hAnsi="Calibri"/>
          <w:sz w:val="21"/>
          <w:szCs w:val="21"/>
        </w:rPr>
        <w:t xml:space="preserve">The AI/ML layer supplements static rules with pattern-based detection and confidence-scored suggested corrections, which the DoF tax team can accept, amend or reject — the system continues to require human sign-off on any correction before it is reflected in the VAT position.</w:t>
      </w:r>
    </w:p>
    <w:p>
      <w:pPr>
        <w:pStyle w:val="ListParagraph"/>
        <w:numPr>
          <w:ilvl w:val="0"/>
          <w:numId w:val="1"/>
        </w:numPr>
        <w:spacing w:after="90"/>
      </w:pPr>
      <w:r>
        <w:rPr>
          <w:rFonts w:ascii="Calibri" w:cs="Calibri" w:eastAsia="Calibri" w:hAnsi="Calibri"/>
          <w:sz w:val="21"/>
          <w:szCs w:val="21"/>
        </w:rPr>
        <w:t xml:space="preserve">A full version history of rule changes is maintained for audit purposes.</w:t>
      </w:r>
    </w:p>
    <w:p>
      <w:pPr>
        <w:pStyle w:val="Heading2"/>
        <w:spacing w:after="160" w:before="320"/>
      </w:pPr>
      <w:r>
        <w:t xml:space="preserve">5.3 VAT Adjustment Management</w:t>
      </w:r>
    </w:p>
    <w:p>
      <w:pPr>
        <w:spacing w:after="160"/>
        <w:jc w:val="both"/>
      </w:pPr>
      <w:r>
        <w:rPr>
          <w:rFonts w:ascii="Calibri" w:cs="Calibri" w:eastAsia="Calibri" w:hAnsi="Calibri"/>
          <w:sz w:val="21"/>
          <w:szCs w:val="21"/>
        </w:rPr>
        <w:t xml:space="preserve">A dedicated adjustment module allows DoF-specific adjustment types, categories and approval hierarchies to be configured and maintained directly by the DoF tax team, without requiring code changes.</w:t>
      </w:r>
    </w:p>
    <w:p>
      <w:pPr>
        <w:pStyle w:val="ListParagraph"/>
        <w:numPr>
          <w:ilvl w:val="0"/>
          <w:numId w:val="1"/>
        </w:numPr>
        <w:spacing w:after="90"/>
      </w:pPr>
      <w:r>
        <w:rPr>
          <w:rFonts w:ascii="Calibri" w:cs="Calibri" w:eastAsia="Calibri" w:hAnsi="Calibri"/>
          <w:sz w:val="21"/>
          <w:szCs w:val="21"/>
        </w:rPr>
        <w:t xml:space="preserve">Adjustments can be raised manually, or accepted from an AI-suggested correction, and must reference the originating transaction, exception or reconciliation item.</w:t>
      </w:r>
    </w:p>
    <w:p>
      <w:pPr>
        <w:pStyle w:val="ListParagraph"/>
        <w:numPr>
          <w:ilvl w:val="0"/>
          <w:numId w:val="1"/>
        </w:numPr>
        <w:spacing w:after="90"/>
      </w:pPr>
      <w:r>
        <w:rPr>
          <w:rFonts w:ascii="Calibri" w:cs="Calibri" w:eastAsia="Calibri" w:hAnsi="Calibri"/>
          <w:sz w:val="21"/>
          <w:szCs w:val="21"/>
        </w:rPr>
        <w:t xml:space="preserve">A configurable, multi-level approval workflow (e.g. Preparer → Reviewer → Approver) routes adjustments according to DoF's authorisation matrix, with the matrix itself configurable by the DoF tax team.</w:t>
      </w:r>
    </w:p>
    <w:p>
      <w:pPr>
        <w:pStyle w:val="ListParagraph"/>
        <w:numPr>
          <w:ilvl w:val="0"/>
          <w:numId w:val="1"/>
        </w:numPr>
        <w:spacing w:after="90"/>
      </w:pPr>
      <w:r>
        <w:rPr>
          <w:rFonts w:ascii="Calibri" w:cs="Calibri" w:eastAsia="Calibri" w:hAnsi="Calibri"/>
          <w:sz w:val="21"/>
          <w:szCs w:val="21"/>
        </w:rPr>
        <w:t xml:space="preserve">Every adjustment carries a full audit trail — who raised it, why, supporting evidence, approval history and its effect on the relevant VAT return box.</w:t>
      </w:r>
    </w:p>
    <w:p>
      <w:pPr>
        <w:pStyle w:val="Heading2"/>
        <w:spacing w:after="160" w:before="320"/>
      </w:pPr>
      <w:r>
        <w:t xml:space="preserve">5.4 VAT Return Preparation, Review &amp; Sign-off</w:t>
      </w:r>
    </w:p>
    <w:p>
      <w:pPr>
        <w:spacing w:after="160"/>
        <w:jc w:val="both"/>
      </w:pPr>
      <w:r>
        <w:rPr>
          <w:rFonts w:ascii="Calibri" w:cs="Calibri" w:eastAsia="Calibri" w:hAnsi="Calibri"/>
          <w:sz w:val="21"/>
          <w:szCs w:val="21"/>
        </w:rPr>
        <w:t xml:space="preserve">A dedicated APEX workspace supports box-by-box VAT return preparation at entity and consolidated VAT Group level, populated automatically from validated, reconciled and adjusted data.</w:t>
      </w:r>
    </w:p>
    <w:p>
      <w:pPr>
        <w:pStyle w:val="ListParagraph"/>
        <w:numPr>
          <w:ilvl w:val="0"/>
          <w:numId w:val="1"/>
        </w:numPr>
        <w:spacing w:after="90"/>
      </w:pPr>
      <w:r>
        <w:rPr>
          <w:rFonts w:ascii="Calibri" w:cs="Calibri" w:eastAsia="Calibri" w:hAnsi="Calibri"/>
          <w:sz w:val="21"/>
          <w:szCs w:val="21"/>
        </w:rPr>
        <w:t xml:space="preserve">Local accountants, VAT reviewers and the Finance Controller can view and electronically sign off VAT return data at the relevant level of the reporting hierarchy (entity, business unit, or VAT Group), consistent with DoF's internal governance.</w:t>
      </w:r>
    </w:p>
    <w:p>
      <w:pPr>
        <w:pStyle w:val="ListParagraph"/>
        <w:numPr>
          <w:ilvl w:val="0"/>
          <w:numId w:val="1"/>
        </w:numPr>
        <w:spacing w:after="90"/>
      </w:pPr>
      <w:r>
        <w:rPr>
          <w:rFonts w:ascii="Calibri" w:cs="Calibri" w:eastAsia="Calibri" w:hAnsi="Calibri"/>
          <w:sz w:val="21"/>
          <w:szCs w:val="21"/>
        </w:rPr>
        <w:t xml:space="preserve">A bespoke, configurable multi-level review and sign-off workflow governs progression of the return through preparation, review, entity-level approval and DoF Tax Team final approval, prior to submission.</w:t>
      </w:r>
    </w:p>
    <w:p>
      <w:pPr>
        <w:pStyle w:val="ListParagraph"/>
        <w:numPr>
          <w:ilvl w:val="0"/>
          <w:numId w:val="1"/>
        </w:numPr>
        <w:spacing w:after="90"/>
      </w:pPr>
      <w:r>
        <w:rPr>
          <w:rFonts w:ascii="Calibri" w:cs="Calibri" w:eastAsia="Calibri" w:hAnsi="Calibri"/>
          <w:sz w:val="21"/>
          <w:szCs w:val="21"/>
        </w:rPr>
        <w:t xml:space="preserve">Full audit trail from each VAT return box back to the underlying line-item data, and from any line item forward to the box(es) it contributes to, is available on demand through the Audit Trail Viewer.</w:t>
      </w:r>
    </w:p>
    <w:p>
      <w:pPr>
        <w:pStyle w:val="Heading2"/>
        <w:spacing w:after="160" w:before="320"/>
      </w:pPr>
      <w:r>
        <w:t xml:space="preserve">5.5 Multi-Entity VAT Group Processing</w:t>
      </w:r>
    </w:p>
    <w:p>
      <w:pPr>
        <w:spacing w:after="160"/>
        <w:jc w:val="both"/>
      </w:pPr>
      <w:r>
        <w:rPr>
          <w:rFonts w:ascii="Calibri" w:cs="Calibri" w:eastAsia="Calibri" w:hAnsi="Calibri"/>
          <w:sz w:val="21"/>
          <w:szCs w:val="21"/>
        </w:rPr>
        <w:t xml:space="preserve">The solution natively supports processing and consolidation across the multiple entities that constitute the DoF VAT Group.</w:t>
      </w:r>
    </w:p>
    <w:p>
      <w:pPr>
        <w:pStyle w:val="ListParagraph"/>
        <w:numPr>
          <w:ilvl w:val="0"/>
          <w:numId w:val="1"/>
        </w:numPr>
        <w:spacing w:after="90"/>
      </w:pPr>
      <w:r>
        <w:rPr>
          <w:rFonts w:ascii="Calibri" w:cs="Calibri" w:eastAsia="Calibri" w:hAnsi="Calibri"/>
          <w:sz w:val="21"/>
          <w:szCs w:val="21"/>
        </w:rPr>
        <w:t xml:space="preserve">A Multi-Entity/VAT Group Configuration screen allows the DoF tax team to define and maintain the VAT Group structure, entity relationships, intercompany elimination rules and entity-specific reporting requirements.</w:t>
      </w:r>
    </w:p>
    <w:p>
      <w:pPr>
        <w:pStyle w:val="ListParagraph"/>
        <w:numPr>
          <w:ilvl w:val="0"/>
          <w:numId w:val="1"/>
        </w:numPr>
        <w:spacing w:after="90"/>
      </w:pPr>
      <w:r>
        <w:rPr>
          <w:rFonts w:ascii="Calibri" w:cs="Calibri" w:eastAsia="Calibri" w:hAnsi="Calibri"/>
          <w:sz w:val="21"/>
          <w:szCs w:val="21"/>
        </w:rPr>
        <w:t xml:space="preserve">Entity-level data, exceptions, adjustments and sign-off are managed independently, then consolidated at VAT Group level with full traceability preserved down to the contributing entity and transaction.</w:t>
      </w:r>
    </w:p>
    <w:p>
      <w:pPr>
        <w:pStyle w:val="ListParagraph"/>
        <w:numPr>
          <w:ilvl w:val="0"/>
          <w:numId w:val="1"/>
        </w:numPr>
        <w:spacing w:after="90"/>
      </w:pPr>
      <w:r>
        <w:rPr>
          <w:rFonts w:ascii="Calibri" w:cs="Calibri" w:eastAsia="Calibri" w:hAnsi="Calibri"/>
          <w:sz w:val="21"/>
          <w:szCs w:val="21"/>
        </w:rPr>
        <w:t xml:space="preserve">The structure is designed to accommodate future changes to the composition of the VAT Group (entities added, removed, or restructured) through configuration rather than redevelopment.</w:t>
      </w:r>
    </w:p>
    <w:p>
      <w:pPr>
        <w:pStyle w:val="Heading2"/>
        <w:spacing w:after="160" w:before="320"/>
      </w:pPr>
      <w:r>
        <w:t xml:space="preserve">5.6 Reconciliation &amp; Exception Management</w:t>
      </w:r>
    </w:p>
    <w:p>
      <w:pPr>
        <w:spacing w:after="160"/>
        <w:jc w:val="both"/>
      </w:pPr>
      <w:r>
        <w:rPr>
          <w:rFonts w:ascii="Calibri" w:cs="Calibri" w:eastAsia="Calibri" w:hAnsi="Calibri"/>
          <w:sz w:val="21"/>
          <w:szCs w:val="21"/>
        </w:rPr>
        <w:t xml:space="preserve">A tailored reconciliation process, specific to DoF's data landscape, automatically reconciles source system, sub-ledger and general ledger positions against the VAT working, on a configurable close timetable.</w:t>
      </w:r>
    </w:p>
    <w:p>
      <w:pPr>
        <w:pStyle w:val="ListParagraph"/>
        <w:numPr>
          <w:ilvl w:val="0"/>
          <w:numId w:val="1"/>
        </w:numPr>
        <w:spacing w:after="90"/>
      </w:pPr>
      <w:r>
        <w:rPr>
          <w:rFonts w:ascii="Calibri" w:cs="Calibri" w:eastAsia="Calibri" w:hAnsi="Calibri"/>
          <w:sz w:val="21"/>
          <w:szCs w:val="21"/>
        </w:rPr>
        <w:t xml:space="preserve">Reconciliation rules, tolerances and the close calendar are configurable by the DoF tax team via the Close Calendar/Timetable screen.</w:t>
      </w:r>
    </w:p>
    <w:p>
      <w:pPr>
        <w:pStyle w:val="ListParagraph"/>
        <w:numPr>
          <w:ilvl w:val="0"/>
          <w:numId w:val="1"/>
        </w:numPr>
        <w:spacing w:after="90"/>
      </w:pPr>
      <w:r>
        <w:rPr>
          <w:rFonts w:ascii="Calibri" w:cs="Calibri" w:eastAsia="Calibri" w:hAnsi="Calibri"/>
          <w:sz w:val="21"/>
          <w:szCs w:val="21"/>
        </w:rPr>
        <w:t xml:space="preserve">Variances outside tolerance are raised as reconciliation exceptions, routed through the Reconciliation Review &amp; Approval Workflow for investigation, evidencing and sign-off.</w:t>
      </w:r>
    </w:p>
    <w:p>
      <w:pPr>
        <w:pStyle w:val="ListParagraph"/>
        <w:numPr>
          <w:ilvl w:val="0"/>
          <w:numId w:val="1"/>
        </w:numPr>
        <w:spacing w:after="90"/>
      </w:pPr>
      <w:r>
        <w:rPr>
          <w:rFonts w:ascii="Calibri" w:cs="Calibri" w:eastAsia="Calibri" w:hAnsi="Calibri"/>
          <w:sz w:val="21"/>
          <w:szCs w:val="21"/>
        </w:rPr>
        <w:t xml:space="preserve">The Reconciliation Workbench provides a consolidated, entity- and period-aware view of reconciliation status across the VAT Group.</w:t>
      </w:r>
    </w:p>
    <w:p>
      <w:pPr>
        <w:pStyle w:val="Heading2"/>
        <w:spacing w:after="160" w:before="320"/>
      </w:pPr>
      <w:r>
        <w:t xml:space="preserve">5.7 Outputs &amp; Documentation</w:t>
      </w:r>
    </w:p>
    <w:p>
      <w:pPr>
        <w:spacing w:after="160"/>
        <w:jc w:val="both"/>
      </w:pPr>
      <w:r>
        <w:rPr>
          <w:rFonts w:ascii="Calibri" w:cs="Calibri" w:eastAsia="Calibri" w:hAnsi="Calibri"/>
          <w:sz w:val="21"/>
          <w:szCs w:val="21"/>
        </w:rPr>
        <w:t xml:space="preserve">On approval, the solution automatically generates the full set of submission-ready and audit-ready outputs required by the DoF tax team:</w:t>
      </w:r>
    </w:p>
    <w:p>
      <w:pPr>
        <w:pStyle w:val="ListParagraph"/>
        <w:numPr>
          <w:ilvl w:val="0"/>
          <w:numId w:val="1"/>
        </w:numPr>
        <w:spacing w:after="90"/>
      </w:pPr>
      <w:r>
        <w:rPr>
          <w:rFonts w:ascii="Calibri" w:cs="Calibri" w:eastAsia="Calibri" w:hAnsi="Calibri"/>
          <w:sz w:val="21"/>
          <w:szCs w:val="21"/>
        </w:rPr>
        <w:t xml:space="preserve">VAT return file in XML or JSON format, structured to the relevant regulatory schema.</w:t>
      </w:r>
    </w:p>
    <w:p>
      <w:pPr>
        <w:pStyle w:val="ListParagraph"/>
        <w:numPr>
          <w:ilvl w:val="0"/>
          <w:numId w:val="1"/>
        </w:numPr>
        <w:spacing w:after="90"/>
      </w:pPr>
      <w:r>
        <w:rPr>
          <w:rFonts w:ascii="Calibri" w:cs="Calibri" w:eastAsia="Calibri" w:hAnsi="Calibri"/>
          <w:sz w:val="21"/>
          <w:szCs w:val="21"/>
        </w:rPr>
        <w:t xml:space="preserve">Working schedule papers supporting each return box, at entity and consolidated level.</w:t>
      </w:r>
    </w:p>
    <w:p>
      <w:pPr>
        <w:pStyle w:val="ListParagraph"/>
        <w:numPr>
          <w:ilvl w:val="0"/>
          <w:numId w:val="1"/>
        </w:numPr>
        <w:spacing w:after="90"/>
      </w:pPr>
      <w:r>
        <w:rPr>
          <w:rFonts w:ascii="Calibri" w:cs="Calibri" w:eastAsia="Calibri" w:hAnsi="Calibri"/>
          <w:sz w:val="21"/>
          <w:szCs w:val="21"/>
        </w:rPr>
        <w:t xml:space="preserve">Reconciliation packs evidencing the tie-out between source, sub-ledger, GL and VAT working.</w:t>
      </w:r>
    </w:p>
    <w:p>
      <w:pPr>
        <w:pStyle w:val="ListParagraph"/>
        <w:numPr>
          <w:ilvl w:val="0"/>
          <w:numId w:val="1"/>
        </w:numPr>
        <w:spacing w:after="90"/>
      </w:pPr>
      <w:r>
        <w:rPr>
          <w:rFonts w:ascii="Calibri" w:cs="Calibri" w:eastAsia="Calibri" w:hAnsi="Calibri"/>
          <w:sz w:val="21"/>
          <w:szCs w:val="21"/>
        </w:rPr>
        <w:t xml:space="preserve">Audit-ready documentation and evidence packs supporting calculations, adjustments and validations performed.</w:t>
      </w:r>
    </w:p>
    <w:p>
      <w:pPr>
        <w:pStyle w:val="ListParagraph"/>
        <w:numPr>
          <w:ilvl w:val="0"/>
          <w:numId w:val="1"/>
        </w:numPr>
        <w:spacing w:after="90"/>
      </w:pPr>
      <w:r>
        <w:rPr>
          <w:rFonts w:ascii="Calibri" w:cs="Calibri" w:eastAsia="Calibri" w:hAnsi="Calibri"/>
          <w:sz w:val="21"/>
          <w:szCs w:val="21"/>
        </w:rPr>
        <w:t xml:space="preserve">All outputs are version-controlled, timestamped and linked back to the underlying data through the audit trail.</w:t>
      </w:r>
    </w:p>
    <w:p>
      <w:pPr>
        <w:pStyle w:val="Heading2"/>
        <w:spacing w:after="160" w:before="320"/>
      </w:pPr>
      <w:r>
        <w:t xml:space="preserve">5.8 Refund Processing</w:t>
      </w:r>
    </w:p>
    <w:p>
      <w:pPr>
        <w:spacing w:after="160"/>
        <w:jc w:val="both"/>
      </w:pPr>
      <w:r>
        <w:rPr>
          <w:rFonts w:ascii="Calibri" w:cs="Calibri" w:eastAsia="Calibri" w:hAnsi="Calibri"/>
          <w:sz w:val="21"/>
          <w:szCs w:val="21"/>
        </w:rPr>
        <w:t xml:space="preserve">A configurable refund sub-process supports DoF-specific refund scenarios, including eligibility determination, supporting documentation capture, approval routing and status tracking through to resolution.</w:t>
      </w:r>
    </w:p>
    <w:p>
      <w:pPr>
        <w:pStyle w:val="ListParagraph"/>
        <w:numPr>
          <w:ilvl w:val="0"/>
          <w:numId w:val="1"/>
        </w:numPr>
        <w:spacing w:after="90"/>
      </w:pPr>
      <w:r>
        <w:rPr>
          <w:rFonts w:ascii="Calibri" w:cs="Calibri" w:eastAsia="Calibri" w:hAnsi="Calibri"/>
          <w:sz w:val="21"/>
          <w:szCs w:val="21"/>
        </w:rPr>
        <w:t xml:space="preserve">Refund scenarios, thresholds and approval routing are configurable by the DoF tax team to reflect evolving policy or regulatory requirements.</w:t>
      </w:r>
    </w:p>
    <w:p>
      <w:pPr>
        <w:pStyle w:val="ListParagraph"/>
        <w:numPr>
          <w:ilvl w:val="0"/>
          <w:numId w:val="1"/>
        </w:numPr>
        <w:spacing w:after="90"/>
      </w:pPr>
      <w:r>
        <w:rPr>
          <w:rFonts w:ascii="Calibri" w:cs="Calibri" w:eastAsia="Calibri" w:hAnsi="Calibri"/>
          <w:sz w:val="21"/>
          <w:szCs w:val="21"/>
        </w:rPr>
        <w:t xml:space="preserve">Refund status and ageing are visible through a dedicated Refund Processing screen and the Refund Status Report.</w:t>
      </w:r>
    </w:p>
    <w:p>
      <w:pPr>
        <w:pStyle w:val="Heading2"/>
        <w:spacing w:after="160" w:before="320"/>
      </w:pPr>
      <w:r>
        <w:t xml:space="preserve">5.9 Controls, Audit Trail, RBAC &amp; Segregation of Duties</w:t>
      </w:r>
    </w:p>
    <w:p>
      <w:pPr>
        <w:spacing w:after="160"/>
        <w:jc w:val="both"/>
      </w:pPr>
      <w:r>
        <w:rPr>
          <w:rFonts w:ascii="Calibri" w:cs="Calibri" w:eastAsia="Calibri" w:hAnsi="Calibri"/>
          <w:sz w:val="21"/>
          <w:szCs w:val="21"/>
        </w:rPr>
        <w:t xml:space="preserve">A control and audit framework tailored to DoF's needs is embedded throughout the solution, not layered on afterwards.</w:t>
      </w:r>
    </w:p>
    <w:p>
      <w:pPr>
        <w:pStyle w:val="ListParagraph"/>
        <w:numPr>
          <w:ilvl w:val="0"/>
          <w:numId w:val="1"/>
        </w:numPr>
        <w:spacing w:after="90"/>
      </w:pPr>
      <w:r>
        <w:rPr>
          <w:rFonts w:ascii="Calibri" w:cs="Calibri" w:eastAsia="Calibri" w:hAnsi="Calibri"/>
          <w:sz w:val="21"/>
          <w:szCs w:val="21"/>
        </w:rPr>
        <w:t xml:space="preserve">Role-based access control (RBAC) restricts functional and data access according to defined roles (Accountant, VAT Reviewer, Finance Controller, DoF Tax Team, Administrator), configurable at entity and VAT Group level.</w:t>
      </w:r>
    </w:p>
    <w:p>
      <w:pPr>
        <w:pStyle w:val="ListParagraph"/>
        <w:numPr>
          <w:ilvl w:val="0"/>
          <w:numId w:val="1"/>
        </w:numPr>
        <w:spacing w:after="90"/>
      </w:pPr>
      <w:r>
        <w:rPr>
          <w:rFonts w:ascii="Calibri" w:cs="Calibri" w:eastAsia="Calibri" w:hAnsi="Calibri"/>
          <w:sz w:val="21"/>
          <w:szCs w:val="21"/>
        </w:rPr>
        <w:t xml:space="preserve">Segregation of duties (SoD) rules prevent conflicting combinations of access (e.g. preparer cannot also be final approver) and are enforced automatically, with exceptions requiring a documented and approved override.</w:t>
      </w:r>
    </w:p>
    <w:p>
      <w:pPr>
        <w:pStyle w:val="ListParagraph"/>
        <w:numPr>
          <w:ilvl w:val="0"/>
          <w:numId w:val="1"/>
        </w:numPr>
        <w:spacing w:after="90"/>
      </w:pPr>
      <w:r>
        <w:rPr>
          <w:rFonts w:ascii="Calibri" w:cs="Calibri" w:eastAsia="Calibri" w:hAnsi="Calibri"/>
          <w:sz w:val="21"/>
          <w:szCs w:val="21"/>
        </w:rPr>
        <w:t xml:space="preserve">Preventive controls (e.g. mandatory workflow steps, four-eyes approval, threshold-based routing) and detective controls (e.g. automated reconciliation exception detection, unusual-activity flags) operate throughout the process.</w:t>
      </w:r>
    </w:p>
    <w:p>
      <w:pPr>
        <w:pStyle w:val="ListParagraph"/>
        <w:numPr>
          <w:ilvl w:val="0"/>
          <w:numId w:val="1"/>
        </w:numPr>
        <w:spacing w:after="90"/>
      </w:pPr>
      <w:r>
        <w:rPr>
          <w:rFonts w:ascii="Calibri" w:cs="Calibri" w:eastAsia="Calibri" w:hAnsi="Calibri"/>
          <w:sz w:val="21"/>
          <w:szCs w:val="21"/>
        </w:rPr>
        <w:t xml:space="preserve">A full, immutable audit trail records every data change, exception resolution, adjustment, approval and submission action, with end-to-end traceability from VAT return box to source transaction and back.</w:t>
      </w:r>
    </w:p>
    <w:p>
      <w:pPr>
        <w:pStyle w:val="Heading2"/>
        <w:spacing w:after="160" w:before="320"/>
      </w:pPr>
      <w:r>
        <w:t xml:space="preserve">5.10 Dashboards &amp; Reporting</w:t>
      </w:r>
    </w:p>
    <w:p>
      <w:pPr>
        <w:spacing w:after="160"/>
        <w:jc w:val="both"/>
      </w:pPr>
      <w:r>
        <w:rPr>
          <w:rFonts w:ascii="Calibri" w:cs="Calibri" w:eastAsia="Calibri" w:hAnsi="Calibri"/>
          <w:sz w:val="21"/>
          <w:szCs w:val="21"/>
        </w:rPr>
        <w:t xml:space="preserve">Customisable dashboards provide real-time visibility across operational, control and risk dimensions:</w:t>
      </w:r>
    </w:p>
    <w:p>
      <w:pPr>
        <w:pStyle w:val="ListParagraph"/>
        <w:numPr>
          <w:ilvl w:val="0"/>
          <w:numId w:val="1"/>
        </w:numPr>
        <w:spacing w:after="90"/>
      </w:pPr>
      <w:r>
        <w:rPr>
          <w:rFonts w:ascii="Calibri" w:cs="Calibri" w:eastAsia="Calibri" w:hAnsi="Calibri"/>
          <w:sz w:val="21"/>
          <w:szCs w:val="21"/>
        </w:rPr>
        <w:t xml:space="preserve">Operational Dashboard — process status, task completion, SLA adherence and close timetable progress across entities.</w:t>
      </w:r>
    </w:p>
    <w:p>
      <w:pPr>
        <w:pStyle w:val="ListParagraph"/>
        <w:numPr>
          <w:ilvl w:val="0"/>
          <w:numId w:val="1"/>
        </w:numPr>
        <w:spacing w:after="90"/>
      </w:pPr>
      <w:r>
        <w:rPr>
          <w:rFonts w:ascii="Calibri" w:cs="Calibri" w:eastAsia="Calibri" w:hAnsi="Calibri"/>
          <w:sz w:val="21"/>
          <w:szCs w:val="21"/>
        </w:rPr>
        <w:t xml:space="preserve">VAT Check Dashboard — validation health, exception volumes and trends by rule, entity and transaction type.</w:t>
      </w:r>
    </w:p>
    <w:p>
      <w:pPr>
        <w:pStyle w:val="ListParagraph"/>
        <w:numPr>
          <w:ilvl w:val="0"/>
          <w:numId w:val="1"/>
        </w:numPr>
        <w:spacing w:after="90"/>
      </w:pPr>
      <w:r>
        <w:rPr>
          <w:rFonts w:ascii="Calibri" w:cs="Calibri" w:eastAsia="Calibri" w:hAnsi="Calibri"/>
          <w:sz w:val="21"/>
          <w:szCs w:val="21"/>
        </w:rPr>
        <w:t xml:space="preserve">Tax Risk Dashboard — risk heat-map by entity and category, highlighting areas requiring management attention.</w:t>
      </w:r>
    </w:p>
    <w:p>
      <w:pPr>
        <w:pStyle w:val="ListParagraph"/>
        <w:numPr>
          <w:ilvl w:val="0"/>
          <w:numId w:val="1"/>
        </w:numPr>
        <w:spacing w:after="90"/>
      </w:pPr>
      <w:r>
        <w:rPr>
          <w:rFonts w:ascii="Calibri" w:cs="Calibri" w:eastAsia="Calibri" w:hAnsi="Calibri"/>
          <w:sz w:val="21"/>
          <w:szCs w:val="21"/>
        </w:rPr>
        <w:t xml:space="preserve">Dashboards are role-aware (surfacing relevant information to accountants, reviewers, controllers and the DoF tax team) and refresh from Oracle ATP in near real time.</w:t>
      </w:r>
    </w:p>
    <w:p>
      <w:pPr>
        <w:pStyle w:val="Heading2"/>
        <w:spacing w:after="160" w:before="320"/>
      </w:pPr>
      <w:r>
        <w:t xml:space="preserve">5.11 Data Governance &amp; UAE Data Residency</w:t>
      </w:r>
    </w:p>
    <w:p>
      <w:pPr>
        <w:spacing w:after="160"/>
        <w:jc w:val="both"/>
      </w:pPr>
      <w:r>
        <w:rPr>
          <w:rFonts w:ascii="Calibri" w:cs="Calibri" w:eastAsia="Calibri" w:hAnsi="Calibri"/>
          <w:sz w:val="21"/>
          <w:szCs w:val="21"/>
        </w:rPr>
        <w:t xml:space="preserve">The solution is hosted entirely on Oracle Cloud Infrastructure within the UAE (Abu Dhabi) region, ensuring all VAT-related data — transactional, working, and audit data — remains within the UAE, consistent with DoF data residency and sovereignty requirements.</w:t>
      </w:r>
    </w:p>
    <w:p>
      <w:pPr>
        <w:pStyle w:val="ListParagraph"/>
        <w:numPr>
          <w:ilvl w:val="0"/>
          <w:numId w:val="1"/>
        </w:numPr>
        <w:spacing w:after="90"/>
      </w:pPr>
      <w:r>
        <w:rPr>
          <w:rFonts w:ascii="Calibri" w:cs="Calibri" w:eastAsia="Calibri" w:hAnsi="Calibri"/>
          <w:sz w:val="21"/>
          <w:szCs w:val="21"/>
        </w:rPr>
        <w:t xml:space="preserve">Data governance controls include data classification, retention policy configuration, encryption at rest and in transit, and role-based data access aligned to the RBAC/SoD framework.</w:t>
      </w:r>
    </w:p>
    <w:p>
      <w:pPr>
        <w:pStyle w:val="ListParagraph"/>
        <w:numPr>
          <w:ilvl w:val="0"/>
          <w:numId w:val="1"/>
        </w:numPr>
        <w:spacing w:after="90"/>
      </w:pPr>
      <w:r>
        <w:rPr>
          <w:rFonts w:ascii="Calibri" w:cs="Calibri" w:eastAsia="Calibri" w:hAnsi="Calibri"/>
          <w:sz w:val="21"/>
          <w:szCs w:val="21"/>
        </w:rPr>
        <w:t xml:space="preserve">Data lineage from source system through to submitted VAT return is maintained throughout, supporting both regulatory audit and internal governance requirements.</w:t>
      </w:r>
    </w:p>
    <w:p>
      <w:pPr>
        <w:pStyle w:val="Heading2"/>
        <w:spacing w:after="160" w:before="320"/>
      </w:pPr>
      <w:r>
        <w:t xml:space="preserve">5.12 Future Readiness &amp; Extensibility</w:t>
      </w:r>
    </w:p>
    <w:p>
      <w:pPr>
        <w:spacing w:after="160"/>
        <w:jc w:val="both"/>
      </w:pPr>
      <w:r>
        <w:rPr>
          <w:rFonts w:ascii="Calibri" w:cs="Calibri" w:eastAsia="Calibri" w:hAnsi="Calibri"/>
          <w:sz w:val="21"/>
          <w:szCs w:val="21"/>
        </w:rPr>
        <w:t xml:space="preserve">The architecture is deliberately modular and API-enabled to support future evolution without redevelopment of the core platform:</w:t>
      </w:r>
    </w:p>
    <w:p>
      <w:pPr>
        <w:pStyle w:val="ListParagraph"/>
        <w:numPr>
          <w:ilvl w:val="0"/>
          <w:numId w:val="1"/>
        </w:numPr>
        <w:spacing w:after="90"/>
      </w:pPr>
      <w:r>
        <w:rPr>
          <w:rFonts w:ascii="Calibri" w:cs="Calibri" w:eastAsia="Calibri" w:hAnsi="Calibri"/>
          <w:sz w:val="21"/>
          <w:szCs w:val="21"/>
        </w:rPr>
        <w:t xml:space="preserve">Integration capability with external platforms and regulatory systems (e.g. direct electronic filing with the Federal Tax Authority, once such interfaces are available) can be added as additional OIC integration flows without disturbing the core data model.</w:t>
      </w:r>
    </w:p>
    <w:p>
      <w:pPr>
        <w:pStyle w:val="ListParagraph"/>
        <w:numPr>
          <w:ilvl w:val="0"/>
          <w:numId w:val="1"/>
        </w:numPr>
        <w:spacing w:after="90"/>
      </w:pPr>
      <w:r>
        <w:rPr>
          <w:rFonts w:ascii="Calibri" w:cs="Calibri" w:eastAsia="Calibri" w:hAnsi="Calibri"/>
          <w:sz w:val="21"/>
          <w:szCs w:val="21"/>
        </w:rPr>
        <w:t xml:space="preserve">Reusable components — the rules engine, workflow framework, reconciliation engine and audit trail — are designed to be extended to other tax or compliance domains beyond VAT, should DoF choose to do so in future.</w:t>
      </w:r>
    </w:p>
    <w:p>
      <w:pPr>
        <w:pStyle w:val="ListParagraph"/>
        <w:numPr>
          <w:ilvl w:val="0"/>
          <w:numId w:val="1"/>
        </w:numPr>
        <w:spacing w:after="90"/>
      </w:pPr>
      <w:r>
        <w:rPr>
          <w:rFonts w:ascii="Calibri" w:cs="Calibri" w:eastAsia="Calibri" w:hAnsi="Calibri"/>
          <w:sz w:val="21"/>
          <w:szCs w:val="21"/>
        </w:rPr>
        <w:t xml:space="preserve">The platform is horizontally scalable on OCI to accommodate growth in the number of entities within the VAT Group, transaction volumes, or reporting frequency.</w:t>
      </w:r>
    </w:p>
    <w:p>
      <w:pPr>
        <w:pStyle w:val="Heading1"/>
        <w:pBdr>
          <w:bottom w:val="single" w:color="0B2545" w:sz="8" w:space="4"/>
        </w:pBdr>
        <w:spacing w:after="220" w:before="480"/>
      </w:pPr>
      <w:r>
        <w:t xml:space="preserve">6. Solution Inventory Summary</w:t>
      </w:r>
    </w:p>
    <w:p>
      <w:pPr>
        <w:spacing w:after="160"/>
        <w:jc w:val="both"/>
      </w:pPr>
      <w:r>
        <w:rPr>
          <w:rFonts w:ascii="Calibri" w:cs="Calibri" w:eastAsia="Calibri" w:hAnsi="Calibri"/>
          <w:sz w:val="21"/>
          <w:szCs w:val="21"/>
        </w:rPr>
        <w:t xml:space="preserve">The table below summarises the indicative build inventory underpinning the effort estimate in Section 8. Exact counts will be confirmed and, where necessary, refined during the Discovery and Design phases as detailed requirements are validated with DoF stakeholders.</w:t>
      </w:r>
    </w:p>
    <w:p>
      <w:pPr>
        <w:pStyle w:val="Heading2"/>
        <w:spacing w:after="160" w:before="320"/>
      </w:pPr>
      <w:r>
        <w:t xml:space="preserve">6.1 Integrations (OIC) — 10</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500"/>
        <w:gridCol w:w="4900"/>
        <w:gridCol w:w="2260"/>
        <w:gridCol w:w="17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t>
            </w:r>
          </w:p>
        </w:tc>
        <w:tc>
          <w:tcPr>
            <w:tcW w:type="dxa" w:w="4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Integration</w:t>
            </w:r>
          </w:p>
        </w:tc>
        <w:tc>
          <w:tcPr>
            <w:tcW w:type="dxa" w:w="22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Direction / Frequency</w:t>
            </w:r>
          </w:p>
        </w:tc>
        <w:tc>
          <w:tcPr>
            <w:tcW w:type="dxa" w:w="17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Technology</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Fusion GL extract (trial balance, journal detail)</w:t>
            </w:r>
          </w:p>
        </w:tc>
        <w:tc>
          <w:tcPr>
            <w:tcW w:type="dxa" w:w="2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Inbound, scheduled + on-demand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Application Integration / BI Publisher</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49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Fusion AP (Payables invoices &amp; tax lines) extract</w:t>
            </w:r>
          </w:p>
        </w:tc>
        <w:tc>
          <w:tcPr>
            <w:tcW w:type="dxa" w:w="2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Inbound, scheduled</w:t>
            </w:r>
          </w:p>
        </w:tc>
        <w:tc>
          <w:tcPr>
            <w:tcW w:type="dxa" w:w="17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Application Integration</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Fusion AR (Receivables invoices &amp; tax lines) extract</w:t>
            </w:r>
          </w:p>
        </w:tc>
        <w:tc>
          <w:tcPr>
            <w:tcW w:type="dxa" w:w="2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Inbound, scheduled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Application Integration</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49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Fusion Fixed Assets extract (capital goods scheme)</w:t>
            </w:r>
          </w:p>
        </w:tc>
        <w:tc>
          <w:tcPr>
            <w:tcW w:type="dxa" w:w="2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Inbound, scheduled</w:t>
            </w:r>
          </w:p>
        </w:tc>
        <w:tc>
          <w:tcPr>
            <w:tcW w:type="dxa" w:w="17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Application Integration</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Oracle Fusion Procurement/PO extract (import VAT, reverse charge)</w:t>
            </w:r>
          </w:p>
        </w:tc>
        <w:tc>
          <w:tcPr>
            <w:tcW w:type="dxa" w:w="2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Inbound, scheduled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Application Integration</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6</w:t>
            </w:r>
          </w:p>
        </w:tc>
        <w:tc>
          <w:tcPr>
            <w:tcW w:type="dxa" w:w="49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Excel/flat-file upload (satellite systems, manual entries)</w:t>
            </w:r>
          </w:p>
        </w:tc>
        <w:tc>
          <w:tcPr>
            <w:tcW w:type="dxa" w:w="2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Inbound, on-demand</w:t>
            </w:r>
          </w:p>
        </w:tc>
        <w:tc>
          <w:tcPr>
            <w:tcW w:type="dxa" w:w="17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APEX upload + OIC validation flow</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7</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VAT return file generation (XML/JSON, regulatory schema)</w:t>
            </w:r>
          </w:p>
        </w:tc>
        <w:tc>
          <w:tcPr>
            <w:tcW w:type="dxa" w:w="2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Outbound, on-demand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 APEX file generation</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8</w:t>
            </w:r>
          </w:p>
        </w:tc>
        <w:tc>
          <w:tcPr>
            <w:tcW w:type="dxa" w:w="49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Document/evidence management integration (audit evidence storage)</w:t>
            </w:r>
          </w:p>
        </w:tc>
        <w:tc>
          <w:tcPr>
            <w:tcW w:type="dxa" w:w="2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Bi-directional, on-demand</w:t>
            </w:r>
          </w:p>
        </w:tc>
        <w:tc>
          <w:tcPr>
            <w:tcW w:type="dxa" w:w="17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 OCI Object Storage / DMS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9</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Notification integration (email/Teams for approvals &amp; alerts)</w:t>
            </w:r>
          </w:p>
        </w:tc>
        <w:tc>
          <w:tcPr>
            <w:tcW w:type="dxa" w:w="2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Outbound, event-driven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Process Automation + Notification</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c>
          <w:tcPr>
            <w:tcW w:type="dxa" w:w="49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Refund/treasury status integration (where applicable)</w:t>
            </w:r>
          </w:p>
        </w:tc>
        <w:tc>
          <w:tcPr>
            <w:tcW w:type="dxa" w:w="2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Inbound, scheduled</w:t>
            </w:r>
          </w:p>
        </w:tc>
        <w:tc>
          <w:tcPr>
            <w:tcW w:type="dxa" w:w="17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OIC Application Integration</w:t>
            </w:r>
          </w:p>
        </w:tc>
      </w:tr>
    </w:tbl>
    <w:p>
      <w:pPr>
        <w:pStyle w:val="Heading2"/>
        <w:spacing w:after="160" w:before="320"/>
      </w:pPr>
      <w:r>
        <w:t xml:space="preserve">6.2 APEX Forms / Screens — 18</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500"/>
        <w:gridCol w:w="3400"/>
        <w:gridCol w:w="546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t>
            </w:r>
          </w:p>
        </w:tc>
        <w:tc>
          <w:tcPr>
            <w:tcW w:type="dxa" w:w="3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Form / Screen</w:t>
            </w:r>
          </w:p>
        </w:tc>
        <w:tc>
          <w:tcPr>
            <w:tcW w:type="dxa" w:w="54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Purpose</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Landing Dashboard / Home</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Role-aware entry point summarising tasks, alerts and status.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Data Upload &amp; Staging Monitor</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Excel/CSV upload and Oracle Fusion batch ingestion status.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Exception Management Workbench</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Review, assign and resolve AI/rule-flagged exceptions.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Rules Engine Configuration</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DoF tax team maintenance of validation rules and versions.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Adjustment Entry Form</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Capture of manual or AI-suggested VAT adjustments.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6</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Adjustment Approval Screen</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Workflow-driven review and approval of adjustments.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7</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VAT Return Preparation Workspace</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Box-level VAT return build, per entity and consolidated.</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8</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VAT Return Review &amp; Sign-off Screen</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Multi-level review and electronic sign-off of the return.</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9</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Reconciliation Workbench</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Source / sub-ledger / GL / VAT working reconciliation view.</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Reconciliation Exception Resolution Screen</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Investigation and evidencing of reconciliation variances.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11</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Multi-Entity / VAT Group Configuration</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Maintenance of VAT Group structure and entity relationships.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12</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Refund Processing &amp; Tracking Screen</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Capture, approval and tracking of refund scenarios.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13</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Close Calendar / Timetable Management</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Configuration of the period close and filing timetable.</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14</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Audit Trail Viewer</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Drill-down from return box to line item, and vice versa.</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15</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User &amp; Role Management (RBAC/SoD Admin)</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Administration of roles, access and SoD rules.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16</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Master Data / Tax Code Configuration</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Maintenance of tax codes, rates and mapping tables.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17</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Evidence &amp; Document Attachment Screen</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Attach and manage supporting evidence against any item.</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18</w:t>
            </w:r>
          </w:p>
        </w:tc>
        <w:tc>
          <w:tcPr>
            <w:tcW w:type="dxa" w:w="34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System Configuration &amp; Parameter Screen</w:t>
            </w:r>
          </w:p>
        </w:tc>
        <w:tc>
          <w:tcPr>
            <w:tcW w:type="dxa" w:w="54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Entity, period, threshold and general parameter set-up.</w:t>
            </w:r>
          </w:p>
        </w:tc>
      </w:tr>
    </w:tbl>
    <w:p>
      <w:pPr>
        <w:pStyle w:val="Heading2"/>
        <w:spacing w:after="160" w:before="320"/>
      </w:pPr>
      <w:r>
        <w:t xml:space="preserve">6.3 Reports &amp; Dashboards — 12</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500"/>
        <w:gridCol w:w="3600"/>
        <w:gridCol w:w="526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t>
            </w:r>
          </w:p>
        </w:tc>
        <w:tc>
          <w:tcPr>
            <w:tcW w:type="dxa" w:w="36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Report / Dashboard</w:t>
            </w:r>
          </w:p>
        </w:tc>
        <w:tc>
          <w:tcPr>
            <w:tcW w:type="dxa" w:w="52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Purpose</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Operational Dashboard</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Process status, task completion and SLA tracking across entities.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VAT Check Dashboard</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Validation health and exception trends by rule, entity and type.</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Tax Risk Dashboard</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Risk heat-map by entity and category for management attention.</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VAT Return Summary Report</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Box-wise return position at entity and consolidated VAT Group level.</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Reconciliation Pack Report</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Formal reconciliation evidence supporting the return.</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6</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Adjustment Register Report</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Full listing and status of all adjustments in a period.</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7</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Exception Ageing Report</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Outstanding exceptions by age, owner and severity.</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8</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Audit Trail / Traceability Report</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Formal record of the box-to-transaction audit trail.</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9</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Refund Status Report</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Status and ageing of refund claims.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Entity-Wise VAT Position Report</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Comparative VAT position across VAT Group entities.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11</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Sign-off / Approval Status Report</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Progress of the multi-level review and sign-off workflow.</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12</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Historical Trend &amp; Variance Analysis Report</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Period-on-period trend and variance analysis.</w:t>
            </w:r>
          </w:p>
        </w:tc>
      </w:tr>
    </w:tbl>
    <w:p>
      <w:pPr>
        <w:pStyle w:val="Heading2"/>
        <w:spacing w:after="160" w:before="320"/>
      </w:pPr>
      <w:r>
        <w:t xml:space="preserve">6.4 Configurable Workflows — 7</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500"/>
        <w:gridCol w:w="3600"/>
        <w:gridCol w:w="526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t>
            </w:r>
          </w:p>
        </w:tc>
        <w:tc>
          <w:tcPr>
            <w:tcW w:type="dxa" w:w="36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Workflow</w:t>
            </w:r>
          </w:p>
        </w:tc>
        <w:tc>
          <w:tcPr>
            <w:tcW w:type="dxa" w:w="52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Purpose</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Exception Resolution Workflow</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Identification, assignment, resolution and re-validation of exceptions.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Adjustment Approval Workflow</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DoF-specific multi-level review and approval of adjustments.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VAT Return Preparation &amp; Sign-off Workflow</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Accountant → VAT Reviewer → Finance Controller → DoF Tax Team.</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Reconciliation Review &amp; Approval Workflow</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Investigation, evidencing and approval of reconciliation items.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Refund Request &amp; Approval Workflow</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End-to-end approval routing for refund scenarios.</w:t>
            </w:r>
          </w:p>
        </w:tc>
      </w:tr>
      <w:tr>
        <w:tc>
          <w:tcPr>
            <w:tcW w:type="dxa" w:w="5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6</w:t>
            </w:r>
          </w:p>
        </w:tc>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User Access / SoD Exception Approval Workflow</w:t>
            </w:r>
          </w:p>
        </w:tc>
        <w:tc>
          <w:tcPr>
            <w:tcW w:type="dxa" w:w="52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Access requests and documented SoD override approvals.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7</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Period Close Task &amp; Timetable Workflow</w:t>
            </w:r>
          </w:p>
        </w:tc>
        <w:tc>
          <w:tcPr>
            <w:tcW w:type="dxa" w:w="52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Orchestration of close-cycle tasks against the filing timetable.</w:t>
            </w:r>
          </w:p>
        </w:tc>
      </w:tr>
    </w:tbl>
    <w:p>
      <w:pPr>
        <w:pStyle w:val="Heading1"/>
        <w:pBdr>
          <w:bottom w:val="single" w:color="0B2545" w:sz="8" w:space="4"/>
        </w:pBdr>
        <w:spacing w:after="220" w:before="480"/>
      </w:pPr>
      <w:r>
        <w:t xml:space="preserve">7. Implementation Methodology &amp; Phases</w:t>
      </w:r>
    </w:p>
    <w:p>
      <w:pPr>
        <w:spacing w:after="160"/>
        <w:jc w:val="both"/>
      </w:pPr>
      <w:r>
        <w:rPr>
          <w:rFonts w:ascii="Calibri" w:cs="Calibri" w:eastAsia="Calibri" w:hAnsi="Calibri"/>
          <w:sz w:val="21"/>
          <w:szCs w:val="21"/>
        </w:rPr>
        <w:t xml:space="preserve">Delivery follows a structured, phase-gated methodology spanning Discovery through post-go-live Hypercare, with formal exit criteria and DoF sign-off at the end of each phase before proceeding to the next.</w:t>
      </w:r>
    </w:p>
    <w:p>
      <w:pPr>
        <w:pStyle w:val="Heading3"/>
        <w:spacing w:after="120" w:before="220"/>
      </w:pPr>
      <w:r>
        <w:t xml:space="preserve">7.1 Discovery  (4 weeks)</w:t>
      </w:r>
    </w:p>
    <w:p>
      <w:pPr>
        <w:spacing w:after="160"/>
        <w:jc w:val="both"/>
      </w:pPr>
      <w:r>
        <w:rPr>
          <w:rFonts w:ascii="Calibri" w:cs="Calibri" w:eastAsia="Calibri" w:hAnsi="Calibri"/>
          <w:sz w:val="21"/>
          <w:szCs w:val="21"/>
        </w:rPr>
        <w:t xml:space="preserve">Validate and detail current-state processes, systems, data sources and pain points; confirm the target scope, VAT Group structure and success criteria.</w:t>
      </w:r>
    </w:p>
    <w:p>
      <w:pPr>
        <w:spacing w:after="60"/>
      </w:pPr>
      <w:r>
        <w:rPr>
          <w:rFonts w:ascii="Calibri" w:cs="Calibri" w:eastAsia="Calibri" w:hAnsi="Calibri"/>
          <w:b/>
          <w:bCs/>
          <w:sz w:val="21"/>
          <w:szCs w:val="21"/>
        </w:rPr>
        <w:t xml:space="preserve">Key Activities:</w:t>
      </w:r>
    </w:p>
    <w:p>
      <w:pPr>
        <w:pStyle w:val="ListParagraph"/>
        <w:numPr>
          <w:ilvl w:val="0"/>
          <w:numId w:val="1"/>
        </w:numPr>
        <w:spacing w:after="90"/>
      </w:pPr>
      <w:r>
        <w:rPr>
          <w:rFonts w:ascii="Calibri" w:cs="Calibri" w:eastAsia="Calibri" w:hAnsi="Calibri"/>
          <w:sz w:val="21"/>
          <w:szCs w:val="21"/>
        </w:rPr>
        <w:t xml:space="preserve">Stakeholder workshops with DoF tax team, finance controllers, IT and entity-level accountants.</w:t>
      </w:r>
    </w:p>
    <w:p>
      <w:pPr>
        <w:pStyle w:val="ListParagraph"/>
        <w:numPr>
          <w:ilvl w:val="0"/>
          <w:numId w:val="1"/>
        </w:numPr>
        <w:spacing w:after="90"/>
      </w:pPr>
      <w:r>
        <w:rPr>
          <w:rFonts w:ascii="Calibri" w:cs="Calibri" w:eastAsia="Calibri" w:hAnsi="Calibri"/>
          <w:sz w:val="21"/>
          <w:szCs w:val="21"/>
        </w:rPr>
        <w:t xml:space="preserve">As-is process and system mapping (Oracle Fusion, satellite systems, current reconciliation and adjustment practices).</w:t>
      </w:r>
    </w:p>
    <w:p>
      <w:pPr>
        <w:pStyle w:val="ListParagraph"/>
        <w:numPr>
          <w:ilvl w:val="0"/>
          <w:numId w:val="1"/>
        </w:numPr>
        <w:spacing w:after="90"/>
      </w:pPr>
      <w:r>
        <w:rPr>
          <w:rFonts w:ascii="Calibri" w:cs="Calibri" w:eastAsia="Calibri" w:hAnsi="Calibri"/>
          <w:sz w:val="21"/>
          <w:szCs w:val="21"/>
        </w:rPr>
        <w:t xml:space="preserve">Data source and data quality assessment across Fusion modules and satellite systems.</w:t>
      </w:r>
    </w:p>
    <w:p>
      <w:pPr>
        <w:pStyle w:val="ListParagraph"/>
        <w:numPr>
          <w:ilvl w:val="0"/>
          <w:numId w:val="1"/>
        </w:numPr>
        <w:spacing w:after="90"/>
      </w:pPr>
      <w:r>
        <w:rPr>
          <w:rFonts w:ascii="Calibri" w:cs="Calibri" w:eastAsia="Calibri" w:hAnsi="Calibri"/>
          <w:sz w:val="21"/>
          <w:szCs w:val="21"/>
        </w:rPr>
        <w:t xml:space="preserve">Confirmation of VAT Group structure, entities in scope, and regulatory reporting requirements.</w:t>
      </w:r>
    </w:p>
    <w:p>
      <w:pPr>
        <w:pStyle w:val="ListParagraph"/>
        <w:numPr>
          <w:ilvl w:val="0"/>
          <w:numId w:val="1"/>
        </w:numPr>
        <w:spacing w:after="90"/>
      </w:pPr>
      <w:r>
        <w:rPr>
          <w:rFonts w:ascii="Calibri" w:cs="Calibri" w:eastAsia="Calibri" w:hAnsi="Calibri"/>
          <w:sz w:val="21"/>
          <w:szCs w:val="21"/>
        </w:rPr>
        <w:t xml:space="preserve">Finalisation of solution scope, inventory (integrations/forms/reports/workflows) and success criteria.</w:t>
      </w:r>
    </w:p>
    <w:p>
      <w:pPr>
        <w:spacing w:after="60" w:before="100"/>
      </w:pPr>
      <w:r>
        <w:rPr>
          <w:rFonts w:ascii="Calibri" w:cs="Calibri" w:eastAsia="Calibri" w:hAnsi="Calibri"/>
          <w:b/>
          <w:bCs/>
          <w:sz w:val="21"/>
          <w:szCs w:val="21"/>
        </w:rPr>
        <w:t xml:space="preserve">Key Deliverables:</w:t>
      </w:r>
    </w:p>
    <w:p>
      <w:pPr>
        <w:pStyle w:val="ListParagraph"/>
        <w:numPr>
          <w:ilvl w:val="0"/>
          <w:numId w:val="1"/>
        </w:numPr>
        <w:spacing w:after="90"/>
      </w:pPr>
      <w:r>
        <w:rPr>
          <w:rFonts w:ascii="Calibri" w:cs="Calibri" w:eastAsia="Calibri" w:hAnsi="Calibri"/>
          <w:sz w:val="21"/>
          <w:szCs w:val="21"/>
        </w:rPr>
        <w:t xml:space="preserve">As-is process and pain-point assessment.</w:t>
      </w:r>
    </w:p>
    <w:p>
      <w:pPr>
        <w:pStyle w:val="ListParagraph"/>
        <w:numPr>
          <w:ilvl w:val="0"/>
          <w:numId w:val="1"/>
        </w:numPr>
        <w:spacing w:after="90"/>
      </w:pPr>
      <w:r>
        <w:rPr>
          <w:rFonts w:ascii="Calibri" w:cs="Calibri" w:eastAsia="Calibri" w:hAnsi="Calibri"/>
          <w:sz w:val="21"/>
          <w:szCs w:val="21"/>
        </w:rPr>
        <w:t xml:space="preserve">Confirmed scope, solution inventory and success criteria.</w:t>
      </w:r>
    </w:p>
    <w:p>
      <w:pPr>
        <w:pStyle w:val="ListParagraph"/>
        <w:numPr>
          <w:ilvl w:val="0"/>
          <w:numId w:val="1"/>
        </w:numPr>
        <w:spacing w:after="90"/>
      </w:pPr>
      <w:r>
        <w:rPr>
          <w:rFonts w:ascii="Calibri" w:cs="Calibri" w:eastAsia="Calibri" w:hAnsi="Calibri"/>
          <w:sz w:val="21"/>
          <w:szCs w:val="21"/>
        </w:rPr>
        <w:t xml:space="preserve">Data source and readiness assessment.</w:t>
      </w:r>
    </w:p>
    <w:p>
      <w:pPr>
        <w:pStyle w:val="ListParagraph"/>
        <w:numPr>
          <w:ilvl w:val="0"/>
          <w:numId w:val="1"/>
        </w:numPr>
        <w:spacing w:after="90"/>
      </w:pPr>
      <w:r>
        <w:rPr>
          <w:rFonts w:ascii="Calibri" w:cs="Calibri" w:eastAsia="Calibri" w:hAnsi="Calibri"/>
          <w:sz w:val="21"/>
          <w:szCs w:val="21"/>
        </w:rPr>
        <w:t xml:space="preserve">Discovery sign-off.</w:t>
      </w:r>
    </w:p>
    <w:p>
      <w:pPr>
        <w:pStyle w:val="Heading3"/>
        <w:spacing w:after="120" w:before="220"/>
      </w:pPr>
      <w:r>
        <w:t xml:space="preserve">7.2 Design  (6 weeks)</w:t>
      </w:r>
    </w:p>
    <w:p>
      <w:pPr>
        <w:spacing w:after="160"/>
        <w:jc w:val="both"/>
      </w:pPr>
      <w:r>
        <w:rPr>
          <w:rFonts w:ascii="Calibri" w:cs="Calibri" w:eastAsia="Calibri" w:hAnsi="Calibri"/>
          <w:sz w:val="21"/>
          <w:szCs w:val="21"/>
        </w:rPr>
        <w:t xml:space="preserve">Translate confirmed scope into detailed functional and technical designs across all solution components.</w:t>
      </w:r>
    </w:p>
    <w:p>
      <w:pPr>
        <w:spacing w:after="60"/>
      </w:pPr>
      <w:r>
        <w:rPr>
          <w:rFonts w:ascii="Calibri" w:cs="Calibri" w:eastAsia="Calibri" w:hAnsi="Calibri"/>
          <w:b/>
          <w:bCs/>
          <w:sz w:val="21"/>
          <w:szCs w:val="21"/>
        </w:rPr>
        <w:t xml:space="preserve">Key Activities:</w:t>
      </w:r>
    </w:p>
    <w:p>
      <w:pPr>
        <w:pStyle w:val="ListParagraph"/>
        <w:numPr>
          <w:ilvl w:val="0"/>
          <w:numId w:val="1"/>
        </w:numPr>
        <w:spacing w:after="90"/>
      </w:pPr>
      <w:r>
        <w:rPr>
          <w:rFonts w:ascii="Calibri" w:cs="Calibri" w:eastAsia="Calibri" w:hAnsi="Calibri"/>
          <w:sz w:val="21"/>
          <w:szCs w:val="21"/>
        </w:rPr>
        <w:t xml:space="preserve">Functional design workshops — rules engine, adjustment process, sign-off workflow, reconciliation, refund process, controls/SoD matrix.</w:t>
      </w:r>
    </w:p>
    <w:p>
      <w:pPr>
        <w:pStyle w:val="ListParagraph"/>
        <w:numPr>
          <w:ilvl w:val="0"/>
          <w:numId w:val="1"/>
        </w:numPr>
        <w:spacing w:after="90"/>
      </w:pPr>
      <w:r>
        <w:rPr>
          <w:rFonts w:ascii="Calibri" w:cs="Calibri" w:eastAsia="Calibri" w:hAnsi="Calibri"/>
          <w:sz w:val="21"/>
          <w:szCs w:val="21"/>
        </w:rPr>
        <w:t xml:space="preserve">Technical design — OIC integration specifications, ATP data model, APEX screen and workflow designs, security/RBAC design.</w:t>
      </w:r>
    </w:p>
    <w:p>
      <w:pPr>
        <w:pStyle w:val="ListParagraph"/>
        <w:numPr>
          <w:ilvl w:val="0"/>
          <w:numId w:val="1"/>
        </w:numPr>
        <w:spacing w:after="90"/>
      </w:pPr>
      <w:r>
        <w:rPr>
          <w:rFonts w:ascii="Calibri" w:cs="Calibri" w:eastAsia="Calibri" w:hAnsi="Calibri"/>
          <w:sz w:val="21"/>
          <w:szCs w:val="21"/>
        </w:rPr>
        <w:t xml:space="preserve">Design of report and dashboard specifications.</w:t>
      </w:r>
    </w:p>
    <w:p>
      <w:pPr>
        <w:pStyle w:val="ListParagraph"/>
        <w:numPr>
          <w:ilvl w:val="0"/>
          <w:numId w:val="1"/>
        </w:numPr>
        <w:spacing w:after="90"/>
      </w:pPr>
      <w:r>
        <w:rPr>
          <w:rFonts w:ascii="Calibri" w:cs="Calibri" w:eastAsia="Calibri" w:hAnsi="Calibri"/>
          <w:sz w:val="21"/>
          <w:szCs w:val="21"/>
        </w:rPr>
        <w:t xml:space="preserve">Design review and walkthrough with DoF tax, finance and IT stakeholders.</w:t>
      </w:r>
    </w:p>
    <w:p>
      <w:pPr>
        <w:spacing w:after="60" w:before="100"/>
      </w:pPr>
      <w:r>
        <w:rPr>
          <w:rFonts w:ascii="Calibri" w:cs="Calibri" w:eastAsia="Calibri" w:hAnsi="Calibri"/>
          <w:b/>
          <w:bCs/>
          <w:sz w:val="21"/>
          <w:szCs w:val="21"/>
        </w:rPr>
        <w:t xml:space="preserve">Key Deliverables:</w:t>
      </w:r>
    </w:p>
    <w:p>
      <w:pPr>
        <w:pStyle w:val="ListParagraph"/>
        <w:numPr>
          <w:ilvl w:val="0"/>
          <w:numId w:val="1"/>
        </w:numPr>
        <w:spacing w:after="90"/>
      </w:pPr>
      <w:r>
        <w:rPr>
          <w:rFonts w:ascii="Calibri" w:cs="Calibri" w:eastAsia="Calibri" w:hAnsi="Calibri"/>
          <w:sz w:val="21"/>
          <w:szCs w:val="21"/>
        </w:rPr>
        <w:t xml:space="preserve">Functional Design Document (FDD).</w:t>
      </w:r>
    </w:p>
    <w:p>
      <w:pPr>
        <w:pStyle w:val="ListParagraph"/>
        <w:numPr>
          <w:ilvl w:val="0"/>
          <w:numId w:val="1"/>
        </w:numPr>
        <w:spacing w:after="90"/>
      </w:pPr>
      <w:r>
        <w:rPr>
          <w:rFonts w:ascii="Calibri" w:cs="Calibri" w:eastAsia="Calibri" w:hAnsi="Calibri"/>
          <w:sz w:val="21"/>
          <w:szCs w:val="21"/>
        </w:rPr>
        <w:t xml:space="preserve">Technical Design Document (TDD) — integration, data model, security.</w:t>
      </w:r>
    </w:p>
    <w:p>
      <w:pPr>
        <w:pStyle w:val="ListParagraph"/>
        <w:numPr>
          <w:ilvl w:val="0"/>
          <w:numId w:val="1"/>
        </w:numPr>
        <w:spacing w:after="90"/>
      </w:pPr>
      <w:r>
        <w:rPr>
          <w:rFonts w:ascii="Calibri" w:cs="Calibri" w:eastAsia="Calibri" w:hAnsi="Calibri"/>
          <w:sz w:val="21"/>
          <w:szCs w:val="21"/>
        </w:rPr>
        <w:t xml:space="preserve">UI/UX wireframes for APEX forms and dashboards.</w:t>
      </w:r>
    </w:p>
    <w:p>
      <w:pPr>
        <w:pStyle w:val="ListParagraph"/>
        <w:numPr>
          <w:ilvl w:val="0"/>
          <w:numId w:val="1"/>
        </w:numPr>
        <w:spacing w:after="90"/>
      </w:pPr>
      <w:r>
        <w:rPr>
          <w:rFonts w:ascii="Calibri" w:cs="Calibri" w:eastAsia="Calibri" w:hAnsi="Calibri"/>
          <w:sz w:val="21"/>
          <w:szCs w:val="21"/>
        </w:rPr>
        <w:t xml:space="preserve">Design sign-off.</w:t>
      </w:r>
    </w:p>
    <w:p>
      <w:pPr>
        <w:pStyle w:val="Heading3"/>
        <w:spacing w:after="120" w:before="220"/>
      </w:pPr>
      <w:r>
        <w:t xml:space="preserve">7.3 Build  (14 weeks)</w:t>
      </w:r>
    </w:p>
    <w:p>
      <w:pPr>
        <w:spacing w:after="160"/>
        <w:jc w:val="both"/>
      </w:pPr>
      <w:r>
        <w:rPr>
          <w:rFonts w:ascii="Calibri" w:cs="Calibri" w:eastAsia="Calibri" w:hAnsi="Calibri"/>
          <w:sz w:val="21"/>
          <w:szCs w:val="21"/>
        </w:rPr>
        <w:t xml:space="preserve">Configure and develop all integrations, data model, rules engine, workflows, forms, reports and dashboards.</w:t>
      </w:r>
    </w:p>
    <w:p>
      <w:pPr>
        <w:spacing w:after="60"/>
      </w:pPr>
      <w:r>
        <w:rPr>
          <w:rFonts w:ascii="Calibri" w:cs="Calibri" w:eastAsia="Calibri" w:hAnsi="Calibri"/>
          <w:b/>
          <w:bCs/>
          <w:sz w:val="21"/>
          <w:szCs w:val="21"/>
        </w:rPr>
        <w:t xml:space="preserve">Key Activities:</w:t>
      </w:r>
    </w:p>
    <w:p>
      <w:pPr>
        <w:pStyle w:val="ListParagraph"/>
        <w:numPr>
          <w:ilvl w:val="0"/>
          <w:numId w:val="1"/>
        </w:numPr>
        <w:spacing w:after="90"/>
      </w:pPr>
      <w:r>
        <w:rPr>
          <w:rFonts w:ascii="Calibri" w:cs="Calibri" w:eastAsia="Calibri" w:hAnsi="Calibri"/>
          <w:sz w:val="21"/>
          <w:szCs w:val="21"/>
        </w:rPr>
        <w:t xml:space="preserve">OIC integration development — Oracle Fusion extracts, Excel/file ingestion, output generation, notifications.</w:t>
      </w:r>
    </w:p>
    <w:p>
      <w:pPr>
        <w:pStyle w:val="ListParagraph"/>
        <w:numPr>
          <w:ilvl w:val="0"/>
          <w:numId w:val="1"/>
        </w:numPr>
        <w:spacing w:after="90"/>
      </w:pPr>
      <w:r>
        <w:rPr>
          <w:rFonts w:ascii="Calibri" w:cs="Calibri" w:eastAsia="Calibri" w:hAnsi="Calibri"/>
          <w:sz w:val="21"/>
          <w:szCs w:val="21"/>
        </w:rPr>
        <w:t xml:space="preserve">ATP data model build — staging, VAT data model, rules engine, adjustment/reconciliation/return data store.</w:t>
      </w:r>
    </w:p>
    <w:p>
      <w:pPr>
        <w:pStyle w:val="ListParagraph"/>
        <w:numPr>
          <w:ilvl w:val="0"/>
          <w:numId w:val="1"/>
        </w:numPr>
        <w:spacing w:after="90"/>
      </w:pPr>
      <w:r>
        <w:rPr>
          <w:rFonts w:ascii="Calibri" w:cs="Calibri" w:eastAsia="Calibri" w:hAnsi="Calibri"/>
          <w:sz w:val="21"/>
          <w:szCs w:val="21"/>
        </w:rPr>
        <w:t xml:space="preserve">AI/ML exception model development and integration with the rules engine.</w:t>
      </w:r>
    </w:p>
    <w:p>
      <w:pPr>
        <w:pStyle w:val="ListParagraph"/>
        <w:numPr>
          <w:ilvl w:val="0"/>
          <w:numId w:val="1"/>
        </w:numPr>
        <w:spacing w:after="90"/>
      </w:pPr>
      <w:r>
        <w:rPr>
          <w:rFonts w:ascii="Calibri" w:cs="Calibri" w:eastAsia="Calibri" w:hAnsi="Calibri"/>
          <w:sz w:val="21"/>
          <w:szCs w:val="21"/>
        </w:rPr>
        <w:t xml:space="preserve">APEX form, workflow, report and dashboard development.</w:t>
      </w:r>
    </w:p>
    <w:p>
      <w:pPr>
        <w:pStyle w:val="ListParagraph"/>
        <w:numPr>
          <w:ilvl w:val="0"/>
          <w:numId w:val="1"/>
        </w:numPr>
        <w:spacing w:after="90"/>
      </w:pPr>
      <w:r>
        <w:rPr>
          <w:rFonts w:ascii="Calibri" w:cs="Calibri" w:eastAsia="Calibri" w:hAnsi="Calibri"/>
          <w:sz w:val="21"/>
          <w:szCs w:val="21"/>
        </w:rPr>
        <w:t xml:space="preserve">Security, RBAC and SoD configuration.</w:t>
      </w:r>
    </w:p>
    <w:p>
      <w:pPr>
        <w:pStyle w:val="ListParagraph"/>
        <w:numPr>
          <w:ilvl w:val="0"/>
          <w:numId w:val="1"/>
        </w:numPr>
        <w:spacing w:after="90"/>
      </w:pPr>
      <w:r>
        <w:rPr>
          <w:rFonts w:ascii="Calibri" w:cs="Calibri" w:eastAsia="Calibri" w:hAnsi="Calibri"/>
          <w:sz w:val="21"/>
          <w:szCs w:val="21"/>
        </w:rPr>
        <w:t xml:space="preserve">Iterative internal quality reviews and developer/unit testing as components are completed.</w:t>
      </w:r>
    </w:p>
    <w:p>
      <w:pPr>
        <w:spacing w:after="60" w:before="100"/>
      </w:pPr>
      <w:r>
        <w:rPr>
          <w:rFonts w:ascii="Calibri" w:cs="Calibri" w:eastAsia="Calibri" w:hAnsi="Calibri"/>
          <w:b/>
          <w:bCs/>
          <w:sz w:val="21"/>
          <w:szCs w:val="21"/>
        </w:rPr>
        <w:t xml:space="preserve">Key Deliverables:</w:t>
      </w:r>
    </w:p>
    <w:p>
      <w:pPr>
        <w:pStyle w:val="ListParagraph"/>
        <w:numPr>
          <w:ilvl w:val="0"/>
          <w:numId w:val="1"/>
        </w:numPr>
        <w:spacing w:after="90"/>
      </w:pPr>
      <w:r>
        <w:rPr>
          <w:rFonts w:ascii="Calibri" w:cs="Calibri" w:eastAsia="Calibri" w:hAnsi="Calibri"/>
          <w:sz w:val="21"/>
          <w:szCs w:val="21"/>
        </w:rPr>
        <w:t xml:space="preserve">Built and unit-tested integrations, data model and rules engine.</w:t>
      </w:r>
    </w:p>
    <w:p>
      <w:pPr>
        <w:pStyle w:val="ListParagraph"/>
        <w:numPr>
          <w:ilvl w:val="0"/>
          <w:numId w:val="1"/>
        </w:numPr>
        <w:spacing w:after="90"/>
      </w:pPr>
      <w:r>
        <w:rPr>
          <w:rFonts w:ascii="Calibri" w:cs="Calibri" w:eastAsia="Calibri" w:hAnsi="Calibri"/>
          <w:sz w:val="21"/>
          <w:szCs w:val="21"/>
        </w:rPr>
        <w:t xml:space="preserve">Built APEX forms, workflows, reports and dashboards.</w:t>
      </w:r>
    </w:p>
    <w:p>
      <w:pPr>
        <w:pStyle w:val="ListParagraph"/>
        <w:numPr>
          <w:ilvl w:val="0"/>
          <w:numId w:val="1"/>
        </w:numPr>
        <w:spacing w:after="90"/>
      </w:pPr>
      <w:r>
        <w:rPr>
          <w:rFonts w:ascii="Calibri" w:cs="Calibri" w:eastAsia="Calibri" w:hAnsi="Calibri"/>
          <w:sz w:val="21"/>
          <w:szCs w:val="21"/>
        </w:rPr>
        <w:t xml:space="preserve">Build completion / entry-to-test readiness report.</w:t>
      </w:r>
    </w:p>
    <w:p>
      <w:pPr>
        <w:pStyle w:val="Heading3"/>
        <w:spacing w:after="120" w:before="220"/>
      </w:pPr>
      <w:r>
        <w:t xml:space="preserve">7.4 Testing (Unit, Integration &amp; User Acceptance Testing)  (6 weeks)</w:t>
      </w:r>
    </w:p>
    <w:p>
      <w:pPr>
        <w:spacing w:after="160"/>
        <w:jc w:val="both"/>
      </w:pPr>
      <w:r>
        <w:rPr>
          <w:rFonts w:ascii="Calibri" w:cs="Calibri" w:eastAsia="Calibri" w:hAnsi="Calibri"/>
          <w:sz w:val="21"/>
          <w:szCs w:val="21"/>
        </w:rPr>
        <w:t xml:space="preserve">Validate that the solution meets functional, technical and control requirements before roll-out.</w:t>
      </w:r>
    </w:p>
    <w:p>
      <w:pPr>
        <w:spacing w:after="60"/>
      </w:pPr>
      <w:r>
        <w:rPr>
          <w:rFonts w:ascii="Calibri" w:cs="Calibri" w:eastAsia="Calibri" w:hAnsi="Calibri"/>
          <w:b/>
          <w:bCs/>
          <w:sz w:val="21"/>
          <w:szCs w:val="21"/>
        </w:rPr>
        <w:t xml:space="preserve">Key Activities:</w:t>
      </w:r>
    </w:p>
    <w:p>
      <w:pPr>
        <w:pStyle w:val="ListParagraph"/>
        <w:numPr>
          <w:ilvl w:val="0"/>
          <w:numId w:val="1"/>
        </w:numPr>
        <w:spacing w:after="90"/>
      </w:pPr>
      <w:r>
        <w:rPr>
          <w:rFonts w:ascii="Calibri" w:cs="Calibri" w:eastAsia="Calibri" w:hAnsi="Calibri"/>
          <w:sz w:val="21"/>
          <w:szCs w:val="21"/>
        </w:rPr>
        <w:t xml:space="preserve">Unit testing of individual components (integrations, rules, workflows, forms).</w:t>
      </w:r>
    </w:p>
    <w:p>
      <w:pPr>
        <w:pStyle w:val="ListParagraph"/>
        <w:numPr>
          <w:ilvl w:val="0"/>
          <w:numId w:val="1"/>
        </w:numPr>
        <w:spacing w:after="90"/>
      </w:pPr>
      <w:r>
        <w:rPr>
          <w:rFonts w:ascii="Calibri" w:cs="Calibri" w:eastAsia="Calibri" w:hAnsi="Calibri"/>
          <w:sz w:val="21"/>
          <w:szCs w:val="21"/>
        </w:rPr>
        <w:t xml:space="preserve">System Integration Testing (SIT) across end-to-end data flow, from source extraction through to output generation.</w:t>
      </w:r>
    </w:p>
    <w:p>
      <w:pPr>
        <w:pStyle w:val="ListParagraph"/>
        <w:numPr>
          <w:ilvl w:val="0"/>
          <w:numId w:val="1"/>
        </w:numPr>
        <w:spacing w:after="90"/>
      </w:pPr>
      <w:r>
        <w:rPr>
          <w:rFonts w:ascii="Calibri" w:cs="Calibri" w:eastAsia="Calibri" w:hAnsi="Calibri"/>
          <w:sz w:val="21"/>
          <w:szCs w:val="21"/>
        </w:rPr>
        <w:t xml:space="preserve">User Acceptance Testing (UAT) with DoF accountants, VAT reviewers, finance controllers and the DoF tax team, using representative VAT Group data.</w:t>
      </w:r>
    </w:p>
    <w:p>
      <w:pPr>
        <w:pStyle w:val="ListParagraph"/>
        <w:numPr>
          <w:ilvl w:val="0"/>
          <w:numId w:val="1"/>
        </w:numPr>
        <w:spacing w:after="90"/>
      </w:pPr>
      <w:r>
        <w:rPr>
          <w:rFonts w:ascii="Calibri" w:cs="Calibri" w:eastAsia="Calibri" w:hAnsi="Calibri"/>
          <w:sz w:val="21"/>
          <w:szCs w:val="21"/>
        </w:rPr>
        <w:t xml:space="preserve">Defect management, retesting and regression testing.</w:t>
      </w:r>
    </w:p>
    <w:p>
      <w:pPr>
        <w:pStyle w:val="ListParagraph"/>
        <w:numPr>
          <w:ilvl w:val="0"/>
          <w:numId w:val="1"/>
        </w:numPr>
        <w:spacing w:after="90"/>
      </w:pPr>
      <w:r>
        <w:rPr>
          <w:rFonts w:ascii="Calibri" w:cs="Calibri" w:eastAsia="Calibri" w:hAnsi="Calibri"/>
          <w:sz w:val="21"/>
          <w:szCs w:val="21"/>
        </w:rPr>
        <w:t xml:space="preserve">Control and SoD validation testing.</w:t>
      </w:r>
    </w:p>
    <w:p>
      <w:pPr>
        <w:spacing w:after="60" w:before="100"/>
      </w:pPr>
      <w:r>
        <w:rPr>
          <w:rFonts w:ascii="Calibri" w:cs="Calibri" w:eastAsia="Calibri" w:hAnsi="Calibri"/>
          <w:b/>
          <w:bCs/>
          <w:sz w:val="21"/>
          <w:szCs w:val="21"/>
        </w:rPr>
        <w:t xml:space="preserve">Key Deliverables:</w:t>
      </w:r>
    </w:p>
    <w:p>
      <w:pPr>
        <w:pStyle w:val="ListParagraph"/>
        <w:numPr>
          <w:ilvl w:val="0"/>
          <w:numId w:val="1"/>
        </w:numPr>
        <w:spacing w:after="90"/>
      </w:pPr>
      <w:r>
        <w:rPr>
          <w:rFonts w:ascii="Calibri" w:cs="Calibri" w:eastAsia="Calibri" w:hAnsi="Calibri"/>
          <w:sz w:val="21"/>
          <w:szCs w:val="21"/>
        </w:rPr>
        <w:t xml:space="preserve">Test strategy, test cases and test scripts.</w:t>
      </w:r>
    </w:p>
    <w:p>
      <w:pPr>
        <w:pStyle w:val="ListParagraph"/>
        <w:numPr>
          <w:ilvl w:val="0"/>
          <w:numId w:val="1"/>
        </w:numPr>
        <w:spacing w:after="90"/>
      </w:pPr>
      <w:r>
        <w:rPr>
          <w:rFonts w:ascii="Calibri" w:cs="Calibri" w:eastAsia="Calibri" w:hAnsi="Calibri"/>
          <w:sz w:val="21"/>
          <w:szCs w:val="21"/>
        </w:rPr>
        <w:t xml:space="preserve">SIT and UAT completion reports.</w:t>
      </w:r>
    </w:p>
    <w:p>
      <w:pPr>
        <w:pStyle w:val="ListParagraph"/>
        <w:numPr>
          <w:ilvl w:val="0"/>
          <w:numId w:val="1"/>
        </w:numPr>
        <w:spacing w:after="90"/>
      </w:pPr>
      <w:r>
        <w:rPr>
          <w:rFonts w:ascii="Calibri" w:cs="Calibri" w:eastAsia="Calibri" w:hAnsi="Calibri"/>
          <w:sz w:val="21"/>
          <w:szCs w:val="21"/>
        </w:rPr>
        <w:t xml:space="preserve">Defect log and resolution evidence.</w:t>
      </w:r>
    </w:p>
    <w:p>
      <w:pPr>
        <w:pStyle w:val="ListParagraph"/>
        <w:numPr>
          <w:ilvl w:val="0"/>
          <w:numId w:val="1"/>
        </w:numPr>
        <w:spacing w:after="90"/>
      </w:pPr>
      <w:r>
        <w:rPr>
          <w:rFonts w:ascii="Calibri" w:cs="Calibri" w:eastAsia="Calibri" w:hAnsi="Calibri"/>
          <w:sz w:val="21"/>
          <w:szCs w:val="21"/>
        </w:rPr>
        <w:t xml:space="preserve">UAT sign-off.</w:t>
      </w:r>
    </w:p>
    <w:p>
      <w:pPr>
        <w:pStyle w:val="Heading3"/>
        <w:spacing w:after="120" w:before="220"/>
      </w:pPr>
      <w:r>
        <w:t xml:space="preserve">7.5 Roll-out &amp; Training  (3 weeks)</w:t>
      </w:r>
    </w:p>
    <w:p>
      <w:pPr>
        <w:spacing w:after="160"/>
        <w:jc w:val="both"/>
      </w:pPr>
      <w:r>
        <w:rPr>
          <w:rFonts w:ascii="Calibri" w:cs="Calibri" w:eastAsia="Calibri" w:hAnsi="Calibri"/>
          <w:sz w:val="21"/>
          <w:szCs w:val="21"/>
        </w:rPr>
        <w:t xml:space="preserve">Prepare DoF users and entities for adoption of the new solution and operating model.</w:t>
      </w:r>
    </w:p>
    <w:p>
      <w:pPr>
        <w:spacing w:after="60"/>
      </w:pPr>
      <w:r>
        <w:rPr>
          <w:rFonts w:ascii="Calibri" w:cs="Calibri" w:eastAsia="Calibri" w:hAnsi="Calibri"/>
          <w:b/>
          <w:bCs/>
          <w:sz w:val="21"/>
          <w:szCs w:val="21"/>
        </w:rPr>
        <w:t xml:space="preserve">Key Activities:</w:t>
      </w:r>
    </w:p>
    <w:p>
      <w:pPr>
        <w:pStyle w:val="ListParagraph"/>
        <w:numPr>
          <w:ilvl w:val="0"/>
          <w:numId w:val="1"/>
        </w:numPr>
        <w:spacing w:after="90"/>
      </w:pPr>
      <w:r>
        <w:rPr>
          <w:rFonts w:ascii="Calibri" w:cs="Calibri" w:eastAsia="Calibri" w:hAnsi="Calibri"/>
          <w:sz w:val="21"/>
          <w:szCs w:val="21"/>
        </w:rPr>
        <w:t xml:space="preserve">Role-based training for accountants, VAT reviewers, finance controllers and the DoF tax team.</w:t>
      </w:r>
    </w:p>
    <w:p>
      <w:pPr>
        <w:pStyle w:val="ListParagraph"/>
        <w:numPr>
          <w:ilvl w:val="0"/>
          <w:numId w:val="1"/>
        </w:numPr>
        <w:spacing w:after="90"/>
      </w:pPr>
      <w:r>
        <w:rPr>
          <w:rFonts w:ascii="Calibri" w:cs="Calibri" w:eastAsia="Calibri" w:hAnsi="Calibri"/>
          <w:sz w:val="21"/>
          <w:szCs w:val="21"/>
        </w:rPr>
        <w:t xml:space="preserve">Preparation of user guides, quick-reference materials and administrator documentation.</w:t>
      </w:r>
    </w:p>
    <w:p>
      <w:pPr>
        <w:pStyle w:val="ListParagraph"/>
        <w:numPr>
          <w:ilvl w:val="0"/>
          <w:numId w:val="1"/>
        </w:numPr>
        <w:spacing w:after="90"/>
      </w:pPr>
      <w:r>
        <w:rPr>
          <w:rFonts w:ascii="Calibri" w:cs="Calibri" w:eastAsia="Calibri" w:hAnsi="Calibri"/>
          <w:sz w:val="21"/>
          <w:szCs w:val="21"/>
        </w:rPr>
        <w:t xml:space="preserve">Environment and access provisioning for all in-scope entities.</w:t>
      </w:r>
    </w:p>
    <w:p>
      <w:pPr>
        <w:pStyle w:val="ListParagraph"/>
        <w:numPr>
          <w:ilvl w:val="0"/>
          <w:numId w:val="1"/>
        </w:numPr>
        <w:spacing w:after="90"/>
      </w:pPr>
      <w:r>
        <w:rPr>
          <w:rFonts w:ascii="Calibri" w:cs="Calibri" w:eastAsia="Calibri" w:hAnsi="Calibri"/>
          <w:sz w:val="21"/>
          <w:szCs w:val="21"/>
        </w:rPr>
        <w:t xml:space="preserve">Change management and communication activities.</w:t>
      </w:r>
    </w:p>
    <w:p>
      <w:pPr>
        <w:spacing w:after="60" w:before="100"/>
      </w:pPr>
      <w:r>
        <w:rPr>
          <w:rFonts w:ascii="Calibri" w:cs="Calibri" w:eastAsia="Calibri" w:hAnsi="Calibri"/>
          <w:b/>
          <w:bCs/>
          <w:sz w:val="21"/>
          <w:szCs w:val="21"/>
        </w:rPr>
        <w:t xml:space="preserve">Key Deliverables:</w:t>
      </w:r>
    </w:p>
    <w:p>
      <w:pPr>
        <w:pStyle w:val="ListParagraph"/>
        <w:numPr>
          <w:ilvl w:val="0"/>
          <w:numId w:val="1"/>
        </w:numPr>
        <w:spacing w:after="90"/>
      </w:pPr>
      <w:r>
        <w:rPr>
          <w:rFonts w:ascii="Calibri" w:cs="Calibri" w:eastAsia="Calibri" w:hAnsi="Calibri"/>
          <w:sz w:val="21"/>
          <w:szCs w:val="21"/>
        </w:rPr>
        <w:t xml:space="preserve">Training materials and user/administrator guides.</w:t>
      </w:r>
    </w:p>
    <w:p>
      <w:pPr>
        <w:pStyle w:val="ListParagraph"/>
        <w:numPr>
          <w:ilvl w:val="0"/>
          <w:numId w:val="1"/>
        </w:numPr>
        <w:spacing w:after="90"/>
      </w:pPr>
      <w:r>
        <w:rPr>
          <w:rFonts w:ascii="Calibri" w:cs="Calibri" w:eastAsia="Calibri" w:hAnsi="Calibri"/>
          <w:sz w:val="21"/>
          <w:szCs w:val="21"/>
        </w:rPr>
        <w:t xml:space="preserve">Trained user population, by role and entity.</w:t>
      </w:r>
    </w:p>
    <w:p>
      <w:pPr>
        <w:pStyle w:val="ListParagraph"/>
        <w:numPr>
          <w:ilvl w:val="0"/>
          <w:numId w:val="1"/>
        </w:numPr>
        <w:spacing w:after="90"/>
      </w:pPr>
      <w:r>
        <w:rPr>
          <w:rFonts w:ascii="Calibri" w:cs="Calibri" w:eastAsia="Calibri" w:hAnsi="Calibri"/>
          <w:sz w:val="21"/>
          <w:szCs w:val="21"/>
        </w:rPr>
        <w:t xml:space="preserve">Roll-out readiness confirmation.</w:t>
      </w:r>
    </w:p>
    <w:p>
      <w:pPr>
        <w:pStyle w:val="Heading3"/>
        <w:spacing w:after="120" w:before="220"/>
      </w:pPr>
      <w:r>
        <w:t xml:space="preserve">7.6 Parallel Run  (8 weeks)</w:t>
      </w:r>
    </w:p>
    <w:p>
      <w:pPr>
        <w:spacing w:after="160"/>
        <w:jc w:val="both"/>
      </w:pPr>
      <w:r>
        <w:rPr>
          <w:rFonts w:ascii="Calibri" w:cs="Calibri" w:eastAsia="Calibri" w:hAnsi="Calibri"/>
          <w:sz w:val="21"/>
          <w:szCs w:val="21"/>
        </w:rPr>
        <w:t xml:space="preserve">Operate the new solution alongside existing manual processes for at least one full VAT filing cycle, to validate accuracy, completeness and user readiness before go-live.</w:t>
      </w:r>
    </w:p>
    <w:p>
      <w:pPr>
        <w:spacing w:after="60"/>
      </w:pPr>
      <w:r>
        <w:rPr>
          <w:rFonts w:ascii="Calibri" w:cs="Calibri" w:eastAsia="Calibri" w:hAnsi="Calibri"/>
          <w:b/>
          <w:bCs/>
          <w:sz w:val="21"/>
          <w:szCs w:val="21"/>
        </w:rPr>
        <w:t xml:space="preserve">Key Activities:</w:t>
      </w:r>
    </w:p>
    <w:p>
      <w:pPr>
        <w:pStyle w:val="ListParagraph"/>
        <w:numPr>
          <w:ilvl w:val="0"/>
          <w:numId w:val="1"/>
        </w:numPr>
        <w:spacing w:after="90"/>
      </w:pPr>
      <w:r>
        <w:rPr>
          <w:rFonts w:ascii="Calibri" w:cs="Calibri" w:eastAsia="Calibri" w:hAnsi="Calibri"/>
          <w:sz w:val="21"/>
          <w:szCs w:val="21"/>
        </w:rPr>
        <w:t xml:space="preserve">Parallel processing of a live filing cycle through both the legacy manual process and the new solution.</w:t>
      </w:r>
    </w:p>
    <w:p>
      <w:pPr>
        <w:pStyle w:val="ListParagraph"/>
        <w:numPr>
          <w:ilvl w:val="0"/>
          <w:numId w:val="1"/>
        </w:numPr>
        <w:spacing w:after="90"/>
      </w:pPr>
      <w:r>
        <w:rPr>
          <w:rFonts w:ascii="Calibri" w:cs="Calibri" w:eastAsia="Calibri" w:hAnsi="Calibri"/>
          <w:sz w:val="21"/>
          <w:szCs w:val="21"/>
        </w:rPr>
        <w:t xml:space="preserve">Reconciliation of outputs between the legacy process and the new solution, with variance investigation.</w:t>
      </w:r>
    </w:p>
    <w:p>
      <w:pPr>
        <w:pStyle w:val="ListParagraph"/>
        <w:numPr>
          <w:ilvl w:val="0"/>
          <w:numId w:val="1"/>
        </w:numPr>
        <w:spacing w:after="90"/>
      </w:pPr>
      <w:r>
        <w:rPr>
          <w:rFonts w:ascii="Calibri" w:cs="Calibri" w:eastAsia="Calibri" w:hAnsi="Calibri"/>
          <w:sz w:val="21"/>
          <w:szCs w:val="21"/>
        </w:rPr>
        <w:t xml:space="preserve">Refinement of configuration (rules, workflows, thresholds) based on parallel-run findings.</w:t>
      </w:r>
    </w:p>
    <w:p>
      <w:pPr>
        <w:pStyle w:val="ListParagraph"/>
        <w:numPr>
          <w:ilvl w:val="0"/>
          <w:numId w:val="1"/>
        </w:numPr>
        <w:spacing w:after="90"/>
      </w:pPr>
      <w:r>
        <w:rPr>
          <w:rFonts w:ascii="Calibri" w:cs="Calibri" w:eastAsia="Calibri" w:hAnsi="Calibri"/>
          <w:sz w:val="21"/>
          <w:szCs w:val="21"/>
        </w:rPr>
        <w:t xml:space="preserve">Go-live readiness assessment.</w:t>
      </w:r>
    </w:p>
    <w:p>
      <w:pPr>
        <w:spacing w:after="60" w:before="100"/>
      </w:pPr>
      <w:r>
        <w:rPr>
          <w:rFonts w:ascii="Calibri" w:cs="Calibri" w:eastAsia="Calibri" w:hAnsi="Calibri"/>
          <w:b/>
          <w:bCs/>
          <w:sz w:val="21"/>
          <w:szCs w:val="21"/>
        </w:rPr>
        <w:t xml:space="preserve">Key Deliverables:</w:t>
      </w:r>
    </w:p>
    <w:p>
      <w:pPr>
        <w:pStyle w:val="ListParagraph"/>
        <w:numPr>
          <w:ilvl w:val="0"/>
          <w:numId w:val="1"/>
        </w:numPr>
        <w:spacing w:after="90"/>
      </w:pPr>
      <w:r>
        <w:rPr>
          <w:rFonts w:ascii="Calibri" w:cs="Calibri" w:eastAsia="Calibri" w:hAnsi="Calibri"/>
          <w:sz w:val="21"/>
          <w:szCs w:val="21"/>
        </w:rPr>
        <w:t xml:space="preserve">Parallel run variance analysis and resolution log.</w:t>
      </w:r>
    </w:p>
    <w:p>
      <w:pPr>
        <w:pStyle w:val="ListParagraph"/>
        <w:numPr>
          <w:ilvl w:val="0"/>
          <w:numId w:val="1"/>
        </w:numPr>
        <w:spacing w:after="90"/>
      </w:pPr>
      <w:r>
        <w:rPr>
          <w:rFonts w:ascii="Calibri" w:cs="Calibri" w:eastAsia="Calibri" w:hAnsi="Calibri"/>
          <w:sz w:val="21"/>
          <w:szCs w:val="21"/>
        </w:rPr>
        <w:t xml:space="preserve">Refined configuration, where required.</w:t>
      </w:r>
    </w:p>
    <w:p>
      <w:pPr>
        <w:pStyle w:val="ListParagraph"/>
        <w:numPr>
          <w:ilvl w:val="0"/>
          <w:numId w:val="1"/>
        </w:numPr>
        <w:spacing w:after="90"/>
      </w:pPr>
      <w:r>
        <w:rPr>
          <w:rFonts w:ascii="Calibri" w:cs="Calibri" w:eastAsia="Calibri" w:hAnsi="Calibri"/>
          <w:sz w:val="21"/>
          <w:szCs w:val="21"/>
        </w:rPr>
        <w:t xml:space="preserve">Go-live readiness sign-off.</w:t>
      </w:r>
    </w:p>
    <w:p>
      <w:pPr>
        <w:pStyle w:val="Heading3"/>
        <w:spacing w:after="120" w:before="220"/>
      </w:pPr>
      <w:r>
        <w:t xml:space="preserve">7.7 Go-Live  (1 week)</w:t>
      </w:r>
    </w:p>
    <w:p>
      <w:pPr>
        <w:spacing w:after="160"/>
        <w:jc w:val="both"/>
      </w:pPr>
      <w:r>
        <w:rPr>
          <w:rFonts w:ascii="Calibri" w:cs="Calibri" w:eastAsia="Calibri" w:hAnsi="Calibri"/>
          <w:sz w:val="21"/>
          <w:szCs w:val="21"/>
        </w:rPr>
        <w:t xml:space="preserve">Transition fully to the new solution as the system of record for VAT compliance processing.</w:t>
      </w:r>
    </w:p>
    <w:p>
      <w:pPr>
        <w:spacing w:after="60"/>
      </w:pPr>
      <w:r>
        <w:rPr>
          <w:rFonts w:ascii="Calibri" w:cs="Calibri" w:eastAsia="Calibri" w:hAnsi="Calibri"/>
          <w:b/>
          <w:bCs/>
          <w:sz w:val="21"/>
          <w:szCs w:val="21"/>
        </w:rPr>
        <w:t xml:space="preserve">Key Activities:</w:t>
      </w:r>
    </w:p>
    <w:p>
      <w:pPr>
        <w:pStyle w:val="ListParagraph"/>
        <w:numPr>
          <w:ilvl w:val="0"/>
          <w:numId w:val="1"/>
        </w:numPr>
        <w:spacing w:after="90"/>
      </w:pPr>
      <w:r>
        <w:rPr>
          <w:rFonts w:ascii="Calibri" w:cs="Calibri" w:eastAsia="Calibri" w:hAnsi="Calibri"/>
          <w:sz w:val="21"/>
          <w:szCs w:val="21"/>
        </w:rPr>
        <w:t xml:space="preserve">Final environment checks, data cut-over and access confirmation.</w:t>
      </w:r>
    </w:p>
    <w:p>
      <w:pPr>
        <w:pStyle w:val="ListParagraph"/>
        <w:numPr>
          <w:ilvl w:val="0"/>
          <w:numId w:val="1"/>
        </w:numPr>
        <w:spacing w:after="90"/>
      </w:pPr>
      <w:r>
        <w:rPr>
          <w:rFonts w:ascii="Calibri" w:cs="Calibri" w:eastAsia="Calibri" w:hAnsi="Calibri"/>
          <w:sz w:val="21"/>
          <w:szCs w:val="21"/>
        </w:rPr>
        <w:t xml:space="preserve">Go-live execution and hypercare mobilisation.</w:t>
      </w:r>
    </w:p>
    <w:p>
      <w:pPr>
        <w:pStyle w:val="ListParagraph"/>
        <w:numPr>
          <w:ilvl w:val="0"/>
          <w:numId w:val="1"/>
        </w:numPr>
        <w:spacing w:after="90"/>
      </w:pPr>
      <w:r>
        <w:rPr>
          <w:rFonts w:ascii="Calibri" w:cs="Calibri" w:eastAsia="Calibri" w:hAnsi="Calibri"/>
          <w:sz w:val="21"/>
          <w:szCs w:val="21"/>
        </w:rPr>
        <w:t xml:space="preserve">Formal decommissioning (or defined retirement plan) of the manual/legacy process.</w:t>
      </w:r>
    </w:p>
    <w:p>
      <w:pPr>
        <w:spacing w:after="60" w:before="100"/>
      </w:pPr>
      <w:r>
        <w:rPr>
          <w:rFonts w:ascii="Calibri" w:cs="Calibri" w:eastAsia="Calibri" w:hAnsi="Calibri"/>
          <w:b/>
          <w:bCs/>
          <w:sz w:val="21"/>
          <w:szCs w:val="21"/>
        </w:rPr>
        <w:t xml:space="preserve">Key Deliverables:</w:t>
      </w:r>
    </w:p>
    <w:p>
      <w:pPr>
        <w:pStyle w:val="ListParagraph"/>
        <w:numPr>
          <w:ilvl w:val="0"/>
          <w:numId w:val="1"/>
        </w:numPr>
        <w:spacing w:after="90"/>
      </w:pPr>
      <w:r>
        <w:rPr>
          <w:rFonts w:ascii="Calibri" w:cs="Calibri" w:eastAsia="Calibri" w:hAnsi="Calibri"/>
          <w:sz w:val="21"/>
          <w:szCs w:val="21"/>
        </w:rPr>
        <w:t xml:space="preserve">Go-live execution record.</w:t>
      </w:r>
    </w:p>
    <w:p>
      <w:pPr>
        <w:pStyle w:val="ListParagraph"/>
        <w:numPr>
          <w:ilvl w:val="0"/>
          <w:numId w:val="1"/>
        </w:numPr>
        <w:spacing w:after="90"/>
      </w:pPr>
      <w:r>
        <w:rPr>
          <w:rFonts w:ascii="Calibri" w:cs="Calibri" w:eastAsia="Calibri" w:hAnsi="Calibri"/>
          <w:sz w:val="21"/>
          <w:szCs w:val="21"/>
        </w:rPr>
        <w:t xml:space="preserve">Go-live sign-off.</w:t>
      </w:r>
    </w:p>
    <w:p>
      <w:pPr>
        <w:pStyle w:val="Heading3"/>
        <w:spacing w:after="120" w:before="220"/>
      </w:pPr>
      <w:r>
        <w:t xml:space="preserve">7.8 Hypercare  (6 weeks)</w:t>
      </w:r>
    </w:p>
    <w:p>
      <w:pPr>
        <w:spacing w:after="160"/>
        <w:jc w:val="both"/>
      </w:pPr>
      <w:r>
        <w:rPr>
          <w:rFonts w:ascii="Calibri" w:cs="Calibri" w:eastAsia="Calibri" w:hAnsi="Calibri"/>
          <w:sz w:val="21"/>
          <w:szCs w:val="21"/>
        </w:rPr>
        <w:t xml:space="preserve">Provide intensive post-go-live support to stabilise adoption and resolve any residual issues quickly.</w:t>
      </w:r>
    </w:p>
    <w:p>
      <w:pPr>
        <w:spacing w:after="60"/>
      </w:pPr>
      <w:r>
        <w:rPr>
          <w:rFonts w:ascii="Calibri" w:cs="Calibri" w:eastAsia="Calibri" w:hAnsi="Calibri"/>
          <w:b/>
          <w:bCs/>
          <w:sz w:val="21"/>
          <w:szCs w:val="21"/>
        </w:rPr>
        <w:t xml:space="preserve">Key Activities:</w:t>
      </w:r>
    </w:p>
    <w:p>
      <w:pPr>
        <w:pStyle w:val="ListParagraph"/>
        <w:numPr>
          <w:ilvl w:val="0"/>
          <w:numId w:val="1"/>
        </w:numPr>
        <w:spacing w:after="90"/>
      </w:pPr>
      <w:r>
        <w:rPr>
          <w:rFonts w:ascii="Calibri" w:cs="Calibri" w:eastAsia="Calibri" w:hAnsi="Calibri"/>
          <w:sz w:val="21"/>
          <w:szCs w:val="21"/>
        </w:rPr>
        <w:t xml:space="preserve">Heightened monitoring of data ingestion, exception rates, workflow throughput and system performance.</w:t>
      </w:r>
    </w:p>
    <w:p>
      <w:pPr>
        <w:pStyle w:val="ListParagraph"/>
        <w:numPr>
          <w:ilvl w:val="0"/>
          <w:numId w:val="1"/>
        </w:numPr>
        <w:spacing w:after="90"/>
      </w:pPr>
      <w:r>
        <w:rPr>
          <w:rFonts w:ascii="Calibri" w:cs="Calibri" w:eastAsia="Calibri" w:hAnsi="Calibri"/>
          <w:sz w:val="21"/>
          <w:szCs w:val="21"/>
        </w:rPr>
        <w:t xml:space="preserve">Rapid-response defect resolution and configuration fine-tuning.</w:t>
      </w:r>
    </w:p>
    <w:p>
      <w:pPr>
        <w:pStyle w:val="ListParagraph"/>
        <w:numPr>
          <w:ilvl w:val="0"/>
          <w:numId w:val="1"/>
        </w:numPr>
        <w:spacing w:after="90"/>
      </w:pPr>
      <w:r>
        <w:rPr>
          <w:rFonts w:ascii="Calibri" w:cs="Calibri" w:eastAsia="Calibri" w:hAnsi="Calibri"/>
          <w:sz w:val="21"/>
          <w:szCs w:val="21"/>
        </w:rPr>
        <w:t xml:space="preserve">Additional coaching/support for users as they operate their first live cycles independently.</w:t>
      </w:r>
    </w:p>
    <w:p>
      <w:pPr>
        <w:pStyle w:val="ListParagraph"/>
        <w:numPr>
          <w:ilvl w:val="0"/>
          <w:numId w:val="1"/>
        </w:numPr>
        <w:spacing w:after="90"/>
      </w:pPr>
      <w:r>
        <w:rPr>
          <w:rFonts w:ascii="Calibri" w:cs="Calibri" w:eastAsia="Calibri" w:hAnsi="Calibri"/>
          <w:sz w:val="21"/>
          <w:szCs w:val="21"/>
        </w:rPr>
        <w:t xml:space="preserve">Formal transition to business-as-usual (BAU) support.</w:t>
      </w:r>
    </w:p>
    <w:p>
      <w:pPr>
        <w:spacing w:after="60" w:before="100"/>
      </w:pPr>
      <w:r>
        <w:rPr>
          <w:rFonts w:ascii="Calibri" w:cs="Calibri" w:eastAsia="Calibri" w:hAnsi="Calibri"/>
          <w:b/>
          <w:bCs/>
          <w:sz w:val="21"/>
          <w:szCs w:val="21"/>
        </w:rPr>
        <w:t xml:space="preserve">Key Deliverables:</w:t>
      </w:r>
    </w:p>
    <w:p>
      <w:pPr>
        <w:pStyle w:val="ListParagraph"/>
        <w:numPr>
          <w:ilvl w:val="0"/>
          <w:numId w:val="1"/>
        </w:numPr>
        <w:spacing w:after="90"/>
      </w:pPr>
      <w:r>
        <w:rPr>
          <w:rFonts w:ascii="Calibri" w:cs="Calibri" w:eastAsia="Calibri" w:hAnsi="Calibri"/>
          <w:sz w:val="21"/>
          <w:szCs w:val="21"/>
        </w:rPr>
        <w:t xml:space="preserve">Hypercare log and resolution summary.</w:t>
      </w:r>
    </w:p>
    <w:p>
      <w:pPr>
        <w:pStyle w:val="ListParagraph"/>
        <w:numPr>
          <w:ilvl w:val="0"/>
          <w:numId w:val="1"/>
        </w:numPr>
        <w:spacing w:after="90"/>
      </w:pPr>
      <w:r>
        <w:rPr>
          <w:rFonts w:ascii="Calibri" w:cs="Calibri" w:eastAsia="Calibri" w:hAnsi="Calibri"/>
          <w:sz w:val="21"/>
          <w:szCs w:val="21"/>
        </w:rPr>
        <w:t xml:space="preserve">BAU transition and support handover document.</w:t>
      </w:r>
    </w:p>
    <w:p>
      <w:pPr>
        <w:pStyle w:val="ListParagraph"/>
        <w:numPr>
          <w:ilvl w:val="0"/>
          <w:numId w:val="1"/>
        </w:numPr>
        <w:spacing w:after="90"/>
      </w:pPr>
      <w:r>
        <w:rPr>
          <w:rFonts w:ascii="Calibri" w:cs="Calibri" w:eastAsia="Calibri" w:hAnsi="Calibri"/>
          <w:sz w:val="21"/>
          <w:szCs w:val="21"/>
        </w:rPr>
        <w:t xml:space="preserve">Hypercare exit / program closure sign-off.</w:t>
      </w:r>
    </w:p>
    <w:p>
      <w:pPr>
        <w:pStyle w:val="Heading1"/>
        <w:pBdr>
          <w:bottom w:val="single" w:color="0B2545" w:sz="8" w:space="4"/>
        </w:pBdr>
        <w:spacing w:after="220" w:before="480"/>
      </w:pPr>
      <w:r>
        <w:t xml:space="preserve">8. Effort Estimation &amp; Resourcing</w:t>
      </w:r>
    </w:p>
    <w:p>
      <w:pPr>
        <w:spacing w:after="160"/>
        <w:jc w:val="both"/>
      </w:pPr>
      <w:r>
        <w:rPr>
          <w:rFonts w:ascii="Calibri" w:cs="Calibri" w:eastAsia="Calibri" w:hAnsi="Calibri"/>
          <w:sz w:val="21"/>
          <w:szCs w:val="21"/>
        </w:rPr>
        <w:t xml:space="preserve">The following effort estimate is indicative, based on the scope, solution inventory and phase approach described in this proposal. It assumes an 8-hour working day and does not include contingency for public holidays or planned leave; effort will be refined and re-baselined at the end of the Discovery phase once detailed requirements are confirmed with DoF.</w:t>
      </w:r>
    </w:p>
    <w:p>
      <w:pPr>
        <w:pStyle w:val="Heading2"/>
        <w:spacing w:after="160" w:before="320"/>
      </w:pPr>
      <w:r>
        <w:t xml:space="preserve">8.1 Effort by Phase &amp; Role (Person-Days) — Part 1 of 2</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2200"/>
        <w:gridCol w:w="1000"/>
        <w:gridCol w:w="1000"/>
        <w:gridCol w:w="1000"/>
        <w:gridCol w:w="1000"/>
        <w:gridCol w:w="1660"/>
        <w:gridCol w:w="15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Phase</w:t>
            </w:r>
          </w:p>
        </w:tc>
        <w:tc>
          <w:tcPr>
            <w:tcW w:type="dxa" w:w="1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Duration (wks)</w:t>
            </w:r>
          </w:p>
        </w:tc>
        <w:tc>
          <w:tcPr>
            <w:tcW w:type="dxa" w:w="1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Program Mgmt</w:t>
            </w:r>
          </w:p>
        </w:tc>
        <w:tc>
          <w:tcPr>
            <w:tcW w:type="dxa" w:w="1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Solution Architecture</w:t>
            </w:r>
          </w:p>
        </w:tc>
        <w:tc>
          <w:tcPr>
            <w:tcW w:type="dxa" w:w="1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Functional / Tax BA</w:t>
            </w:r>
          </w:p>
        </w:tc>
        <w:tc>
          <w:tcPr>
            <w:tcW w:type="dxa" w:w="16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Technical Build (OIC + APEX + DB)</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AI / ML Specialist</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Discovery</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4</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40</w:t>
            </w:r>
          </w:p>
        </w:tc>
        <w:tc>
          <w:tcPr>
            <w:tcW w:type="dxa" w:w="16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25</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Design (Functional &amp; Technical)</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6</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60</w:t>
            </w:r>
          </w:p>
        </w:tc>
        <w:tc>
          <w:tcPr>
            <w:tcW w:type="dxa" w:w="16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80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Build</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14</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70</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50</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70</w:t>
            </w:r>
          </w:p>
        </w:tc>
        <w:tc>
          <w:tcPr>
            <w:tcW w:type="dxa" w:w="16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525</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70</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Testing (Unit, SIT, UAT)</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6</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15</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w:t>
            </w:r>
          </w:p>
        </w:tc>
        <w:tc>
          <w:tcPr>
            <w:tcW w:type="dxa" w:w="16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75</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15</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Roll-out &amp; Training</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15</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15</w:t>
            </w:r>
          </w:p>
        </w:tc>
        <w:tc>
          <w:tcPr>
            <w:tcW w:type="dxa" w:w="16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0</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Parallel Run</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8</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40</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80</w:t>
            </w:r>
          </w:p>
        </w:tc>
        <w:tc>
          <w:tcPr>
            <w:tcW w:type="dxa" w:w="16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Go-Live</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6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15</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0</w:t>
            </w:r>
          </w:p>
        </w:tc>
      </w:tr>
      <w:tr>
        <w:tc>
          <w:tcPr>
            <w:tcW w:type="dxa" w:w="2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Hypercare (Post Go-Live)</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6</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0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w:t>
            </w:r>
          </w:p>
        </w:tc>
        <w:tc>
          <w:tcPr>
            <w:tcW w:type="dxa" w:w="16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40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r>
    </w:tbl>
    <w:p>
      <w:pPr>
        <w:pStyle w:val="Heading2"/>
        <w:spacing w:after="160" w:before="320"/>
      </w:pPr>
      <w:r>
        <w:t xml:space="preserve">8.2 Effort by Phase &amp; Role (Person-Days) — Part 2 of 2</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3600"/>
        <w:gridCol w:w="1500"/>
        <w:gridCol w:w="1500"/>
        <w:gridCol w:w="1260"/>
        <w:gridCol w:w="1500"/>
      </w:tblGrid>
      <w:tr>
        <w:trPr>
          <w:tblHeader/>
        </w:trPr>
        <w:tc>
          <w:tcPr>
            <w:tcW w:type="dxa" w:w="36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Phase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QA / Testing</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Change Mgmt &amp; Training</w:t>
            </w:r>
          </w:p>
        </w:tc>
        <w:tc>
          <w:tcPr>
            <w:tcW w:type="dxa" w:w="12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Security / SoD</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Total Person-Days</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Discovery</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0</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2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130</w:t>
            </w:r>
          </w:p>
        </w:tc>
      </w:tr>
      <w:tr>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Design (Functional &amp; Technical)</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2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260</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Build</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70</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c>
          <w:tcPr>
            <w:tcW w:type="dxa" w:w="12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905</w:t>
            </w:r>
          </w:p>
        </w:tc>
      </w:tr>
      <w:tr>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Testing (Unit, SIT, UAT)</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90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2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285</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Roll-out &amp; Training</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w:t>
            </w:r>
          </w:p>
        </w:tc>
        <w:tc>
          <w:tcPr>
            <w:tcW w:type="dxa" w:w="12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100</w:t>
            </w:r>
          </w:p>
        </w:tc>
      </w:tr>
      <w:tr>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Parallel Run</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80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c>
          <w:tcPr>
            <w:tcW w:type="dxa" w:w="12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300</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Go-Live</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2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45</w:t>
            </w:r>
          </w:p>
        </w:tc>
      </w:tr>
      <w:tr>
        <w:tc>
          <w:tcPr>
            <w:tcW w:type="dxa" w:w="36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Hypercare (Post Go-Live)</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20</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10</w:t>
            </w:r>
          </w:p>
        </w:tc>
        <w:tc>
          <w:tcPr>
            <w:tcW w:type="dxa" w:w="12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5</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150</w:t>
            </w:r>
          </w:p>
        </w:tc>
      </w:tr>
    </w:tbl>
    <w:p>
      <w:pPr>
        <w:spacing w:after="160"/>
        <w:jc w:val="both"/>
      </w:pPr>
      <w:r>
        <w:rPr>
          <w:rFonts w:ascii="Calibri" w:cs="Calibri" w:eastAsia="Calibri" w:hAnsi="Calibri"/>
          <w:sz w:val="21"/>
          <w:szCs w:val="21"/>
        </w:rPr>
        <w:t xml:space="preserve">Total indicative effort: approximately 2,175 person-days across an approximately 48-week (11-month) program duration, from Discovery through Hypercare exit. This is a program-level estimate; day-to-day resource loading will flex by phase, and not all roles are required at full-time equivalent (FTE) for the full program duration (see Section 8.3).</w:t>
      </w:r>
    </w:p>
    <w:p>
      <w:pPr>
        <w:pStyle w:val="Heading2"/>
        <w:spacing w:after="160" w:before="320"/>
      </w:pPr>
      <w:r>
        <w:t xml:space="preserve">8.3 Indicative Team Composition (Peak Build Phase)</w:t>
      </w:r>
    </w:p>
    <w:p>
      <w:pPr>
        <w:pStyle w:val="ListParagraph"/>
        <w:numPr>
          <w:ilvl w:val="0"/>
          <w:numId w:val="1"/>
        </w:numPr>
        <w:spacing w:after="90"/>
      </w:pPr>
      <w:r>
        <w:rPr>
          <w:rFonts w:ascii="Calibri" w:cs="Calibri" w:eastAsia="Calibri" w:hAnsi="Calibri"/>
          <w:sz w:val="21"/>
          <w:szCs w:val="21"/>
        </w:rPr>
        <w:t xml:space="preserve">1 Program/Project Manager (full program duration).</w:t>
      </w:r>
    </w:p>
    <w:p>
      <w:pPr>
        <w:pStyle w:val="ListParagraph"/>
        <w:numPr>
          <w:ilvl w:val="0"/>
          <w:numId w:val="1"/>
        </w:numPr>
        <w:spacing w:after="90"/>
      </w:pPr>
      <w:r>
        <w:rPr>
          <w:rFonts w:ascii="Calibri" w:cs="Calibri" w:eastAsia="Calibri" w:hAnsi="Calibri"/>
          <w:sz w:val="21"/>
          <w:szCs w:val="21"/>
        </w:rPr>
        <w:t xml:space="preserve">1 Solution Architect (full program duration, tapering post go-live).</w:t>
      </w:r>
    </w:p>
    <w:p>
      <w:pPr>
        <w:pStyle w:val="ListParagraph"/>
        <w:numPr>
          <w:ilvl w:val="0"/>
          <w:numId w:val="1"/>
        </w:numPr>
        <w:spacing w:after="90"/>
      </w:pPr>
      <w:r>
        <w:rPr>
          <w:rFonts w:ascii="Calibri" w:cs="Calibri" w:eastAsia="Calibri" w:hAnsi="Calibri"/>
          <w:sz w:val="21"/>
          <w:szCs w:val="21"/>
        </w:rPr>
        <w:t xml:space="preserve">2 Functional / Tax Business Analysts (Discovery through Parallel Run).</w:t>
      </w:r>
    </w:p>
    <w:p>
      <w:pPr>
        <w:pStyle w:val="ListParagraph"/>
        <w:numPr>
          <w:ilvl w:val="0"/>
          <w:numId w:val="1"/>
        </w:numPr>
        <w:spacing w:after="90"/>
      </w:pPr>
      <w:r>
        <w:rPr>
          <w:rFonts w:ascii="Calibri" w:cs="Calibri" w:eastAsia="Calibri" w:hAnsi="Calibri"/>
          <w:sz w:val="21"/>
          <w:szCs w:val="21"/>
        </w:rPr>
        <w:t xml:space="preserve">2–3 OIC Integration Developers (Design through Testing, tapering thereafter).</w:t>
      </w:r>
    </w:p>
    <w:p>
      <w:pPr>
        <w:pStyle w:val="ListParagraph"/>
        <w:numPr>
          <w:ilvl w:val="0"/>
          <w:numId w:val="1"/>
        </w:numPr>
        <w:spacing w:after="90"/>
      </w:pPr>
      <w:r>
        <w:rPr>
          <w:rFonts w:ascii="Calibri" w:cs="Calibri" w:eastAsia="Calibri" w:hAnsi="Calibri"/>
          <w:sz w:val="21"/>
          <w:szCs w:val="21"/>
        </w:rPr>
        <w:t xml:space="preserve">2–3 Oracle APEX Developers (Design through Testing, tapering thereafter).</w:t>
      </w:r>
    </w:p>
    <w:p>
      <w:pPr>
        <w:pStyle w:val="ListParagraph"/>
        <w:numPr>
          <w:ilvl w:val="0"/>
          <w:numId w:val="1"/>
        </w:numPr>
        <w:spacing w:after="90"/>
      </w:pPr>
      <w:r>
        <w:rPr>
          <w:rFonts w:ascii="Calibri" w:cs="Calibri" w:eastAsia="Calibri" w:hAnsi="Calibri"/>
          <w:sz w:val="21"/>
          <w:szCs w:val="21"/>
        </w:rPr>
        <w:t xml:space="preserve">1–2 ATP / PL-SQL Database Developers (Design through Testing).</w:t>
      </w:r>
    </w:p>
    <w:p>
      <w:pPr>
        <w:pStyle w:val="ListParagraph"/>
        <w:numPr>
          <w:ilvl w:val="0"/>
          <w:numId w:val="1"/>
        </w:numPr>
        <w:spacing w:after="90"/>
      </w:pPr>
      <w:r>
        <w:rPr>
          <w:rFonts w:ascii="Calibri" w:cs="Calibri" w:eastAsia="Calibri" w:hAnsi="Calibri"/>
          <w:sz w:val="21"/>
          <w:szCs w:val="21"/>
        </w:rPr>
        <w:t xml:space="preserve">1 AI/ML Specialist (Design through Parallel Run).</w:t>
      </w:r>
    </w:p>
    <w:p>
      <w:pPr>
        <w:pStyle w:val="ListParagraph"/>
        <w:numPr>
          <w:ilvl w:val="0"/>
          <w:numId w:val="1"/>
        </w:numPr>
        <w:spacing w:after="90"/>
      </w:pPr>
      <w:r>
        <w:rPr>
          <w:rFonts w:ascii="Calibri" w:cs="Calibri" w:eastAsia="Calibri" w:hAnsi="Calibri"/>
          <w:sz w:val="21"/>
          <w:szCs w:val="21"/>
        </w:rPr>
        <w:t xml:space="preserve">2–3 QA/Test Engineers (Testing and Parallel Run phases).</w:t>
      </w:r>
    </w:p>
    <w:p>
      <w:pPr>
        <w:pStyle w:val="ListParagraph"/>
        <w:numPr>
          <w:ilvl w:val="0"/>
          <w:numId w:val="1"/>
        </w:numPr>
        <w:spacing w:after="90"/>
      </w:pPr>
      <w:r>
        <w:rPr>
          <w:rFonts w:ascii="Calibri" w:cs="Calibri" w:eastAsia="Calibri" w:hAnsi="Calibri"/>
          <w:sz w:val="21"/>
          <w:szCs w:val="21"/>
        </w:rPr>
        <w:t xml:space="preserve">1 Change Management &amp; Training Lead, supported by additional trainers during Roll-out.</w:t>
      </w:r>
    </w:p>
    <w:p>
      <w:pPr>
        <w:pStyle w:val="ListParagraph"/>
        <w:numPr>
          <w:ilvl w:val="0"/>
          <w:numId w:val="1"/>
        </w:numPr>
        <w:spacing w:after="90"/>
      </w:pPr>
      <w:r>
        <w:rPr>
          <w:rFonts w:ascii="Calibri" w:cs="Calibri" w:eastAsia="Calibri" w:hAnsi="Calibri"/>
          <w:sz w:val="21"/>
          <w:szCs w:val="21"/>
        </w:rPr>
        <w:t xml:space="preserve">1 Security/SoD Consultant (part-time, Design through Go-Live).</w:t>
      </w:r>
    </w:p>
    <w:p>
      <w:pPr>
        <w:spacing w:after="160"/>
        <w:jc w:val="both"/>
      </w:pPr>
      <w:r>
        <w:rPr>
          <w:rFonts w:ascii="Calibri" w:cs="Calibri" w:eastAsia="Calibri" w:hAnsi="Calibri"/>
          <w:sz w:val="21"/>
          <w:szCs w:val="21"/>
        </w:rPr>
        <w:t xml:space="preserve">On the DoF side, the program will require nominated business owners for the tax/VAT function, IT (Oracle Fusion and cloud platform), representative accountants/reviewers/controllers for design validation and UAT, and an executive sponsor for the Steering Committee.</w:t>
      </w:r>
    </w:p>
    <w:p>
      <w:pPr>
        <w:pStyle w:val="Heading2"/>
        <w:spacing w:after="160" w:before="320"/>
      </w:pPr>
      <w:r>
        <w:t xml:space="preserve">8.4 Indicative Program Timeline</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3560"/>
        <w:gridCol w:w="2400"/>
        <w:gridCol w:w="3400"/>
      </w:tblGrid>
      <w:tr>
        <w:trPr>
          <w:tblHeader/>
        </w:trPr>
        <w:tc>
          <w:tcPr>
            <w:tcW w:type="dxa" w:w="35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Phase</w:t>
            </w:r>
          </w:p>
        </w:tc>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Duration</w:t>
            </w:r>
          </w:p>
        </w:tc>
        <w:tc>
          <w:tcPr>
            <w:tcW w:type="dxa" w:w="3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Indicative Timing</w:t>
            </w:r>
          </w:p>
        </w:tc>
      </w:tr>
      <w:tr>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Discovery</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4 weeks</w:t>
            </w:r>
          </w:p>
        </w:tc>
        <w:tc>
          <w:tcPr>
            <w:tcW w:type="dxa" w:w="3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Month 1</w:t>
            </w:r>
          </w:p>
        </w:tc>
      </w:tr>
      <w:tr>
        <w:tc>
          <w:tcPr>
            <w:tcW w:type="dxa" w:w="35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Design</w:t>
            </w:r>
          </w:p>
        </w:tc>
        <w:tc>
          <w:tcPr>
            <w:tcW w:type="dxa" w:w="24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6 weeks</w:t>
            </w:r>
          </w:p>
        </w:tc>
        <w:tc>
          <w:tcPr>
            <w:tcW w:type="dxa" w:w="34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Months 1–2</w:t>
            </w:r>
          </w:p>
        </w:tc>
      </w:tr>
      <w:tr>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Build</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14 weeks</w:t>
            </w:r>
          </w:p>
        </w:tc>
        <w:tc>
          <w:tcPr>
            <w:tcW w:type="dxa" w:w="3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Months 2–5</w:t>
            </w:r>
          </w:p>
        </w:tc>
      </w:tr>
      <w:tr>
        <w:tc>
          <w:tcPr>
            <w:tcW w:type="dxa" w:w="35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Testing (Unit, SIT, UAT)</w:t>
            </w:r>
          </w:p>
        </w:tc>
        <w:tc>
          <w:tcPr>
            <w:tcW w:type="dxa" w:w="24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6 weeks</w:t>
            </w:r>
          </w:p>
        </w:tc>
        <w:tc>
          <w:tcPr>
            <w:tcW w:type="dxa" w:w="34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Months 5–6</w:t>
            </w:r>
          </w:p>
        </w:tc>
      </w:tr>
      <w:tr>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Roll-out &amp; Training</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3 weeks</w:t>
            </w:r>
          </w:p>
        </w:tc>
        <w:tc>
          <w:tcPr>
            <w:tcW w:type="dxa" w:w="3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Month 7</w:t>
            </w:r>
          </w:p>
        </w:tc>
      </w:tr>
      <w:tr>
        <w:tc>
          <w:tcPr>
            <w:tcW w:type="dxa" w:w="35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Parallel Run</w:t>
            </w:r>
          </w:p>
        </w:tc>
        <w:tc>
          <w:tcPr>
            <w:tcW w:type="dxa" w:w="24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8 weeks</w:t>
            </w:r>
          </w:p>
        </w:tc>
        <w:tc>
          <w:tcPr>
            <w:tcW w:type="dxa" w:w="34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Months 7–9</w:t>
            </w:r>
          </w:p>
        </w:tc>
      </w:tr>
      <w:tr>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Go-Live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1 week</w:t>
            </w:r>
          </w:p>
        </w:tc>
        <w:tc>
          <w:tcPr>
            <w:tcW w:type="dxa" w:w="3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Month 9</w:t>
            </w:r>
          </w:p>
        </w:tc>
      </w:tr>
      <w:tr>
        <w:tc>
          <w:tcPr>
            <w:tcW w:type="dxa" w:w="35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Hypercare</w:t>
            </w:r>
          </w:p>
        </w:tc>
        <w:tc>
          <w:tcPr>
            <w:tcW w:type="dxa" w:w="24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6 weeks</w:t>
            </w:r>
          </w:p>
        </w:tc>
        <w:tc>
          <w:tcPr>
            <w:tcW w:type="dxa" w:w="34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Months 9–11</w:t>
            </w:r>
          </w:p>
        </w:tc>
      </w:tr>
    </w:tbl>
    <w:p>
      <w:pPr>
        <w:spacing w:after="160"/>
        <w:jc w:val="both"/>
      </w:pPr>
      <w:r>
        <w:rPr>
          <w:rFonts w:ascii="Calibri" w:cs="Calibri" w:eastAsia="Calibri" w:hAnsi="Calibri"/>
          <w:sz w:val="21"/>
          <w:szCs w:val="21"/>
        </w:rPr>
        <w:t xml:space="preserve">Note: Build, Testing and later phases overlap partially with the preceding phase in practice (e.g. early build components may enter unit testing while later components are still being developed). The timeline above reflects the primary duration of each phase and the approximate calendar window in which its activities are concentrated; the full program spans approximately 11 months in total, not the simple sum of individual phase durations.</w:t>
      </w:r>
    </w:p>
    <w:p>
      <w:pPr>
        <w:pStyle w:val="Heading1"/>
        <w:pBdr>
          <w:bottom w:val="single" w:color="0B2545" w:sz="8" w:space="4"/>
        </w:pBdr>
        <w:spacing w:after="220" w:before="480"/>
      </w:pPr>
      <w:r>
        <w:t xml:space="preserve">9. Governance</w:t>
      </w:r>
    </w:p>
    <w:p>
      <w:pPr>
        <w:spacing w:after="160"/>
        <w:jc w:val="both"/>
      </w:pPr>
      <w:r>
        <w:rPr>
          <w:rFonts w:ascii="Calibri" w:cs="Calibri" w:eastAsia="Calibri" w:hAnsi="Calibri"/>
          <w:sz w:val="21"/>
          <w:szCs w:val="21"/>
        </w:rPr>
        <w:t xml:space="preserve">A joint governance structure is recommended to steer the program, comprising a Steering Committee (DoF executive sponsor, DoF Tax Team lead, Implementation Partner Program Director), a Working Group (functional and technical leads from both sides), and phase-level sign-off gates as described in Section 7.</w:t>
      </w:r>
    </w:p>
    <w:p>
      <w:pPr>
        <w:pStyle w:val="Heading2"/>
        <w:spacing w:after="160" w:before="320"/>
      </w:pPr>
      <w:r>
        <w:t xml:space="preserve">9.1 Indicative RACI</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3000"/>
        <w:gridCol w:w="1800"/>
        <w:gridCol w:w="1500"/>
        <w:gridCol w:w="1800"/>
        <w:gridCol w:w="1260"/>
      </w:tblGrid>
      <w:tr>
        <w:trPr>
          <w:tblHeader/>
        </w:trPr>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Activity</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DoF Tax Team</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DoF IT</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Implementation Partner PM/SA</w:t>
            </w:r>
          </w:p>
        </w:tc>
        <w:tc>
          <w:tcPr>
            <w:tcW w:type="dxa" w:w="12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Steering Committee</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Scope &amp; requirements confirmation</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A/R</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R</w:t>
            </w:r>
          </w:p>
        </w:tc>
        <w:tc>
          <w:tcPr>
            <w:tcW w:type="dxa" w:w="12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I</w:t>
            </w:r>
          </w:p>
        </w:tc>
      </w:tr>
      <w:tr>
        <w:tc>
          <w:tcPr>
            <w:tcW w:type="dxa" w:w="30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Solution design sign-off</w:t>
            </w:r>
          </w:p>
        </w:tc>
        <w:tc>
          <w:tcPr>
            <w:tcW w:type="dxa" w:w="18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8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R</w:t>
            </w:r>
          </w:p>
        </w:tc>
        <w:tc>
          <w:tcPr>
            <w:tcW w:type="dxa" w:w="12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I</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Build &amp; configuration</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A/R</w:t>
            </w:r>
          </w:p>
        </w:tc>
        <w:tc>
          <w:tcPr>
            <w:tcW w:type="dxa" w:w="12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I</w:t>
            </w:r>
          </w:p>
        </w:tc>
      </w:tr>
      <w:tr>
        <w:tc>
          <w:tcPr>
            <w:tcW w:type="dxa" w:w="30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Testing (SIT/UAT) execution &amp; sign-off</w:t>
            </w:r>
          </w:p>
        </w:tc>
        <w:tc>
          <w:tcPr>
            <w:tcW w:type="dxa" w:w="18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A/R</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8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R</w:t>
            </w:r>
          </w:p>
        </w:tc>
        <w:tc>
          <w:tcPr>
            <w:tcW w:type="dxa" w:w="12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I</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Training &amp; change management</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I</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A/R</w:t>
            </w:r>
          </w:p>
        </w:tc>
        <w:tc>
          <w:tcPr>
            <w:tcW w:type="dxa" w:w="12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I</w:t>
            </w:r>
          </w:p>
        </w:tc>
      </w:tr>
      <w:tr>
        <w:tc>
          <w:tcPr>
            <w:tcW w:type="dxa" w:w="30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Parallel run validation &amp; sign-off</w:t>
            </w:r>
          </w:p>
        </w:tc>
        <w:tc>
          <w:tcPr>
            <w:tcW w:type="dxa" w:w="18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A/R</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8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R</w:t>
            </w:r>
          </w:p>
        </w:tc>
        <w:tc>
          <w:tcPr>
            <w:tcW w:type="dxa" w:w="12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I</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Go-live decision</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R</w:t>
            </w:r>
          </w:p>
        </w:tc>
        <w:tc>
          <w:tcPr>
            <w:tcW w:type="dxa" w:w="1260"/>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w:t>
            </w:r>
          </w:p>
        </w:tc>
      </w:tr>
      <w:tr>
        <w:tc>
          <w:tcPr>
            <w:tcW w:type="dxa" w:w="30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Hypercare &amp; BAU transition</w:t>
            </w:r>
          </w:p>
        </w:tc>
        <w:tc>
          <w:tcPr>
            <w:tcW w:type="dxa" w:w="18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A/R</w:t>
            </w:r>
          </w:p>
        </w:tc>
        <w:tc>
          <w:tcPr>
            <w:tcW w:type="dxa" w:w="15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C</w:t>
            </w:r>
          </w:p>
        </w:tc>
        <w:tc>
          <w:tcPr>
            <w:tcW w:type="dxa" w:w="180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R</w:t>
            </w:r>
          </w:p>
        </w:tc>
        <w:tc>
          <w:tcPr>
            <w:tcW w:type="dxa" w:w="1260"/>
            <w:shd w:fill="F2F3F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19"/>
                <w:szCs w:val="19"/>
              </w:rPr>
              <w:t xml:space="preserve">I</w:t>
            </w:r>
          </w:p>
        </w:tc>
      </w:tr>
    </w:tbl>
    <w:p>
      <w:pPr>
        <w:spacing w:after="160"/>
        <w:jc w:val="both"/>
      </w:pPr>
      <w:r>
        <w:rPr>
          <w:rFonts w:ascii="Calibri" w:cs="Calibri" w:eastAsia="Calibri" w:hAnsi="Calibri"/>
          <w:sz w:val="21"/>
          <w:szCs w:val="21"/>
        </w:rPr>
        <w:t xml:space="preserve">A = Accountable, R = Responsible, C = Consulted, I = Informed.</w:t>
      </w:r>
    </w:p>
    <w:p>
      <w:pPr>
        <w:pStyle w:val="Heading1"/>
        <w:pBdr>
          <w:bottom w:val="single" w:color="0B2545" w:sz="8" w:space="4"/>
        </w:pBdr>
        <w:spacing w:after="220" w:before="480"/>
      </w:pPr>
      <w:r>
        <w:t xml:space="preserve">10. Assumptions &amp; Dependencies</w:t>
      </w:r>
    </w:p>
    <w:p>
      <w:pPr>
        <w:pStyle w:val="ListParagraph"/>
        <w:numPr>
          <w:ilvl w:val="0"/>
          <w:numId w:val="1"/>
        </w:numPr>
        <w:spacing w:after="90"/>
      </w:pPr>
      <w:r>
        <w:rPr>
          <w:rFonts w:ascii="Calibri" w:cs="Calibri" w:eastAsia="Calibri" w:hAnsi="Calibri"/>
          <w:sz w:val="21"/>
          <w:szCs w:val="21"/>
        </w:rPr>
        <w:t xml:space="preserve">DoF will provide timely access to Oracle Fusion environments, relevant APIs/extracts, and satellite system data structures required for integration design.</w:t>
      </w:r>
    </w:p>
    <w:p>
      <w:pPr>
        <w:pStyle w:val="ListParagraph"/>
        <w:numPr>
          <w:ilvl w:val="0"/>
          <w:numId w:val="1"/>
        </w:numPr>
        <w:spacing w:after="90"/>
      </w:pPr>
      <w:r>
        <w:rPr>
          <w:rFonts w:ascii="Calibri" w:cs="Calibri" w:eastAsia="Calibri" w:hAnsi="Calibri"/>
          <w:sz w:val="21"/>
          <w:szCs w:val="21"/>
        </w:rPr>
        <w:t xml:space="preserve">Oracle Cloud tenancy and licensing for OIC, Oracle ATP and Oracle APEX are either already provisioned by DoF or will be procured with sufficient lead time ahead of the Build phase; this proposal assumes licensing is outside the effort estimate above.</w:t>
      </w:r>
    </w:p>
    <w:p>
      <w:pPr>
        <w:pStyle w:val="ListParagraph"/>
        <w:numPr>
          <w:ilvl w:val="0"/>
          <w:numId w:val="1"/>
        </w:numPr>
        <w:spacing w:after="90"/>
      </w:pPr>
      <w:r>
        <w:rPr>
          <w:rFonts w:ascii="Calibri" w:cs="Calibri" w:eastAsia="Calibri" w:hAnsi="Calibri"/>
          <w:sz w:val="21"/>
          <w:szCs w:val="21"/>
        </w:rPr>
        <w:t xml:space="preserve">DoF will nominate business owners for the tax/VAT function and IT, and make representative accountants, VAT reviewers and finance controllers available for design workshops, UAT and Parallel Run within the indicated timeline.</w:t>
      </w:r>
    </w:p>
    <w:p>
      <w:pPr>
        <w:pStyle w:val="ListParagraph"/>
        <w:numPr>
          <w:ilvl w:val="0"/>
          <w:numId w:val="1"/>
        </w:numPr>
        <w:spacing w:after="90"/>
      </w:pPr>
      <w:r>
        <w:rPr>
          <w:rFonts w:ascii="Calibri" w:cs="Calibri" w:eastAsia="Calibri" w:hAnsi="Calibri"/>
          <w:sz w:val="21"/>
          <w:szCs w:val="21"/>
        </w:rPr>
        <w:t xml:space="preserve">Current VAT return schema and filing requirements remain materially stable during the program; material regulatory changes may require scope and timeline reassessment.</w:t>
      </w:r>
    </w:p>
    <w:p>
      <w:pPr>
        <w:pStyle w:val="ListParagraph"/>
        <w:numPr>
          <w:ilvl w:val="0"/>
          <w:numId w:val="1"/>
        </w:numPr>
        <w:spacing w:after="90"/>
      </w:pPr>
      <w:r>
        <w:rPr>
          <w:rFonts w:ascii="Calibri" w:cs="Calibri" w:eastAsia="Calibri" w:hAnsi="Calibri"/>
          <w:sz w:val="21"/>
          <w:szCs w:val="21"/>
        </w:rPr>
        <w:t xml:space="preserve">Existing chart of accounts, tax code mapping and VAT Group structure are available and sufficiently documented to support design; where not available, additional Discovery effort may be required.</w:t>
      </w:r>
    </w:p>
    <w:p>
      <w:pPr>
        <w:pStyle w:val="ListParagraph"/>
        <w:numPr>
          <w:ilvl w:val="0"/>
          <w:numId w:val="1"/>
        </w:numPr>
        <w:spacing w:after="90"/>
      </w:pPr>
      <w:r>
        <w:rPr>
          <w:rFonts w:ascii="Calibri" w:cs="Calibri" w:eastAsia="Calibri" w:hAnsi="Calibri"/>
          <w:sz w:val="21"/>
          <w:szCs w:val="21"/>
        </w:rPr>
        <w:t xml:space="preserve">Data quality in source systems is sufficient to support automated ingestion and rules-based validation; significant data remediation, if required, is treated as a separate work-stream outside this estimate.</w:t>
      </w:r>
    </w:p>
    <w:p>
      <w:pPr>
        <w:pStyle w:val="ListParagraph"/>
        <w:numPr>
          <w:ilvl w:val="0"/>
          <w:numId w:val="1"/>
        </w:numPr>
        <w:spacing w:after="90"/>
      </w:pPr>
      <w:r>
        <w:rPr>
          <w:rFonts w:ascii="Calibri" w:cs="Calibri" w:eastAsia="Calibri" w:hAnsi="Calibri"/>
          <w:sz w:val="21"/>
          <w:szCs w:val="21"/>
        </w:rPr>
        <w:t xml:space="preserve">UAE-region OCI infrastructure sizing and network connectivity between DoF and the Oracle Cloud environment are established ahead of the Build phase.</w:t>
      </w:r>
    </w:p>
    <w:p>
      <w:pPr>
        <w:pStyle w:val="ListParagraph"/>
        <w:numPr>
          <w:ilvl w:val="0"/>
          <w:numId w:val="1"/>
        </w:numPr>
        <w:spacing w:after="90"/>
      </w:pPr>
      <w:r>
        <w:rPr>
          <w:rFonts w:ascii="Calibri" w:cs="Calibri" w:eastAsia="Calibri" w:hAnsi="Calibri"/>
          <w:sz w:val="21"/>
          <w:szCs w:val="21"/>
        </w:rPr>
        <w:t xml:space="preserve">This proposal presents effort estimates only; commercial pricing will be aligned separately based on the agreed commercial/rate structure between DoF and the implementation partner.</w:t>
      </w:r>
    </w:p>
    <w:p>
      <w:pPr>
        <w:pStyle w:val="Heading1"/>
        <w:pBdr>
          <w:bottom w:val="single" w:color="0B2545" w:sz="8" w:space="4"/>
        </w:pBdr>
        <w:spacing w:after="220" w:before="480"/>
      </w:pPr>
      <w:r>
        <w:t xml:space="preserve">11. Key Risks &amp; Mitigations</w:t>
      </w:r>
    </w:p>
    <w:tbl>
      <w:tblPr>
        <w:tblW w:type="dxa" w:w="9360"/>
        <w:tblBorders>
          <w:top w:val="single" w:color="B9BEC7" w:sz="4"/>
          <w:left w:val="single" w:color="B9BEC7" w:sz="4"/>
          <w:bottom w:val="single" w:color="B9BEC7" w:sz="4"/>
          <w:right w:val="single" w:color="B9BEC7" w:sz="4"/>
          <w:insideH w:val="single" w:color="D8DBE0" w:sz="2"/>
          <w:insideV w:val="single" w:color="D8DBE0" w:sz="2"/>
        </w:tblBorders>
      </w:tblPr>
      <w:tblGrid>
        <w:gridCol w:w="3200"/>
        <w:gridCol w:w="1160"/>
        <w:gridCol w:w="5000"/>
      </w:tblGrid>
      <w:tr>
        <w:trPr>
          <w:tblHeader/>
        </w:trPr>
        <w:tc>
          <w:tcPr>
            <w:tcW w:type="dxa" w:w="3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Risk</w:t>
            </w:r>
          </w:p>
        </w:tc>
        <w:tc>
          <w:tcPr>
            <w:tcW w:type="dxa" w:w="116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Impact</w:t>
            </w:r>
          </w:p>
        </w:tc>
        <w:tc>
          <w:tcPr>
            <w:tcW w:type="dxa" w:w="5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Mitigation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Data quality issues in Oracle Fusion or satellite systems surface later than expected</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Early, dedicated data quality assessment in Discovery; staged data profiling before Build.</w:t>
            </w:r>
          </w:p>
        </w:tc>
      </w:tr>
      <w:tr>
        <w:tc>
          <w:tcPr>
            <w:tcW w:type="dxa" w:w="3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Scope creep in adjustment types, rules or approval matrices during Build</w:t>
            </w:r>
          </w:p>
        </w:tc>
        <w:tc>
          <w:tcPr>
            <w:tcW w:type="dxa" w:w="11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50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Configurable, not hard-coded, rules/adjustment/approval design; formal change control process.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Key DoF resource availability constraints during Design, UAT or Parallel Run</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Early resource planning and calendar-blocking agreed with DoF at program kick-off.</w:t>
            </w:r>
          </w:p>
        </w:tc>
      </w:tr>
      <w:tr>
        <w:tc>
          <w:tcPr>
            <w:tcW w:type="dxa" w:w="3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Regulatory change to the VAT return schema mid-program</w:t>
            </w:r>
          </w:p>
        </w:tc>
        <w:tc>
          <w:tcPr>
            <w:tcW w:type="dxa" w:w="11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50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Modular output-generation design isolates schema changes to a single configurable component.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Parallel run reveals material variances requiring rework</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Sufficient parallel-run duration (minimum one full filing cycle) with built-in variance resolution time.</w:t>
            </w:r>
          </w:p>
        </w:tc>
      </w:tr>
      <w:tr>
        <w:tc>
          <w:tcPr>
            <w:tcW w:type="dxa" w:w="3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Security/SoD misconfiguration exposing conflicting access</w:t>
            </w:r>
          </w:p>
        </w:tc>
        <w:tc>
          <w:tcPr>
            <w:tcW w:type="dxa" w:w="11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w:t>
            </w:r>
          </w:p>
        </w:tc>
        <w:tc>
          <w:tcPr>
            <w:tcW w:type="dxa" w:w="50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Dedicated security/SoD design review and testing; independent control validation before go-live.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Integration performance under peak filing-period load</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Performance/load testing included in SIT; scalable OIC/ATP architecture.</w:t>
            </w:r>
          </w:p>
        </w:tc>
      </w:tr>
      <w:tr>
        <w:tc>
          <w:tcPr>
            <w:tcW w:type="dxa" w:w="32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User adoption resistance to new process and controls</w:t>
            </w:r>
          </w:p>
        </w:tc>
        <w:tc>
          <w:tcPr>
            <w:tcW w:type="dxa" w:w="116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5000"/>
            <w:shd w:fill="F2F3F5"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Early stakeholder engagement, role-based training, and a dedicated change management work-stream.</w:t>
            </w:r>
          </w:p>
        </w:tc>
      </w:tr>
    </w:tbl>
    <w:p>
      <w:pPr>
        <w:pStyle w:val="Heading1"/>
        <w:pBdr>
          <w:bottom w:val="single" w:color="0B2545" w:sz="8" w:space="4"/>
        </w:pBdr>
        <w:spacing w:after="220" w:before="480"/>
      </w:pPr>
      <w:r>
        <w:t xml:space="preserve">12. Conclusion &amp; Next Steps</w:t>
      </w:r>
    </w:p>
    <w:p>
      <w:pPr>
        <w:spacing w:after="160"/>
        <w:jc w:val="both"/>
      </w:pPr>
      <w:r>
        <w:rPr>
          <w:rFonts w:ascii="Calibri" w:cs="Calibri" w:eastAsia="Calibri" w:hAnsi="Calibri"/>
          <w:sz w:val="21"/>
          <w:szCs w:val="21"/>
        </w:rPr>
        <w:t xml:space="preserve">This proposal presents an end-to-end target operating model and technology solution for DoF's VAT compliance processes, built on the DoF's existing Oracle investment and designed to address each of the requirements set out by the DoF tax team — from automated, AI-enhanced data ingestion and exception management through to multi-entity VAT Group processing, reconciliation, adjustment management, return preparation and sign-off, refund processing, controls and reporting, all delivered with UAE data residency and a future-ready, extensible architecture.</w:t>
      </w:r>
    </w:p>
    <w:p>
      <w:pPr>
        <w:spacing w:after="160"/>
        <w:jc w:val="both"/>
      </w:pPr>
      <w:r>
        <w:rPr>
          <w:rFonts w:ascii="Calibri" w:cs="Calibri" w:eastAsia="Calibri" w:hAnsi="Calibri"/>
          <w:sz w:val="21"/>
          <w:szCs w:val="21"/>
        </w:rPr>
        <w:t xml:space="preserve">We recommend the following immediate next steps:</w:t>
      </w:r>
    </w:p>
    <w:p>
      <w:pPr>
        <w:pStyle w:val="ListParagraph"/>
        <w:numPr>
          <w:ilvl w:val="0"/>
          <w:numId w:val="1"/>
        </w:numPr>
        <w:spacing w:after="90"/>
      </w:pPr>
      <w:r>
        <w:rPr>
          <w:rFonts w:ascii="Calibri" w:cs="Calibri" w:eastAsia="Calibri" w:hAnsi="Calibri"/>
          <w:sz w:val="21"/>
          <w:szCs w:val="21"/>
        </w:rPr>
        <w:t xml:space="preserve">Review and confirm the scope, solution inventory and phase approach set out in this proposal with the DoF tax team and IT stakeholders.</w:t>
      </w:r>
    </w:p>
    <w:p>
      <w:pPr>
        <w:pStyle w:val="ListParagraph"/>
        <w:numPr>
          <w:ilvl w:val="0"/>
          <w:numId w:val="1"/>
        </w:numPr>
        <w:spacing w:after="90"/>
      </w:pPr>
      <w:r>
        <w:rPr>
          <w:rFonts w:ascii="Calibri" w:cs="Calibri" w:eastAsia="Calibri" w:hAnsi="Calibri"/>
          <w:sz w:val="21"/>
          <w:szCs w:val="21"/>
        </w:rPr>
        <w:t xml:space="preserve">Confirm Oracle Cloud licensing and environment provisioning plan (OIC, ATP, APEX) ahead of program mobilisation.</w:t>
      </w:r>
    </w:p>
    <w:p>
      <w:pPr>
        <w:pStyle w:val="ListParagraph"/>
        <w:numPr>
          <w:ilvl w:val="0"/>
          <w:numId w:val="1"/>
        </w:numPr>
        <w:spacing w:after="90"/>
      </w:pPr>
      <w:r>
        <w:rPr>
          <w:rFonts w:ascii="Calibri" w:cs="Calibri" w:eastAsia="Calibri" w:hAnsi="Calibri"/>
          <w:sz w:val="21"/>
          <w:szCs w:val="21"/>
        </w:rPr>
        <w:t xml:space="preserve">Agree the joint governance structure, Steering Committee membership and phase sign-off gates.</w:t>
      </w:r>
    </w:p>
    <w:p>
      <w:pPr>
        <w:pStyle w:val="ListParagraph"/>
        <w:numPr>
          <w:ilvl w:val="0"/>
          <w:numId w:val="1"/>
        </w:numPr>
        <w:spacing w:after="90"/>
      </w:pPr>
      <w:r>
        <w:rPr>
          <w:rFonts w:ascii="Calibri" w:cs="Calibri" w:eastAsia="Calibri" w:hAnsi="Calibri"/>
          <w:sz w:val="21"/>
          <w:szCs w:val="21"/>
        </w:rPr>
        <w:t xml:space="preserve">Confirm DoF resource availability against the indicative team composition and timeline in Section 8.</w:t>
      </w:r>
    </w:p>
    <w:p>
      <w:pPr>
        <w:pStyle w:val="ListParagraph"/>
        <w:numPr>
          <w:ilvl w:val="0"/>
          <w:numId w:val="1"/>
        </w:numPr>
        <w:spacing w:after="90"/>
      </w:pPr>
      <w:r>
        <w:rPr>
          <w:rFonts w:ascii="Calibri" w:cs="Calibri" w:eastAsia="Calibri" w:hAnsi="Calibri"/>
          <w:sz w:val="21"/>
          <w:szCs w:val="21"/>
        </w:rPr>
        <w:t xml:space="preserve">Schedule program kick-off and mobilise the Discovery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t xml:space="preserve">Page </w:t>
    </w:r>
    <w:r>
      <w:rPr>
        <w:rFonts w:ascii="Calibri" w:cs="Calibri" w:eastAsia="Calibri" w:hAnsi="Calibri"/>
        <w:color w:val="5B6470"/>
        <w:sz w:val="16"/>
        <w:szCs w:val="16"/>
      </w:rPr>
      <w:fldChar w:fldCharType="begin"/>
      <w:instrText xml:space="preserve">PAGE</w:instrText>
      <w:fldChar w:fldCharType="separate"/>
      <w:fldChar w:fldCharType="end"/>
    </w:r>
    <w:r>
      <w:rPr>
        <w:rFonts w:ascii="Calibri" w:cs="Calibri" w:eastAsia="Calibri" w:hAnsi="Calibri"/>
        <w:color w:val="5B6470"/>
        <w:sz w:val="16"/>
        <w:szCs w:val="16"/>
      </w:rPr>
      <w:t xml:space="preserve"> of </w:t>
    </w:r>
    <w:r>
      <w:rPr>
        <w:rFonts w:ascii="Calibri" w:cs="Calibri" w:eastAsia="Calibri" w:hAnsi="Calibri"/>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3" w:sz="4" w:space="4"/>
      </w:pBdr>
      <w:tabs>
        <w:tab w:val="right" w:pos="9026"/>
      </w:tabs>
    </w:pPr>
    <w:r>
      <w:rPr>
        <w:rFonts w:ascii="Calibri" w:cs="Calibri" w:eastAsia="Calibri" w:hAnsi="Calibri"/>
        <w:color w:val="5B6470"/>
        <w:sz w:val="16"/>
        <w:szCs w:val="16"/>
      </w:rPr>
      <w:t xml:space="preserve">DoF VAT Compliance Solution — Formal Proposal</w:t>
    </w:r>
    <w:r>
      <w:rPr>
        <w:rFonts w:ascii="Calibri" w:cs="Calibri" w:eastAsia="Calibri" w:hAnsi="Calibri"/>
        <w:i/>
        <w:iCs/>
        <w:color w:val="5B647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480"/>
    </w:pPr>
    <w:rPr>
      <w:rFonts w:ascii="Calibri" w:cs="Calibri" w:eastAsia="Calibri" w:hAnsi="Calibri"/>
      <w:b/>
      <w:bCs/>
      <w:color w:val="0B2545"/>
      <w:sz w:val="30"/>
      <w:szCs w:val="30"/>
    </w:rPr>
  </w:style>
  <w:style w:type="paragraph" w:styleId="Heading2">
    <w:name w:val="Heading 2"/>
    <w:basedOn w:val="Normal"/>
    <w:next w:val="Normal"/>
    <w:qFormat/>
    <w:pPr>
      <w:spacing w:after="160" w:before="320"/>
    </w:pPr>
    <w:rPr>
      <w:rFonts w:ascii="Calibri" w:cs="Calibri" w:eastAsia="Calibri" w:hAnsi="Calibri"/>
      <w:b/>
      <w:bCs/>
      <w:color w:val="13315C"/>
      <w:sz w:val="25"/>
      <w:szCs w:val="25"/>
    </w:rPr>
  </w:style>
  <w:style w:type="paragraph" w:styleId="Heading3">
    <w:name w:val="Heading 3"/>
    <w:basedOn w:val="Normal"/>
    <w:next w:val="Normal"/>
    <w:qFormat/>
    <w:pPr>
      <w:spacing w:after="120" w:before="220"/>
    </w:pPr>
    <w:rPr>
      <w:rFonts w:ascii="Calibri" w:cs="Calibri" w:eastAsia="Calibri" w:hAnsi="Calibri"/>
      <w:b/>
      <w:bCs/>
      <w:color w:val="0E7C7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4f4a5c67c3e50316d39d921292bc330d26975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DoF VAT Compliance Operating Model &amp; Technology Transformation Proposal</dc:title>
  <dc:creator>Implementation Partner</dc:creator>
  <dc:description>Formal proposal for VAT compliance operating model and technology solution</dc:description>
  <cp:lastModifiedBy>Un-named</cp:lastModifiedBy>
  <cp:revision>1</cp:revision>
  <dcterms:created xsi:type="dcterms:W3CDTF">2026-08-23T07:17:11.023Z</dcterms:created>
  <dcterms:modified xsi:type="dcterms:W3CDTF">2026-08-23T07:17:11.035Z</dcterms:modified>
</cp:coreProperties>
</file>

<file path=docProps/custom.xml><?xml version="1.0" encoding="utf-8"?>
<Properties xmlns="http://schemas.openxmlformats.org/officeDocument/2006/custom-properties" xmlns:vt="http://schemas.openxmlformats.org/officeDocument/2006/docPropsVTypes"/>
</file>