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A1A2E"/>
          <w:sz w:val="56"/>
          <w:szCs w:val="56"/>
        </w:rPr>
        <w:t xml:space="preserve">AppliedAM</w:t>
      </w:r>
    </w:p>
    <w:p>
      <w:pPr>
        <w:spacing w:after="40"/>
      </w:pPr>
      <w:r>
        <w:rPr>
          <w:b/>
          <w:bCs/>
          <w:color w:val="0077FF"/>
          <w:sz w:val="28"/>
          <w:szCs w:val="28"/>
        </w:rPr>
        <w:t xml:space="preserve">Project Status &amp; Strategy Document</w:t>
      </w:r>
    </w:p>
    <w:p>
      <w:pPr>
        <w:spacing w:after="300"/>
      </w:pPr>
      <w:r>
        <w:rPr>
          <w:i/>
          <w:iCs/>
          <w:color w:val="666666"/>
          <w:sz w:val="18"/>
          <w:szCs w:val="18"/>
        </w:rPr>
        <w:t xml:space="preserve">Last updated: June 2026  |  Site: appliedam.net  |  Repo: github.com/nexoratech101/appliedam</w:t>
      </w:r>
    </w:p>
    <w:p>
      <w:pPr>
        <w:pStyle w:val="Heading1"/>
      </w:pPr>
      <w:r>
        <w:t xml:space="preserve">1. Project Overview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AppliedAM (Applied Additive Manufacturing) is a publication-style website for the additive manufacturing (AM) community. The long-term vision is for AppliedAM to function like a “Nature journal for AM” — a credible, citable platform where inventors, manufacturers, and practitioners share real work, and where being featured carries professional prestige.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This positioning is also a deliberate growth strategy: students and practitioners who get featured are likely to share their feature on professional profiles (LinkedIn, portfolios, resumes), driving organic visibility back to the site — similar to the effect of being “published.”</w:t>
      </w:r>
    </w:p>
    <w:p>
      <w:pPr>
        <w:pStyle w:val="Heading1"/>
      </w:pPr>
      <w:r>
        <w:t xml:space="preserve">2. Tech Stack &amp;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Generator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Hugo static site generator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Theme base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Ananke (heavily customized with overrides + custom CSS)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Hosting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Netlify (auto-deploy on push to master)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Domain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appliedam.net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Repository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github.com/nexoratech101/appliedam (branch: master)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Local path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C:\Users\Administrator\Desktop\appliedam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Local dev server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hugo server -D --disableFastRender → http://localhost:1313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File encoding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 files must be UTF-8 WITHOUT BOM (use [System.IO.File]::WriteAllText with UTF8Encoding($false) in PowerShell)</w:t>
            </w:r>
          </w:p>
        </w:tc>
      </w:tr>
    </w:tbl>
    <w:p>
      <w:pPr>
        <w:pStyle w:val="Heading1"/>
      </w:pPr>
      <w:r>
        <w:t xml:space="preserve">3. Site Structure &amp; Navigation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Final navigation structure (main nav):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Home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Research — /research/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Industry — /industry/ (renamed from “Applications”)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Case Studies — /case-studies/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About — /about/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Submit Project (CTA button) — /submit/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Footer navigation: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Write for Us — /write-for-us/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About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Submit</w:t>
      </w:r>
    </w:p>
    <w:p>
      <w:pPr>
        <w:pStyle w:val="Heading2"/>
      </w:pPr>
      <w:r>
        <w:t xml:space="preserve">3.1 Content Section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 &amp; Framing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Research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New techniques, materials, and process innovations. “What's possible.” Written for/by inventors and researchers.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Industry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companies integrate AM into production, supply chains, and consumer products at scale. “What's working in the market today.” Written for/by manufacturers. (Originally named “Applications” — renamed to “Industry” for a sharper, journal-like nav label.)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Case Studies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single, fully documented project — problem, process, materials, results, lessons learned. Includes student projects, R&amp;D prototypes, and independent maker builds. Distinguished from Industry by scope: one project vs. adoption at scale.</w:t>
            </w:r>
          </w:p>
        </w:tc>
      </w:tr>
    </w:tbl>
    <w:p>
      <w:pPr>
        <w:pStyle w:val="Heading1"/>
      </w:pPr>
      <w:r>
        <w:t xml:space="preserve">4. Content Pillars (Strategic Framing)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The three audience/contributor pillars that map onto the content sections: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Inventors → Research — people pushing AM technology and techniques forward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Manufacturers → Industry — companies bringing AM to production and to consumers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Practitioners → Case Studies — people (including students) using AM in real projects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22"/>
          <w:szCs w:val="22"/>
        </w:rPr>
        <w:t xml:space="preserve">Key strategic insight: student projects are a high-value content category because students tend to share features of their work on professional profiles (LinkedIn, portfolios), which drives traffic and visibility back to AppliedAM — the same dynamic as academic publication prestige.</w:t>
      </w:r>
    </w:p>
    <w:p>
      <w:pPr>
        <w:pStyle w:val="Heading1"/>
      </w:pPr>
      <w:r>
        <w:t xml:space="preserve">5. Contribution Pathways</w:t>
      </w:r>
    </w:p>
    <w:p>
      <w:pPr>
        <w:pStyle w:val="Heading2"/>
      </w:pPr>
      <w:r>
        <w:t xml:space="preserve">5.1 Submit Your Work (/submit/) — Main nav CTA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For featuring specific work: Research, Industry/Applications, or Case Studies. Open to inventors, manufacturers, and practitioners (including students). Submissions go to submit@appliedam.net with title, summary, category, write-up, visuals, and optional files (CAD/STL/datasets/GitHub).</w:t>
      </w:r>
    </w:p>
    <w:p>
      <w:pPr>
        <w:pStyle w:val="Heading2"/>
      </w:pPr>
      <w:r>
        <w:t xml:space="preserve">5.2 Write for AppliedAM (/write-for-us/) — Footer link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For ongoing contributors writing general-topic content not tied to a specific project submission: industry commentary, explainers, opinion pieces, interviews/profiles. Kept as a SEPARATE page/pathway from Submit — deliberately not merged, because merging would blur the “career/contributor” framing this page is meant to provide. Applications go to writers@appliedam.net with bio, writing sample, and article ideas.</w:t>
      </w:r>
    </w:p>
    <w:p>
      <w:pPr>
        <w:pStyle w:val="Heading1"/>
      </w:pPr>
      <w:r>
        <w:t xml:space="preserve">6. Branding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Logo: three-layer stacked pyramid mark (navy / blue / steel gray) with “Applied AM” wordmark — user-provided PNG, saved at static/images/logo.png, used at 72px height in nav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Primary accent color: #0077FF (electric blue)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Header/dark sections: #0D0D1A / #1A1A2E (near-black navy)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Display font: Space Grotesk (headings)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Body font: Inter — both loaded via Google Fonts with Segoe UI/Arial fallback stack for reliability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Design tone: clean, modern, technical — dark header / white content, MIT Technology Review-style</w:t>
      </w:r>
    </w:p>
    <w:p>
      <w:pPr>
        <w:pStyle w:val="Heading1"/>
      </w:pPr>
      <w:r>
        <w:t xml:space="preserve">7. Technical Implementation Notes</w:t>
      </w:r>
    </w:p>
    <w:p>
      <w:pPr>
        <w:pStyle w:val="Heading2"/>
      </w:pPr>
      <w:r>
        <w:t xml:space="preserve">7.1 Key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hugo.toml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Site config, menus (main + footer), social links, taxonomies, markup settings. Uses locale (not deprecated languageCode) and params.ananke.custom_css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layouts/index.html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Homepage — hero, stats bar, Latest Research / Featured Case Studies / Industry grids, Submit CTA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layouts/_default/single.html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Article/project page template — header, hero image, body, project meta box for case studies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layouts/_default/list.html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Section listing pages (Research, Industry, Case Studies)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layouts/_partials/site-header.html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Custom nav with logo + menu links + Submit Project CTA button (Ananke uses _partials, NOT partials)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static/css/custom.css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 custom styling — CSS variables, hero, cards, nav, typography, responsive rules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static/images/logo.png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Site logo, used in nav header</w:t>
            </w:r>
          </w:p>
        </w:tc>
      </w:tr>
    </w:tbl>
    <w:p>
      <w:pPr>
        <w:pStyle w:val="Heading2"/>
      </w:pPr>
      <w:r>
        <w:t xml:space="preserve">7.2 Content Files Created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content/_index.md — homepage content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content/research/_index.md + fdm-complete-guide.md (sample article)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content/industry/_index.md (currently empty — needs first submission/article)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content/case-studies/_index.md + drone-frame-topology-optimization.md (sample student project)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content/about/_index.md — mission and contact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content/submit/_index.md — submission guidelines (Research/Industry/Case Studies tracks)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content/write-for-us/_index.md — general contributor guidelines</w:t>
      </w:r>
    </w:p>
    <w:p>
      <w:pPr>
        <w:pStyle w:val="Heading2"/>
      </w:pPr>
      <w:r>
        <w:t xml:space="preserve">7.3 Known Gotchas / Lessons Learned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PowerShell Set-Content adds a BOM by default — breaks Hugo's TOML parser. Always use [System.IO.File]::WriteAllText with UTF8Encoding($false)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Hugo v0.163: languageCode is deprecated → use locale; custom_css must be under [params.ananke], not [params]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Ananke's overridable partials live in layouts/_partials/ (underscore prefix), not layouts/partials/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Google Fonts can fail to load on some networks — always include system font fallbacks (Segoe UI, Arial) in CSS variables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Git default branch for this repo is master, not main — push with: git push origin master</w:t>
      </w:r>
    </w:p>
    <w:p>
      <w:pPr>
        <w:pStyle w:val="Heading1"/>
      </w:pPr>
      <w:r>
        <w:t xml:space="preserve">8. Current Status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✅ Completed: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Hugo site live and building successfully (46 pages)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Custom dark/blue design system implemented across home, list, and single page layouts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Logo integrated into navigation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Site restructured around Research / Industry / Case Studies with journal positioning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Submit and Write for Us pages drafted with clear, distinct purposes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Sample content in place for Research (FDM guide) and Case Studies (drone frame project)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All changes committed and pushed to GitHub (master branch) — Netlify auto-deploy connected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⏳ Open / Next Steps: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Add first Industry section content (currently empty)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Update footer template to render menu.footer (Write for Us, About, Submit links)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Verify production site at appliedam.net reflects latest deploy (fonts, logo, nav, new structure)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Consider adding a formal review/editorial pipeline as submission volume grows (toward the “journal” vision)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Expand About page with team bios as contributors join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Populate tags/categories taxonomy pages as more content is added</w:t>
      </w:r>
    </w:p>
    <w:p>
      <w:pPr>
        <w:pStyle w:val="Heading1"/>
      </w:pPr>
      <w:r>
        <w:t xml:space="preserve">9. Guiding Principles for Future Development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Maintain the journal/publication tone — editorial credibility over blog/portfolio framing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Every new content type should map back to one of the three pillars: Inventors, Manufacturers, Practitioners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Keep Submit and Write for Us as distinct pathways with distinct purposes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Student/practitioner work should be framed with the same prestige as any other contribution — this is the visibility engine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All new pages/files: UTF-8 no BOM, PowerShell scripts using [System.IO.File]::WriteAllText pattern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Test locally with hugo server -D --disableFastRender before pushing to master</w:t>
      </w:r>
    </w:p>
    <w:p>
      <w:pPr>
        <w:pStyle w:val="Heading1"/>
        <w:pBdr>
          <w:bottom w:val="single" w:sz="6" w:space="4" w:color="0077FF"/>
        </w:pBdr>
        <w:spacing w:before="360" w:after="200"/>
        <w:outlineLvl w:val="0"/>
      </w:pPr>
      <w:r>
        <w:rPr>
          <w:b/>
          <w:color w:val="1A1A2E"/>
          <w:sz w:val="32"/>
          <w:szCs w:val="32"/>
        </w:rPr>
        <w:t>10. Brand &amp; Theme Color Reference</w:t>
      </w:r>
    </w:p>
    <w:p>
      <w:pPr>
        <w:pStyle w:val="Heading2"/>
        <w:spacing w:before="240" w:after="140"/>
        <w:outlineLvl w:val="1"/>
      </w:pPr>
      <w:r>
        <w:rPr>
          <w:b/>
          <w:color w:val="1A3A8C"/>
          <w:sz w:val="26"/>
          <w:szCs w:val="26"/>
        </w:rPr>
        <w:t>10.1 Logo Color Palette (source colors)</w:t>
      </w:r>
    </w:p>
    <w:p>
      <w:pPr>
        <w:spacing w:after="120"/>
      </w:pPr>
      <w:r>
        <w:rPr>
          <w:sz w:val="22"/>
          <w:szCs w:val="22"/>
        </w:rPr>
        <w:t>Sampled and provided from the AppliedAM triangle/pyramid logo (three horizontal slices: top, middle, bottom). Two shades were identified per slice (darker and lighter sides).</w:t>
      </w:r>
    </w:p>
    <w:tbl>
      <w:tblPr>
        <w:tblW w:w="936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40"/>
        <w:gridCol w:w="1500"/>
        <w:gridCol w:w="2160"/>
        <w:gridCol w:w="1680"/>
        <w:gridCol w:w="1680"/>
      </w:tblGrid>
      <w:tr>
        <w:tc>
          <w:tcPr>
            <w:tcW w:w="234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Slice / Role</w:t>
            </w:r>
          </w:p>
        </w:tc>
        <w:tc>
          <w:tcPr>
            <w:tcW w:w="150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Swatch</w:t>
            </w:r>
          </w:p>
        </w:tc>
        <w:tc>
          <w:tcPr>
            <w:tcW w:w="216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  <w:tc>
          <w:tcPr>
            <w:tcW w:w="168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RGB</w:t>
            </w:r>
          </w:p>
        </w:tc>
        <w:tc>
          <w:tcPr>
            <w:tcW w:w="168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Shade</w:t>
            </w:r>
          </w:p>
        </w:tc>
      </w:tr>
      <w:tr>
        <w:tc>
          <w:tcPr>
            <w:tcW w:w="2340" w:type="dxa"/>
          </w:tcPr>
          <w:p>
            <w:r>
              <w:rPr>
                <w:sz w:val="20"/>
              </w:rPr>
              <w:t>Dark Blue (top / shadow)</w:t>
            </w:r>
          </w:p>
        </w:tc>
        <w:tc>
          <w:tcPr>
            <w:tcW w:w="1500" w:type="dxa"/>
            <w:shd w:val="clear" w:fill="0B3D91"/>
          </w:tcPr>
          <w:p>
            <w:r>
              <w:t/>
            </w:r>
          </w:p>
        </w:tc>
        <w:tc>
          <w:tcPr>
            <w:tcW w:w="2160" w:type="dxa"/>
          </w:tcPr>
          <w:p>
            <w:r>
              <w:rPr>
                <w:sz w:val="20"/>
              </w:rPr>
              <w:t>#0B3D91</w:t>
            </w:r>
          </w:p>
        </w:tc>
        <w:tc>
          <w:tcPr>
            <w:tcW w:w="1680" w:type="dxa"/>
          </w:tcPr>
          <w:p>
            <w:r>
              <w:rPr>
                <w:sz w:val="20"/>
              </w:rPr>
              <w:t>11, 61, 145</w:t>
            </w:r>
          </w:p>
        </w:tc>
        <w:tc>
          <w:tcPr>
            <w:tcW w:w="1680" w:type="dxa"/>
          </w:tcPr>
          <w:p>
            <w:r>
              <w:rPr>
                <w:sz w:val="20"/>
              </w:rPr>
              <w:t>Dark</w:t>
            </w:r>
          </w:p>
        </w:tc>
      </w:tr>
      <w:tr>
        <w:tc>
          <w:tcPr>
            <w:tcW w:w="2340" w:type="dxa"/>
          </w:tcPr>
          <w:p>
            <w:r>
              <w:rPr>
                <w:sz w:val="20"/>
              </w:rPr>
              <w:t>Medium Blue (main face)</w:t>
            </w:r>
          </w:p>
        </w:tc>
        <w:tc>
          <w:tcPr>
            <w:tcW w:w="1500" w:type="dxa"/>
            <w:shd w:val="clear" w:fill="1E6FD9"/>
          </w:tcPr>
          <w:p>
            <w:r>
              <w:t/>
            </w:r>
          </w:p>
        </w:tc>
        <w:tc>
          <w:tcPr>
            <w:tcW w:w="2160" w:type="dxa"/>
          </w:tcPr>
          <w:p>
            <w:r>
              <w:rPr>
                <w:sz w:val="20"/>
              </w:rPr>
              <w:t>#1E6FD9</w:t>
            </w:r>
          </w:p>
        </w:tc>
        <w:tc>
          <w:tcPr>
            <w:tcW w:w="1680" w:type="dxa"/>
          </w:tcPr>
          <w:p>
            <w:r>
              <w:rPr>
                <w:sz w:val="20"/>
              </w:rPr>
              <w:t>30, 111, 217</w:t>
            </w:r>
          </w:p>
        </w:tc>
        <w:tc>
          <w:tcPr>
            <w:tcW w:w="1680" w:type="dxa"/>
          </w:tcPr>
          <w:p>
            <w:r>
              <w:rPr>
                <w:sz w:val="20"/>
              </w:rPr>
              <w:t>Medium</w:t>
            </w:r>
          </w:p>
        </w:tc>
      </w:tr>
      <w:tr>
        <w:tc>
          <w:tcPr>
            <w:tcW w:w="2340" w:type="dxa"/>
          </w:tcPr>
          <w:p>
            <w:r>
              <w:rPr>
                <w:sz w:val="20"/>
              </w:rPr>
              <w:t>Light Blue (highlight layer)</w:t>
            </w:r>
          </w:p>
        </w:tc>
        <w:tc>
          <w:tcPr>
            <w:tcW w:w="1500" w:type="dxa"/>
            <w:shd w:val="clear" w:fill="4FA3F7"/>
          </w:tcPr>
          <w:p>
            <w:r>
              <w:t/>
            </w:r>
          </w:p>
        </w:tc>
        <w:tc>
          <w:tcPr>
            <w:tcW w:w="2160" w:type="dxa"/>
          </w:tcPr>
          <w:p>
            <w:r>
              <w:rPr>
                <w:sz w:val="20"/>
              </w:rPr>
              <w:t>#4FA3F7</w:t>
            </w:r>
          </w:p>
        </w:tc>
        <w:tc>
          <w:tcPr>
            <w:tcW w:w="1680" w:type="dxa"/>
          </w:tcPr>
          <w:p>
            <w:r>
              <w:rPr>
                <w:sz w:val="20"/>
              </w:rPr>
              <w:t>79, 163, 247</w:t>
            </w:r>
          </w:p>
        </w:tc>
        <w:tc>
          <w:tcPr>
            <w:tcW w:w="1680" w:type="dxa"/>
          </w:tcPr>
          <w:p>
            <w:r>
              <w:rPr>
                <w:sz w:val="20"/>
              </w:rPr>
              <w:t>Light</w:t>
            </w:r>
          </w:p>
        </w:tc>
      </w:tr>
      <w:tr>
        <w:tc>
          <w:tcPr>
            <w:tcW w:w="2340" w:type="dxa"/>
          </w:tcPr>
          <w:p>
            <w:r>
              <w:rPr>
                <w:sz w:val="20"/>
              </w:rPr>
              <w:t>Dark Gray (shadow base)</w:t>
            </w:r>
          </w:p>
        </w:tc>
        <w:tc>
          <w:tcPr>
            <w:tcW w:w="1500" w:type="dxa"/>
            <w:shd w:val="clear" w:fill="2F3A4A"/>
          </w:tcPr>
          <w:p>
            <w:r>
              <w:t/>
            </w:r>
          </w:p>
        </w:tc>
        <w:tc>
          <w:tcPr>
            <w:tcW w:w="2160" w:type="dxa"/>
          </w:tcPr>
          <w:p>
            <w:r>
              <w:rPr>
                <w:sz w:val="20"/>
              </w:rPr>
              <w:t>#2F3A4A</w:t>
            </w:r>
          </w:p>
        </w:tc>
        <w:tc>
          <w:tcPr>
            <w:tcW w:w="1680" w:type="dxa"/>
          </w:tcPr>
          <w:p>
            <w:r>
              <w:rPr>
                <w:sz w:val="20"/>
              </w:rPr>
              <w:t>47, 58, 74</w:t>
            </w:r>
          </w:p>
        </w:tc>
        <w:tc>
          <w:tcPr>
            <w:tcW w:w="1680" w:type="dxa"/>
          </w:tcPr>
          <w:p>
            <w:r>
              <w:rPr>
                <w:sz w:val="20"/>
              </w:rPr>
              <w:t>Dark</w:t>
            </w:r>
          </w:p>
        </w:tc>
      </w:tr>
      <w:tr>
        <w:tc>
          <w:tcPr>
            <w:tcW w:w="2340" w:type="dxa"/>
          </w:tcPr>
          <w:p>
            <w:r>
              <w:rPr>
                <w:sz w:val="20"/>
              </w:rPr>
              <w:t>Light Gray (bottom layer)</w:t>
            </w:r>
          </w:p>
        </w:tc>
        <w:tc>
          <w:tcPr>
            <w:tcW w:w="1500" w:type="dxa"/>
            <w:shd w:val="clear" w:fill="BFC5CE"/>
          </w:tcPr>
          <w:p>
            <w:r>
              <w:t/>
            </w:r>
          </w:p>
        </w:tc>
        <w:tc>
          <w:tcPr>
            <w:tcW w:w="2160" w:type="dxa"/>
          </w:tcPr>
          <w:p>
            <w:r>
              <w:rPr>
                <w:sz w:val="20"/>
              </w:rPr>
              <w:t>#BFC5CE</w:t>
            </w:r>
          </w:p>
        </w:tc>
        <w:tc>
          <w:tcPr>
            <w:tcW w:w="1680" w:type="dxa"/>
          </w:tcPr>
          <w:p>
            <w:r>
              <w:rPr>
                <w:sz w:val="20"/>
              </w:rPr>
              <w:t>191, 197, 206</w:t>
            </w:r>
          </w:p>
        </w:tc>
        <w:tc>
          <w:tcPr>
            <w:tcW w:w="1680" w:type="dxa"/>
          </w:tcPr>
          <w:p>
            <w:r>
              <w:rPr>
                <w:sz w:val="20"/>
              </w:rPr>
              <w:t>Light</w:t>
            </w:r>
          </w:p>
        </w:tc>
      </w:tr>
    </w:tbl>
    <w:p>
      <w:pPr>
        <w:pStyle w:val="Heading2"/>
        <w:spacing w:before="240" w:after="140"/>
        <w:outlineLvl w:val="1"/>
      </w:pPr>
      <w:r>
        <w:rPr>
          <w:b/>
          <w:color w:val="1A3A8C"/>
          <w:sz w:val="26"/>
          <w:szCs w:val="26"/>
        </w:rPr>
        <w:t>10.2 Applied Website Theme Colors (Final)</w:t>
      </w:r>
    </w:p>
    <w:p>
      <w:pPr>
        <w:spacing w:after="120"/>
      </w:pPr>
      <w:r>
        <w:rPr>
          <w:sz w:val="22"/>
          <w:szCs w:val="22"/>
        </w:rPr>
        <w:t>Final colors selected from the palette above, mapped to the three content sections. The mapping follows the logo’s vertical order (bottom to top) and the conceptual flow Research (foundation) → Industry (production) → Case Studies (application/use):</w:t>
      </w:r>
    </w:p>
    <w:tbl>
      <w:tblPr>
        <w:tblW w:w="936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800"/>
        <w:gridCol w:w="1500"/>
        <w:gridCol w:w="1860"/>
        <w:gridCol w:w="2100"/>
        <w:gridCol w:w="2100"/>
      </w:tblGrid>
      <w:tr>
        <w:tc>
          <w:tcPr>
            <w:tcW w:w="180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w="150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Swatch</w:t>
            </w:r>
          </w:p>
        </w:tc>
        <w:tc>
          <w:tcPr>
            <w:tcW w:w="186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Hex (text/accent)</w:t>
            </w:r>
          </w:p>
        </w:tc>
        <w:tc>
          <w:tcPr>
            <w:tcW w:w="210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Light Hex (bg/tags)</w:t>
            </w:r>
          </w:p>
        </w:tc>
        <w:tc>
          <w:tcPr>
            <w:tcW w:w="210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CSS Variable</w:t>
            </w:r>
          </w:p>
        </w:tc>
      </w:tr>
      <w:tr>
        <w:tc>
          <w:tcPr>
            <w:tcW w:w="1800" w:type="dxa"/>
          </w:tcPr>
          <w:p>
            <w:r>
              <w:rPr>
                <w:sz w:val="20"/>
              </w:rPr>
              <w:t>Research</w:t>
            </w:r>
          </w:p>
        </w:tc>
        <w:tc>
          <w:tcPr>
            <w:tcW w:w="1500" w:type="dxa"/>
            <w:shd w:val="clear" w:fill="8A94A0"/>
          </w:tcPr>
          <w:p>
            <w:r>
              <w:t/>
            </w:r>
          </w:p>
        </w:tc>
        <w:tc>
          <w:tcPr>
            <w:tcW w:w="1860" w:type="dxa"/>
          </w:tcPr>
          <w:p>
            <w:r>
              <w:rPr>
                <w:sz w:val="20"/>
              </w:rPr>
              <w:t>#8A94A0 (mid-gray)</w:t>
            </w:r>
          </w:p>
        </w:tc>
        <w:tc>
          <w:tcPr>
            <w:tcW w:w="2100" w:type="dxa"/>
          </w:tcPr>
          <w:p>
            <w:r>
              <w:rPr>
                <w:sz w:val="20"/>
              </w:rPr>
              <w:t>#f3f4f6</w:t>
            </w:r>
          </w:p>
        </w:tc>
        <w:tc>
          <w:tcPr>
            <w:tcW w:w="2100" w:type="dxa"/>
          </w:tcPr>
          <w:p>
            <w:r>
              <w:rPr>
                <w:sz w:val="20"/>
              </w:rPr>
              <w:t>--section-research</w:t>
            </w:r>
          </w:p>
        </w:tc>
      </w:tr>
      <w:tr>
        <w:tc>
          <w:tcPr>
            <w:tcW w:w="1800" w:type="dxa"/>
          </w:tcPr>
          <w:p>
            <w:r>
              <w:rPr>
                <w:sz w:val="20"/>
              </w:rPr>
              <w:t>Industry</w:t>
            </w:r>
          </w:p>
        </w:tc>
        <w:tc>
          <w:tcPr>
            <w:tcW w:w="1500" w:type="dxa"/>
            <w:shd w:val="clear" w:fill="4FA3F7"/>
          </w:tcPr>
          <w:p>
            <w:r>
              <w:t/>
            </w:r>
          </w:p>
        </w:tc>
        <w:tc>
          <w:tcPr>
            <w:tcW w:w="1860" w:type="dxa"/>
          </w:tcPr>
          <w:p>
            <w:r>
              <w:rPr>
                <w:sz w:val="20"/>
              </w:rPr>
              <w:t>#4FA3F7 (light blue)</w:t>
            </w:r>
          </w:p>
        </w:tc>
        <w:tc>
          <w:tcPr>
            <w:tcW w:w="2100" w:type="dxa"/>
          </w:tcPr>
          <w:p>
            <w:r>
              <w:rPr>
                <w:sz w:val="20"/>
              </w:rPr>
              <w:t>#eaf3fe</w:t>
            </w:r>
          </w:p>
        </w:tc>
        <w:tc>
          <w:tcPr>
            <w:tcW w:w="2100" w:type="dxa"/>
          </w:tcPr>
          <w:p>
            <w:r>
              <w:rPr>
                <w:sz w:val="20"/>
              </w:rPr>
              <w:t>--section-industry</w:t>
            </w:r>
          </w:p>
        </w:tc>
      </w:tr>
      <w:tr>
        <w:tc>
          <w:tcPr>
            <w:tcW w:w="1800" w:type="dxa"/>
          </w:tcPr>
          <w:p>
            <w:r>
              <w:rPr>
                <w:sz w:val="20"/>
              </w:rPr>
              <w:t>Case Studies</w:t>
            </w:r>
          </w:p>
        </w:tc>
        <w:tc>
          <w:tcPr>
            <w:tcW w:w="1500" w:type="dxa"/>
            <w:shd w:val="clear" w:fill="1E6FD9"/>
          </w:tcPr>
          <w:p>
            <w:r>
              <w:t/>
            </w:r>
          </w:p>
        </w:tc>
        <w:tc>
          <w:tcPr>
            <w:tcW w:w="1860" w:type="dxa"/>
          </w:tcPr>
          <w:p>
            <w:r>
              <w:rPr>
                <w:sz w:val="20"/>
              </w:rPr>
              <w:t>#1E6FD9 (medium blue)</w:t>
            </w:r>
          </w:p>
        </w:tc>
        <w:tc>
          <w:tcPr>
            <w:tcW w:w="2100" w:type="dxa"/>
          </w:tcPr>
          <w:p>
            <w:r>
              <w:rPr>
                <w:sz w:val="20"/>
              </w:rPr>
              <w:t>#e7f0fc</w:t>
            </w:r>
          </w:p>
        </w:tc>
        <w:tc>
          <w:tcPr>
            <w:tcW w:w="2100" w:type="dxa"/>
          </w:tcPr>
          <w:p>
            <w:r>
              <w:rPr>
                <w:sz w:val="20"/>
              </w:rPr>
              <w:t>--section-applications</w:t>
            </w:r>
          </w:p>
        </w:tc>
      </w:tr>
    </w:tbl>
    <w:p>
      <w:pPr>
        <w:spacing w:after="120" w:before="120"/>
      </w:pPr>
      <w:r>
        <w:rPr>
          <w:i/>
          <w:sz w:val="22"/>
          <w:szCs w:val="22"/>
        </w:rPr>
        <w:t>Note: the CSS variable for Case Studies is named --section-applications in custom.css for historical reasons (the section was briefly named “Applications” before settling on “Case Studies”). Functionally it controls the Case Studies section color.</w:t>
      </w:r>
    </w:p>
    <w:p>
      <w:pPr>
        <w:pStyle w:val="Heading2"/>
        <w:spacing w:before="240" w:after="140"/>
        <w:outlineLvl w:val="1"/>
      </w:pPr>
      <w:r>
        <w:rPr>
          <w:b/>
          <w:color w:val="1A3A8C"/>
          <w:sz w:val="26"/>
          <w:szCs w:val="26"/>
        </w:rPr>
        <w:t>10.3 Core Site Colors (Non-Section)</w:t>
      </w:r>
    </w:p>
    <w:tbl>
      <w:tblPr>
        <w:tblW w:w="936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20"/>
        <w:gridCol w:w="1500"/>
        <w:gridCol w:w="2520"/>
        <w:gridCol w:w="2820"/>
      </w:tblGrid>
      <w:tr>
        <w:tc>
          <w:tcPr>
            <w:tcW w:w="252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w="150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Swatch</w:t>
            </w:r>
          </w:p>
        </w:tc>
        <w:tc>
          <w:tcPr>
            <w:tcW w:w="252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  <w:tc>
          <w:tcPr>
            <w:tcW w:w="2820" w:type="dxa"/>
            <w:shd w:val="clear" w:fill="1A1A2E"/>
          </w:tcPr>
          <w:p>
            <w:r>
              <w:rPr>
                <w:b/>
                <w:color w:val="FFFFFF"/>
                <w:sz w:val="20"/>
              </w:rPr>
              <w:t>Used For</w:t>
            </w:r>
          </w:p>
        </w:tc>
      </w:tr>
      <w:tr>
        <w:tc>
          <w:tcPr>
            <w:tcW w:w="2520" w:type="dxa"/>
          </w:tcPr>
          <w:p>
            <w:r>
              <w:rPr>
                <w:sz w:val="20"/>
              </w:rPr>
              <w:t>Primary accent</w:t>
            </w:r>
          </w:p>
        </w:tc>
        <w:tc>
          <w:tcPr>
            <w:tcW w:w="1500" w:type="dxa"/>
            <w:shd w:val="clear" w:fill="0077FF"/>
          </w:tcPr>
          <w:p>
            <w:r>
              <w:t/>
            </w:r>
          </w:p>
        </w:tc>
        <w:tc>
          <w:tcPr>
            <w:tcW w:w="2520" w:type="dxa"/>
          </w:tcPr>
          <w:p>
            <w:r>
              <w:rPr>
                <w:sz w:val="20"/>
              </w:rPr>
              <w:t>#0077FF</w:t>
            </w:r>
          </w:p>
        </w:tc>
        <w:tc>
          <w:tcPr>
            <w:tcW w:w="2820" w:type="dxa"/>
          </w:tcPr>
          <w:p>
            <w:r>
              <w:rPr>
                <w:sz w:val="20"/>
              </w:rPr>
              <w:t>Buttons, links, CTAs, hero badge</w:t>
            </w:r>
          </w:p>
        </w:tc>
      </w:tr>
      <w:tr>
        <w:tc>
          <w:tcPr>
            <w:tcW w:w="2520" w:type="dxa"/>
          </w:tcPr>
          <w:p>
            <w:r>
              <w:rPr>
                <w:sz w:val="20"/>
              </w:rPr>
              <w:t>Header / dark sections</w:t>
            </w:r>
          </w:p>
        </w:tc>
        <w:tc>
          <w:tcPr>
            <w:tcW w:w="1500" w:type="dxa"/>
            <w:shd w:val="clear" w:fill="0D0D1A"/>
          </w:tcPr>
          <w:p>
            <w:r>
              <w:t/>
            </w:r>
          </w:p>
        </w:tc>
        <w:tc>
          <w:tcPr>
            <w:tcW w:w="2520" w:type="dxa"/>
          </w:tcPr>
          <w:p>
            <w:r>
              <w:rPr>
                <w:sz w:val="20"/>
              </w:rPr>
              <w:t>#0D0D1A / #1A1A2E</w:t>
            </w:r>
          </w:p>
        </w:tc>
        <w:tc>
          <w:tcPr>
            <w:tcW w:w="2820" w:type="dxa"/>
          </w:tcPr>
          <w:p>
            <w:r>
              <w:rPr>
                <w:sz w:val="20"/>
              </w:rPr>
              <w:t>Nav bar, hero background, footer</w:t>
            </w:r>
          </w:p>
        </w:tc>
      </w:tr>
    </w:tbl>
    <w:p>
      <w:pPr>
        <w:spacing w:after="120" w:before="120"/>
      </w:pPr>
      <w:r>
        <w:rPr>
          <w:sz w:val="22"/>
          <w:szCs w:val="22"/>
        </w:rPr>
        <w:t>Fonts: Space Grotesk (display/headings), Inter (body) — both via Google Fonts with Segoe UI / Arial fallback.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77FF" w:sz="6" w:space="4"/>
      </w:pBdr>
      <w:spacing w:after="200" w:before="36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1A3A8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2026-06-12T01:02:20.905Z</dcterms:created>
  <dcterms:modified xsi:type="dcterms:W3CDTF">2026-06-12T01:02:20.905Z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