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720"/>
        <w:jc w:val="center"/>
      </w:pPr>
      <w:r>
        <w:drawing>
          <wp:inline xmlns:a="http://schemas.openxmlformats.org/drawingml/2006/main" xmlns:pic="http://schemas.openxmlformats.org/drawingml/2006/picture">
            <wp:extent cx="3474720" cy="768874"/>
            <wp:docPr id="1" name="Picture 1"/>
            <wp:cNvGraphicFramePr>
              <a:graphicFrameLocks noChangeAspect="1"/>
            </wp:cNvGraphicFramePr>
            <a:graphic>
              <a:graphicData uri="http://schemas.openxmlformats.org/drawingml/2006/picture">
                <pic:pic>
                  <pic:nvPicPr>
                    <pic:cNvPr id="0" name="Nexostrat_Logo_Fondo_Arctic_Transparente.png"/>
                    <pic:cNvPicPr/>
                  </pic:nvPicPr>
                  <pic:blipFill>
                    <a:blip r:embed="rId9"/>
                    <a:stretch>
                      <a:fillRect/>
                    </a:stretch>
                  </pic:blipFill>
                  <pic:spPr>
                    <a:xfrm>
                      <a:off x="0" y="0"/>
                      <a:ext cx="3474720" cy="768874"/>
                    </a:xfrm>
                    <a:prstGeom prst="rect"/>
                  </pic:spPr>
                </pic:pic>
              </a:graphicData>
            </a:graphic>
          </wp:inline>
        </w:drawing>
      </w:r>
    </w:p>
    <w:p>
      <w:pPr>
        <w:spacing w:before="240" w:after="120"/>
        <w:jc w:val="center"/>
      </w:pPr>
      <w:r>
        <w:rPr>
          <w:b/>
          <w:color w:val="0C1A2E"/>
          <w:sz w:val="56"/>
        </w:rPr>
        <w:t>Análisis de Industria: LOGÍSTICA CROSS-BORDER + AGENCIA ADUANAL</w:t>
      </w:r>
    </w:p>
    <w:p>
      <w:pPr>
        <w:spacing w:after="80"/>
        <w:jc w:val="center"/>
      </w:pPr>
      <w:r>
        <w:rPr>
          <w:color w:val="6B7280"/>
          <w:sz w:val="26"/>
        </w:rPr>
        <w:t>Colombia</w:t>
      </w:r>
    </w:p>
    <w:p>
      <w:pPr>
        <w:jc w:val="center"/>
      </w:pPr>
      <w:r>
        <w:rPr>
          <w:i/>
          <w:color w:val="6B7280"/>
          <w:sz w:val="20"/>
        </w:rPr>
        <w:t>Nexostrat — Uso Interno  ·  18 May 2026</w:t>
      </w:r>
    </w:p>
    <w:p>
      <w:r>
        <w:br w:type="page"/>
      </w:r>
    </w:p>
    <w:p>
      <w:pPr>
        <w:spacing w:before="80" w:after="40"/>
      </w:pPr>
      <w:r>
        <w:rPr>
          <w:b/>
          <w:color w:val="0C1A2E"/>
          <w:sz w:val="20"/>
        </w:rPr>
        <w:t>México · Mayo 2026</w:t>
      </w:r>
    </w:p>
    <w:p>
      <w:pPr>
        <w:spacing w:before="20" w:after="60"/>
      </w:pPr>
      <w:r>
        <w:rPr>
          <w:b/>
          <w:color w:val="1A1A1A"/>
          <w:sz w:val="20"/>
        </w:rPr>
        <w:t>Preparado por:</w:t>
      </w:r>
      <w:r>
        <w:rPr>
          <w:color w:val="1A1A1A"/>
          <w:sz w:val="20"/>
        </w:rPr>
        <w:t xml:space="preserve"> Nexostrat — Uso Interno</w:t>
      </w:r>
    </w:p>
    <w:p>
      <w:pPr>
        <w:spacing w:before="20" w:after="60"/>
      </w:pPr>
      <w:r>
        <w:rPr>
          <w:b/>
          <w:color w:val="1A1A1A"/>
          <w:sz w:val="20"/>
        </w:rPr>
        <w:t>Reutilizable para prospectos del sector hasta:</w:t>
      </w:r>
      <w:r>
        <w:rPr>
          <w:color w:val="1A1A1A"/>
          <w:sz w:val="20"/>
        </w:rPr>
        <w:t xml:space="preserve"> Dic 2026 (revisión semestral recomendada por la rápida evolución regulatoria 2025-2026)</w:t>
      </w:r>
    </w:p>
    <w:p>
      <w:pPr>
        <w:spacing w:before="20" w:after="60"/>
      </w:pPr>
      <w:r>
        <w:rPr>
          <w:color w:val="1A1A1A"/>
          <w:sz w:val="20"/>
        </w:rPr>
        <w:t xml:space="preserve">&gt; </w:t>
      </w:r>
      <w:r>
        <w:rPr>
          <w:b/>
          <w:color w:val="1A1A1A"/>
          <w:sz w:val="20"/>
        </w:rPr>
        <w:t>Contexto del trigger:</w:t>
      </w:r>
      <w:r>
        <w:rPr>
          <w:color w:val="1A1A1A"/>
          <w:sz w:val="20"/>
        </w:rPr>
        <w:t xml:space="preserve"> Este reporte se generó a partir del análisis de la compañía Trix Importaciones Comerciales S. de R.L. de C.V. / Grupo Trixx / Trixx Logistics Corp (pipeline trixx-logistics, sede Tijuana B.C., +24 años, flota propia + 5 sedes MX-USA, USDOT 2045279). El sector se define en función de su nicho real: </w:t>
      </w:r>
      <w:r>
        <w:rPr>
          <w:b/>
          <w:color w:val="1A1A1A"/>
          <w:sz w:val="20"/>
        </w:rPr>
        <w:t>logística cross-border México-Estados Unidos con agencia aduanal mexicana + flota terrestre + warehousing multi-sede + import-as-a-service</w:t>
      </w:r>
      <w:r>
        <w:rPr>
          <w:color w:val="1A1A1A"/>
          <w:sz w:val="20"/>
        </w:rPr>
        <w:t>. Reutilizable para futuros prospectos en SCIAN 484 (autotransporte de carga) + 488510 (agencias aduanales) + 493 (almacenamiento) operando en el corredor MX-USA.</w:t>
      </w:r>
    </w:p>
    <w:p>
      <w:pPr>
        <w:spacing w:before="40" w:after="40"/>
      </w:pPr>
    </w:p>
    <w:p>
      <w:pPr>
        <w:spacing w:before="280" w:after="60"/>
        <w:pBdr>
          <w:bottom w:val="single" w:sz="4" w:space="1" w:color="0EA5E9"/>
        </w:pBdr>
      </w:pPr>
      <w:r>
        <w:rPr>
          <w:b/>
          <w:color w:val="0EA5E9"/>
          <w:sz w:val="28"/>
        </w:rPr>
        <w:t>1. CARACTERIZACIÓN DEL SECTOR</w:t>
      </w:r>
    </w:p>
    <w:p>
      <w:pPr>
        <w:spacing w:before="160" w:after="40"/>
      </w:pPr>
      <w:r>
        <w:rPr>
          <w:b/>
          <w:color w:val="6B7280"/>
          <w:sz w:val="22"/>
        </w:rPr>
        <w:t>Definición y alcance</w:t>
      </w:r>
    </w:p>
    <w:p>
      <w:pPr>
        <w:spacing w:before="20" w:after="60"/>
      </w:pPr>
      <w:r>
        <w:rPr>
          <w:color w:val="1A1A1A"/>
          <w:sz w:val="20"/>
        </w:rPr>
        <w:t xml:space="preserve">El sector cubre tres actividades económicas interconectadas, todas codificadas en el </w:t>
      </w:r>
      <w:r>
        <w:rPr>
          <w:b/>
          <w:color w:val="1A1A1A"/>
          <w:sz w:val="20"/>
        </w:rPr>
        <w:t>Sistema de Clasificación Industrial de América del Norte (SCIAN)</w:t>
      </w:r>
      <w:r>
        <w:rPr>
          <w:color w:val="1A1A1A"/>
          <w:sz w:val="20"/>
        </w:rPr>
        <w:t xml:space="preserve"> de INEGI:</w:t>
      </w:r>
    </w:p>
    <w:p>
      <w:pPr>
        <w:pStyle w:val="ListBullet"/>
        <w:spacing w:before="0" w:after="40"/>
      </w:pPr>
      <w:r>
        <w:rPr>
          <w:b/>
          <w:color w:val="1A1A1A"/>
          <w:sz w:val="20"/>
        </w:rPr>
        <w:t>SCIAN 484 — Autotransporte de carga.</w:t>
      </w:r>
      <w:r>
        <w:rPr>
          <w:color w:val="1A1A1A"/>
          <w:sz w:val="20"/>
        </w:rPr>
        <w:t xml:space="preserve"> Servicios de transporte terrestre de mercancías por carretera. Incluye carga general, especializada (peligrosa, frío, sobredimensionada), foránea y local.</w:t>
      </w:r>
    </w:p>
    <w:p>
      <w:pPr>
        <w:pStyle w:val="ListBullet"/>
        <w:spacing w:before="0" w:after="40"/>
      </w:pPr>
      <w:r>
        <w:rPr>
          <w:b/>
          <w:color w:val="1A1A1A"/>
          <w:sz w:val="20"/>
        </w:rPr>
        <w:t>SCIAN 488510 — Servicios de agencias aduanales.</w:t>
      </w:r>
      <w:r>
        <w:rPr>
          <w:color w:val="1A1A1A"/>
          <w:sz w:val="20"/>
        </w:rPr>
        <w:t xml:space="preserve"> Agentes y agencias autorizados por la SHCP/SAT para tramitar despachos aduaneros en nombre de importadores y exportadores.</w:t>
      </w:r>
    </w:p>
    <w:p>
      <w:pPr>
        <w:pStyle w:val="ListBullet"/>
        <w:spacing w:before="0" w:after="40"/>
      </w:pPr>
      <w:r>
        <w:rPr>
          <w:b/>
          <w:color w:val="1A1A1A"/>
          <w:sz w:val="20"/>
        </w:rPr>
        <w:t>SCIAN 493 — Servicios de almacenamiento.</w:t>
      </w:r>
      <w:r>
        <w:rPr>
          <w:color w:val="1A1A1A"/>
          <w:sz w:val="20"/>
        </w:rPr>
        <w:t xml:space="preserve"> Almacenes generales, recintos fiscalizados, depósitos de mercancía en tránsito.</w:t>
      </w:r>
    </w:p>
    <w:p>
      <w:pPr>
        <w:spacing w:before="20" w:after="60"/>
      </w:pPr>
      <w:r>
        <w:rPr>
          <w:color w:val="1A1A1A"/>
          <w:sz w:val="20"/>
        </w:rPr>
        <w:t xml:space="preserve">&gt; 🔍 </w:t>
      </w:r>
      <w:r>
        <w:rPr>
          <w:b/>
          <w:color w:val="1A1A1A"/>
          <w:sz w:val="20"/>
        </w:rPr>
        <w:t>Análisis:</w:t>
      </w:r>
      <w:r>
        <w:rPr>
          <w:color w:val="1A1A1A"/>
          <w:sz w:val="20"/>
        </w:rPr>
        <w:t xml:space="preserve"> Una empresa como Trixx opera simultáneamente en los tres SCIAN — y eso NO es típico. La mayoría de empresas del sector se especializa en uno: o son flota pura (484), o son agente aduanal puro (488510), o son operador de almacén puro (493). La integración vertical es defensible competitivamente pero también compleja operacionalmente.</w:t>
      </w:r>
    </w:p>
    <w:p>
      <w:pPr>
        <w:spacing w:before="20" w:after="60"/>
      </w:pPr>
      <w:r>
        <w:rPr>
          <w:color w:val="1A1A1A"/>
          <w:sz w:val="20"/>
        </w:rPr>
        <w:t>Se EXCLUYE de este análisis: transporte aéreo (SCIAN 481), ferroviario (SCIAN 482), marítimo (SCIAN 483) y por ductos (SCIAN 486). Aunque empresas como Trixx ofrecen freight forwarding multimodal, su core operativo y su ventaja competitiva está en el modo terrestre cross-border + customs.</w:t>
      </w:r>
    </w:p>
    <w:p>
      <w:pPr>
        <w:spacing w:before="160" w:after="40"/>
      </w:pPr>
      <w:r>
        <w:rPr>
          <w:b/>
          <w:color w:val="6B7280"/>
          <w:sz w:val="22"/>
        </w:rPr>
        <w:t>Subsectores principales relevantes a este nicho</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C1A2E"/>
          </w:tcPr>
          <w:p>
            <w:pPr>
              <w:spacing w:before="40" w:after="40"/>
            </w:pPr>
            <w:r>
              <w:rPr>
                <w:b/>
                <w:color w:val="FFFFFF"/>
                <w:sz w:val="18"/>
              </w:rPr>
              <w:t>Subsector</w:t>
            </w:r>
          </w:p>
        </w:tc>
        <w:tc>
          <w:tcPr>
            <w:tcW w:type="dxa" w:w="3022"/>
            <w:shd w:val="clear" w:color="auto" w:fill="0C1A2E"/>
          </w:tcPr>
          <w:p>
            <w:pPr>
              <w:spacing w:before="40" w:after="40"/>
            </w:pPr>
            <w:r>
              <w:rPr>
                <w:b/>
                <w:color w:val="FFFFFF"/>
                <w:sz w:val="18"/>
              </w:rPr>
              <w:t>Descripción</w:t>
            </w:r>
          </w:p>
        </w:tc>
        <w:tc>
          <w:tcPr>
            <w:tcW w:type="dxa" w:w="3022"/>
            <w:shd w:val="clear" w:color="auto" w:fill="0C1A2E"/>
          </w:tcPr>
          <w:p>
            <w:pPr>
              <w:spacing w:before="40" w:after="40"/>
            </w:pPr>
            <w:r>
              <w:rPr>
                <w:b/>
                <w:color w:val="FFFFFF"/>
                <w:sz w:val="18"/>
              </w:rPr>
              <w:t>Tamaño relativo en el cluster</w:t>
            </w:r>
          </w:p>
        </w:tc>
      </w:tr>
      <w:tr>
        <w:tc>
          <w:tcPr>
            <w:tcW w:type="dxa" w:w="3022"/>
            <w:shd w:val="clear" w:color="auto" w:fill="FFFFFF"/>
          </w:tcPr>
          <w:p>
            <w:pPr>
              <w:spacing w:before="40" w:after="40"/>
            </w:pPr>
            <w:r>
              <w:rPr>
                <w:color w:val="1A1A1A"/>
                <w:sz w:val="18"/>
              </w:rPr>
              <w:t>Autotransporte de carga general</w:t>
            </w:r>
          </w:p>
        </w:tc>
        <w:tc>
          <w:tcPr>
            <w:tcW w:type="dxa" w:w="3022"/>
            <w:shd w:val="clear" w:color="auto" w:fill="FFFFFF"/>
          </w:tcPr>
          <w:p>
            <w:pPr>
              <w:spacing w:before="40" w:after="40"/>
            </w:pPr>
            <w:r>
              <w:rPr>
                <w:color w:val="1A1A1A"/>
                <w:sz w:val="18"/>
              </w:rPr>
              <w:t>Carga consolidada, LTL/FTL, distribución</w:t>
            </w:r>
          </w:p>
        </w:tc>
        <w:tc>
          <w:tcPr>
            <w:tcW w:type="dxa" w:w="3022"/>
            <w:shd w:val="clear" w:color="auto" w:fill="FFFFFF"/>
          </w:tcPr>
          <w:p>
            <w:pPr>
              <w:spacing w:before="40" w:after="40"/>
            </w:pPr>
            <w:r>
              <w:rPr>
                <w:color w:val="1A1A1A"/>
                <w:sz w:val="18"/>
              </w:rPr>
              <w:t>Más grande (~50% del PIB de transporte de carga)</w:t>
            </w:r>
          </w:p>
        </w:tc>
      </w:tr>
      <w:tr>
        <w:tc>
          <w:tcPr>
            <w:tcW w:type="dxa" w:w="3022"/>
            <w:shd w:val="clear" w:color="auto" w:fill="EBF3FA"/>
          </w:tcPr>
          <w:p>
            <w:pPr>
              <w:spacing w:before="40" w:after="40"/>
            </w:pPr>
            <w:r>
              <w:rPr>
                <w:color w:val="1A1A1A"/>
                <w:sz w:val="18"/>
              </w:rPr>
              <w:t>Autotransporte especializado</w:t>
            </w:r>
          </w:p>
        </w:tc>
        <w:tc>
          <w:tcPr>
            <w:tcW w:type="dxa" w:w="3022"/>
            <w:shd w:val="clear" w:color="auto" w:fill="EBF3FA"/>
          </w:tcPr>
          <w:p>
            <w:pPr>
              <w:spacing w:before="40" w:after="40"/>
            </w:pPr>
            <w:r>
              <w:rPr>
                <w:color w:val="1A1A1A"/>
                <w:sz w:val="18"/>
              </w:rPr>
              <w:t>Peligrosa, refrigerada, sobredimensionada, automóviles</w:t>
            </w:r>
          </w:p>
        </w:tc>
        <w:tc>
          <w:tcPr>
            <w:tcW w:type="dxa" w:w="3022"/>
            <w:shd w:val="clear" w:color="auto" w:fill="EBF3FA"/>
          </w:tcPr>
          <w:p>
            <w:pPr>
              <w:spacing w:before="40" w:after="40"/>
            </w:pPr>
            <w:r>
              <w:rPr>
                <w:color w:val="1A1A1A"/>
                <w:sz w:val="18"/>
              </w:rPr>
              <w:t>Crecimiento más alto en 2024 (+38.8% YoY)</w:t>
            </w:r>
          </w:p>
        </w:tc>
      </w:tr>
      <w:tr>
        <w:tc>
          <w:tcPr>
            <w:tcW w:type="dxa" w:w="3022"/>
            <w:shd w:val="clear" w:color="auto" w:fill="FFFFFF"/>
          </w:tcPr>
          <w:p>
            <w:pPr>
              <w:spacing w:before="40" w:after="40"/>
            </w:pPr>
            <w:r>
              <w:rPr>
                <w:color w:val="1A1A1A"/>
                <w:sz w:val="18"/>
              </w:rPr>
              <w:t>Agencias aduanales fronterizas</w:t>
            </w:r>
          </w:p>
        </w:tc>
        <w:tc>
          <w:tcPr>
            <w:tcW w:type="dxa" w:w="3022"/>
            <w:shd w:val="clear" w:color="auto" w:fill="FFFFFF"/>
          </w:tcPr>
          <w:p>
            <w:pPr>
              <w:spacing w:before="40" w:after="40"/>
            </w:pPr>
            <w:r>
              <w:rPr>
                <w:color w:val="1A1A1A"/>
                <w:sz w:val="18"/>
              </w:rPr>
              <w:t>Agencias con presencia física en aduanas terrestres (Tijuana, Ciudad Juárez, Nuevo Laredo, Mexicali, Reynosa)</w:t>
            </w:r>
          </w:p>
        </w:tc>
        <w:tc>
          <w:tcPr>
            <w:tcW w:type="dxa" w:w="3022"/>
            <w:shd w:val="clear" w:color="auto" w:fill="FFFFFF"/>
          </w:tcPr>
          <w:p>
            <w:pPr>
              <w:spacing w:before="40" w:after="40"/>
            </w:pPr>
            <w:r>
              <w:rPr>
                <w:color w:val="1A1A1A"/>
                <w:sz w:val="18"/>
              </w:rPr>
              <w:t>Concentrado en frontera norte; alto valor por operación</w:t>
            </w:r>
          </w:p>
        </w:tc>
      </w:tr>
      <w:tr>
        <w:tc>
          <w:tcPr>
            <w:tcW w:type="dxa" w:w="3022"/>
            <w:shd w:val="clear" w:color="auto" w:fill="EBF3FA"/>
          </w:tcPr>
          <w:p>
            <w:pPr>
              <w:spacing w:before="40" w:after="40"/>
            </w:pPr>
            <w:r>
              <w:rPr>
                <w:color w:val="1A1A1A"/>
                <w:sz w:val="18"/>
              </w:rPr>
              <w:t>Almacenamiento fiscal / recintos</w:t>
            </w:r>
          </w:p>
        </w:tc>
        <w:tc>
          <w:tcPr>
            <w:tcW w:type="dxa" w:w="3022"/>
            <w:shd w:val="clear" w:color="auto" w:fill="EBF3FA"/>
          </w:tcPr>
          <w:p>
            <w:pPr>
              <w:spacing w:before="40" w:after="40"/>
            </w:pPr>
            <w:r>
              <w:rPr>
                <w:color w:val="1A1A1A"/>
                <w:sz w:val="18"/>
              </w:rPr>
              <w:t>Depósitos previos al despacho aduanero</w:t>
            </w:r>
          </w:p>
        </w:tc>
        <w:tc>
          <w:tcPr>
            <w:tcW w:type="dxa" w:w="3022"/>
            <w:shd w:val="clear" w:color="auto" w:fill="EBF3FA"/>
          </w:tcPr>
          <w:p>
            <w:pPr>
              <w:spacing w:before="40" w:after="40"/>
            </w:pPr>
            <w:r>
              <w:rPr>
                <w:color w:val="1A1A1A"/>
                <w:sz w:val="18"/>
              </w:rPr>
              <w:t>Crítico para flujos China-MX y nearshoring inverso</w:t>
            </w:r>
          </w:p>
        </w:tc>
      </w:tr>
      <w:tr>
        <w:tc>
          <w:tcPr>
            <w:tcW w:type="dxa" w:w="3022"/>
            <w:shd w:val="clear" w:color="auto" w:fill="FFFFFF"/>
          </w:tcPr>
          <w:p>
            <w:pPr>
              <w:spacing w:before="40" w:after="40"/>
            </w:pPr>
            <w:r>
              <w:rPr>
                <w:color w:val="1A1A1A"/>
                <w:sz w:val="18"/>
              </w:rPr>
              <w:t>Cross-border drayage</w:t>
            </w:r>
          </w:p>
        </w:tc>
        <w:tc>
          <w:tcPr>
            <w:tcW w:type="dxa" w:w="3022"/>
            <w:shd w:val="clear" w:color="auto" w:fill="FFFFFF"/>
          </w:tcPr>
          <w:p>
            <w:pPr>
              <w:spacing w:before="40" w:after="40"/>
            </w:pPr>
            <w:r>
              <w:rPr>
                <w:color w:val="1A1A1A"/>
                <w:sz w:val="18"/>
              </w:rPr>
              <w:t>Trasiego corto entre lado mexicano y estadounidense de la frontera</w:t>
            </w:r>
          </w:p>
        </w:tc>
        <w:tc>
          <w:tcPr>
            <w:tcW w:type="dxa" w:w="3022"/>
            <w:shd w:val="clear" w:color="auto" w:fill="FFFFFF"/>
          </w:tcPr>
          <w:p>
            <w:pPr>
              <w:spacing w:before="40" w:after="40"/>
            </w:pPr>
            <w:r>
              <w:rPr>
                <w:color w:val="1A1A1A"/>
                <w:sz w:val="18"/>
              </w:rPr>
              <w:t>Especializado, alta densidad operacional</w:t>
            </w:r>
          </w:p>
        </w:tc>
      </w:tr>
      <w:tr>
        <w:tc>
          <w:tcPr>
            <w:tcW w:type="dxa" w:w="3022"/>
            <w:shd w:val="clear" w:color="auto" w:fill="EBF3FA"/>
          </w:tcPr>
          <w:p>
            <w:pPr>
              <w:spacing w:before="40" w:after="40"/>
            </w:pPr>
            <w:r>
              <w:rPr>
                <w:color w:val="1A1A1A"/>
                <w:sz w:val="18"/>
              </w:rPr>
              <w:t>Last-mile B2C cross-border</w:t>
            </w:r>
          </w:p>
        </w:tc>
        <w:tc>
          <w:tcPr>
            <w:tcW w:type="dxa" w:w="3022"/>
            <w:shd w:val="clear" w:color="auto" w:fill="EBF3FA"/>
          </w:tcPr>
          <w:p>
            <w:pPr>
              <w:spacing w:before="40" w:after="40"/>
            </w:pPr>
            <w:r>
              <w:rPr>
                <w:color w:val="1A1A1A"/>
                <w:sz w:val="18"/>
              </w:rPr>
              <w:t>Entrega final a consumidor MX después del despacho</w:t>
            </w:r>
          </w:p>
        </w:tc>
        <w:tc>
          <w:tcPr>
            <w:tcW w:type="dxa" w:w="3022"/>
            <w:shd w:val="clear" w:color="auto" w:fill="EBF3FA"/>
          </w:tcPr>
          <w:p>
            <w:pPr>
              <w:spacing w:before="40" w:after="40"/>
            </w:pPr>
            <w:r>
              <w:rPr>
                <w:color w:val="1A1A1A"/>
                <w:sz w:val="18"/>
              </w:rPr>
              <w:t>Crecimiento acelerado por e-commerce</w:t>
            </w:r>
          </w:p>
        </w:tc>
      </w:tr>
    </w:tbl>
    <w:p/>
    <w:p>
      <w:pPr>
        <w:spacing w:before="160" w:after="40"/>
      </w:pPr>
      <w:r>
        <w:rPr>
          <w:b/>
          <w:color w:val="6B7280"/>
          <w:sz w:val="22"/>
        </w:rPr>
        <w:t>Tamaño del mercado en México</w:t>
      </w:r>
    </w:p>
    <w:p>
      <w:pPr>
        <w:pStyle w:val="ListBullet"/>
        <w:spacing w:before="0" w:after="40"/>
      </w:pPr>
      <w:r>
        <w:rPr>
          <w:color w:val="1A1A1A"/>
          <w:sz w:val="20"/>
        </w:rPr>
        <w:t xml:space="preserve">✅ </w:t>
      </w:r>
      <w:r>
        <w:rPr>
          <w:b/>
          <w:color w:val="1A1A1A"/>
          <w:sz w:val="20"/>
        </w:rPr>
        <w:t>PIB sectorial / participación nacional:</w:t>
      </w:r>
      <w:r>
        <w:rPr>
          <w:color w:val="1A1A1A"/>
          <w:sz w:val="20"/>
        </w:rPr>
        <w:t xml:space="preserve"> El autotransporte de carga aportó </w:t>
      </w:r>
      <w:r>
        <w:rPr>
          <w:b/>
          <w:color w:val="1A1A1A"/>
          <w:sz w:val="20"/>
        </w:rPr>
        <w:t>3.8% del PIB nacional</w:t>
      </w:r>
      <w:r>
        <w:rPr>
          <w:color w:val="1A1A1A"/>
          <w:sz w:val="20"/>
        </w:rPr>
        <w:t xml:space="preserve"> en 2025, equivalente al </w:t>
      </w:r>
      <w:r>
        <w:rPr>
          <w:b/>
          <w:color w:val="1A1A1A"/>
          <w:sz w:val="20"/>
        </w:rPr>
        <w:t>50.3% del PIB del sector transportes</w:t>
      </w:r>
      <w:r>
        <w:rPr>
          <w:color w:val="1A1A1A"/>
          <w:sz w:val="20"/>
        </w:rPr>
        <w:t>. Fuente: INEGI (Encuesta Anual de Transportes 2024 + reportes trimestrales del Sistema de Cuentas Nacionales).</w:t>
      </w:r>
    </w:p>
    <w:p>
      <w:pPr>
        <w:pStyle w:val="ListBullet"/>
        <w:spacing w:before="0" w:after="40"/>
      </w:pPr>
      <w:r>
        <w:rPr>
          <w:color w:val="1A1A1A"/>
          <w:sz w:val="20"/>
        </w:rPr>
        <w:t xml:space="preserve">✅ </w:t>
      </w:r>
      <w:r>
        <w:rPr>
          <w:b/>
          <w:color w:val="1A1A1A"/>
          <w:sz w:val="20"/>
        </w:rPr>
        <w:t>Valor del mercado de carga y logística:</w:t>
      </w:r>
      <w:r>
        <w:rPr>
          <w:color w:val="1A1A1A"/>
          <w:sz w:val="20"/>
        </w:rPr>
        <w:t xml:space="preserve"> Se estima en </w:t>
      </w:r>
      <w:r>
        <w:rPr>
          <w:b/>
          <w:color w:val="1A1A1A"/>
          <w:sz w:val="20"/>
        </w:rPr>
        <w:t>USD 92 mil millones en 2025</w:t>
      </w:r>
      <w:r>
        <w:rPr>
          <w:color w:val="1A1A1A"/>
          <w:sz w:val="20"/>
        </w:rPr>
        <w:t xml:space="preserve">, con proyección de </w:t>
      </w:r>
      <w:r>
        <w:rPr>
          <w:b/>
          <w:color w:val="1A1A1A"/>
          <w:sz w:val="20"/>
        </w:rPr>
        <w:t>USD 141 mil millones en 2034</w:t>
      </w:r>
      <w:r>
        <w:rPr>
          <w:color w:val="1A1A1A"/>
          <w:sz w:val="20"/>
        </w:rPr>
        <w:t xml:space="preserve"> (CAGR 4.41%). Fuente: agregados de la industria, reportes de mercado citados en thelogisticsworld.com y revistatyt.com.</w:t>
      </w:r>
    </w:p>
    <w:p>
      <w:pPr>
        <w:pStyle w:val="ListBullet"/>
        <w:spacing w:before="0" w:after="40"/>
      </w:pPr>
      <w:r>
        <w:rPr>
          <w:color w:val="1A1A1A"/>
          <w:sz w:val="20"/>
        </w:rPr>
        <w:t xml:space="preserve">✅ </w:t>
      </w:r>
      <w:r>
        <w:rPr>
          <w:b/>
          <w:color w:val="1A1A1A"/>
          <w:sz w:val="20"/>
        </w:rPr>
        <w:t>Volumen movilizado:</w:t>
      </w:r>
      <w:r>
        <w:rPr>
          <w:color w:val="1A1A1A"/>
          <w:sz w:val="20"/>
        </w:rPr>
        <w:t xml:space="preserve"> 430.3 millones de toneladas movilizadas entre octubre 2024 y junio 2025 (autotransporte de carga, INEGI).</w:t>
      </w:r>
    </w:p>
    <w:p>
      <w:pPr>
        <w:pStyle w:val="ListBullet"/>
        <w:spacing w:before="0" w:after="40"/>
      </w:pPr>
      <w:r>
        <w:rPr>
          <w:color w:val="1A1A1A"/>
          <w:sz w:val="20"/>
        </w:rPr>
        <w:t xml:space="preserve">✅ </w:t>
      </w:r>
      <w:r>
        <w:rPr>
          <w:b/>
          <w:color w:val="1A1A1A"/>
          <w:sz w:val="20"/>
        </w:rPr>
        <w:t>Número de empresas activas:</w:t>
      </w:r>
      <w:r>
        <w:rPr>
          <w:color w:val="1A1A1A"/>
          <w:sz w:val="20"/>
        </w:rPr>
        <w:t xml:space="preserve"> 219,464 permisionarios al cierre del primer semestre 2025, +4.6% vs jun 2024. Fuente: SCT/SICT vía CANACAR.</w:t>
      </w:r>
    </w:p>
    <w:p>
      <w:pPr>
        <w:pStyle w:val="ListBullet"/>
        <w:spacing w:before="0" w:after="40"/>
      </w:pPr>
      <w:r>
        <w:rPr>
          <w:color w:val="1A1A1A"/>
          <w:sz w:val="20"/>
        </w:rPr>
        <w:t xml:space="preserve">⚠️ </w:t>
      </w:r>
      <w:r>
        <w:rPr>
          <w:b/>
          <w:color w:val="1A1A1A"/>
          <w:sz w:val="20"/>
        </w:rPr>
        <w:t>Empleo directo:</w:t>
      </w:r>
      <w:r>
        <w:rPr>
          <w:color w:val="1A1A1A"/>
          <w:sz w:val="20"/>
        </w:rPr>
        <w:t xml:space="preserve"> Estimado en ~2 millones de personas (entre operadores, administrativos, logísticos) — cifra aproximada, no hay reporte oficial centralizado.</w:t>
      </w:r>
    </w:p>
    <w:p>
      <w:pPr>
        <w:pStyle w:val="ListBullet"/>
        <w:spacing w:before="0" w:after="40"/>
      </w:pPr>
      <w:r>
        <w:rPr>
          <w:color w:val="1A1A1A"/>
          <w:sz w:val="20"/>
        </w:rPr>
        <w:t xml:space="preserve">✅ </w:t>
      </w:r>
      <w:r>
        <w:rPr>
          <w:b/>
          <w:color w:val="1A1A1A"/>
          <w:sz w:val="20"/>
        </w:rPr>
        <w:t>Tasa de crecimiento reciente:</w:t>
      </w:r>
      <w:r>
        <w:rPr>
          <w:color w:val="1A1A1A"/>
          <w:sz w:val="20"/>
        </w:rPr>
        <w:t xml:space="preserve"> PIB sectorial creció </w:t>
      </w:r>
      <w:r>
        <w:rPr>
          <w:b/>
          <w:color w:val="1A1A1A"/>
          <w:sz w:val="20"/>
        </w:rPr>
        <w:t>+1.2% en 2024</w:t>
      </w:r>
      <w:r>
        <w:rPr>
          <w:color w:val="1A1A1A"/>
          <w:sz w:val="20"/>
        </w:rPr>
        <w:t xml:space="preserve"> (el menor ritmo en 4 años) y se estancó en </w:t>
      </w:r>
      <w:r>
        <w:rPr>
          <w:b/>
          <w:color w:val="1A1A1A"/>
          <w:sz w:val="20"/>
        </w:rPr>
        <w:t>+0.02% en 2025</w:t>
      </w:r>
      <w:r>
        <w:rPr>
          <w:color w:val="1A1A1A"/>
          <w:sz w:val="20"/>
        </w:rPr>
        <w:t>. Fuente: INEGI vía Revista TyT.</w:t>
      </w:r>
    </w:p>
    <w:p>
      <w:pPr>
        <w:pStyle w:val="ListBullet"/>
        <w:spacing w:before="0" w:after="40"/>
      </w:pPr>
      <w:r>
        <w:rPr>
          <w:color w:val="1A1A1A"/>
          <w:sz w:val="20"/>
        </w:rPr>
        <w:t xml:space="preserve">⚠️ </w:t>
      </w:r>
      <w:r>
        <w:rPr>
          <w:b/>
          <w:color w:val="1A1A1A"/>
          <w:sz w:val="20"/>
        </w:rPr>
        <w:t>Proyección 2024-2026 según CANACAR:</w:t>
      </w:r>
      <w:r>
        <w:rPr>
          <w:color w:val="1A1A1A"/>
          <w:sz w:val="20"/>
        </w:rPr>
        <w:t xml:space="preserve"> crecimiento esperado de hasta </w:t>
      </w:r>
      <w:r>
        <w:rPr>
          <w:b/>
          <w:color w:val="1A1A1A"/>
          <w:sz w:val="20"/>
        </w:rPr>
        <w:t>+20% acumulado</w:t>
      </w:r>
      <w:r>
        <w:rPr>
          <w:color w:val="1A1A1A"/>
          <w:sz w:val="20"/>
        </w:rPr>
        <w:t xml:space="preserve"> por nearshoring.</w:t>
      </w:r>
    </w:p>
    <w:p>
      <w:pPr>
        <w:spacing w:before="160" w:after="40"/>
      </w:pPr>
      <w:r>
        <w:rPr>
          <w:b/>
          <w:color w:val="6B7280"/>
          <w:sz w:val="22"/>
        </w:rPr>
        <w:t>Cifras clave adicionales específicas a Tijuana / frontera norte</w:t>
      </w:r>
    </w:p>
    <w:p>
      <w:pPr>
        <w:pStyle w:val="ListBullet"/>
        <w:spacing w:before="0" w:after="40"/>
      </w:pPr>
      <w:r>
        <w:rPr>
          <w:color w:val="1A1A1A"/>
          <w:sz w:val="20"/>
        </w:rPr>
        <w:t xml:space="preserve">✅ Importaciones México desde China (Baja California como destino): </w:t>
      </w:r>
      <w:r>
        <w:rPr>
          <w:b/>
          <w:color w:val="1A1A1A"/>
          <w:sz w:val="20"/>
        </w:rPr>
        <w:t>USD 13,144 millones en 2024</w:t>
      </w:r>
      <w:r>
        <w:rPr>
          <w:color w:val="1A1A1A"/>
          <w:sz w:val="20"/>
        </w:rPr>
        <w:t>. Fuente: Data México / Secretaría de Economía.</w:t>
      </w:r>
    </w:p>
    <w:p>
      <w:pPr>
        <w:pStyle w:val="ListBullet"/>
        <w:spacing w:before="0" w:after="40"/>
      </w:pPr>
      <w:r>
        <w:rPr>
          <w:color w:val="1A1A1A"/>
          <w:sz w:val="20"/>
        </w:rPr>
        <w:t xml:space="preserve">✅ Tijuana: </w:t>
      </w:r>
      <w:r>
        <w:rPr>
          <w:b/>
          <w:color w:val="1A1A1A"/>
          <w:sz w:val="20"/>
        </w:rPr>
        <w:t>+30 empresas relocalizadas en últimos 18 meses</w:t>
      </w:r>
      <w:r>
        <w:rPr>
          <w:color w:val="1A1A1A"/>
          <w:sz w:val="20"/>
        </w:rPr>
        <w:t xml:space="preserve"> (al cierre 2025). Fuente: thelogisticsworld.com.</w:t>
      </w:r>
    </w:p>
    <w:p>
      <w:pPr>
        <w:pStyle w:val="ListBullet"/>
        <w:spacing w:before="0" w:after="40"/>
      </w:pPr>
      <w:r>
        <w:rPr>
          <w:color w:val="1A1A1A"/>
          <w:sz w:val="20"/>
        </w:rPr>
        <w:t xml:space="preserve">✅ </w:t>
      </w:r>
      <w:r>
        <w:rPr>
          <w:b/>
          <w:color w:val="1A1A1A"/>
          <w:sz w:val="20"/>
        </w:rPr>
        <w:t>+78 millones de pies cuadrados</w:t>
      </w:r>
      <w:r>
        <w:rPr>
          <w:color w:val="1A1A1A"/>
          <w:sz w:val="20"/>
        </w:rPr>
        <w:t xml:space="preserve"> de infraestructura industrial en proceso (BC + Tijuana + Mexicali).</w:t>
      </w:r>
    </w:p>
    <w:p>
      <w:pPr>
        <w:pStyle w:val="ListBullet"/>
        <w:spacing w:before="0" w:after="40"/>
      </w:pPr>
      <w:r>
        <w:rPr>
          <w:color w:val="1A1A1A"/>
          <w:sz w:val="20"/>
        </w:rPr>
        <w:t xml:space="preserve">✅ Cruce Nuevo Laredo manejó </w:t>
      </w:r>
      <w:r>
        <w:rPr>
          <w:b/>
          <w:color w:val="1A1A1A"/>
          <w:sz w:val="20"/>
        </w:rPr>
        <w:t>USD 339 mil millones</w:t>
      </w:r>
      <w:r>
        <w:rPr>
          <w:color w:val="1A1A1A"/>
          <w:sz w:val="20"/>
        </w:rPr>
        <w:t xml:space="preserve"> en 2024 (referencia del crossing más grande del país; Tijuana es segunda plaza).</w:t>
      </w:r>
    </w:p>
    <w:p>
      <w:pPr>
        <w:pStyle w:val="ListBullet"/>
        <w:spacing w:before="0" w:after="40"/>
      </w:pPr>
      <w:r>
        <w:rPr>
          <w:color w:val="1A1A1A"/>
          <w:sz w:val="20"/>
        </w:rPr>
        <w:t xml:space="preserve">⚠️ Carga cross-border MX-US creció </w:t>
      </w:r>
      <w:r>
        <w:rPr>
          <w:b/>
          <w:color w:val="1A1A1A"/>
          <w:sz w:val="20"/>
        </w:rPr>
        <w:t>+8% en el primer semestre de 2025</w:t>
      </w:r>
      <w:r>
        <w:rPr>
          <w:color w:val="1A1A1A"/>
          <w:sz w:val="20"/>
        </w:rPr>
        <w:t>. Fuente: C.H. Robinson Cross-Border Freight Market Update Dec 2024.</w:t>
      </w:r>
    </w:p>
    <w:p>
      <w:pPr>
        <w:spacing w:before="20" w:after="60"/>
      </w:pPr>
      <w:r>
        <w:rPr>
          <w:color w:val="1A1A1A"/>
          <w:sz w:val="20"/>
        </w:rPr>
        <w:t xml:space="preserve">&gt; 🔍 </w:t>
      </w:r>
      <w:r>
        <w:rPr>
          <w:b/>
          <w:color w:val="1A1A1A"/>
          <w:sz w:val="20"/>
        </w:rPr>
        <w:t>Análisis:</w:t>
      </w:r>
      <w:r>
        <w:rPr>
          <w:color w:val="1A1A1A"/>
          <w:sz w:val="20"/>
        </w:rPr>
        <w:t xml:space="preserve"> El sector tiene </w:t>
      </w:r>
      <w:r>
        <w:rPr>
          <w:b/>
          <w:color w:val="1A1A1A"/>
          <w:sz w:val="20"/>
        </w:rPr>
        <w:t>doble velocidad simultánea</w:t>
      </w:r>
      <w:r>
        <w:rPr>
          <w:color w:val="1A1A1A"/>
          <w:sz w:val="20"/>
        </w:rPr>
        <w:t>: macro estancado (+0.02% PIB 2025) y micro acelerado en el nicho cross-border de Tijuana. La diferencia es nearshoring y comercio China-MX. Las empresas como Trixx que están en el sub-segmento correcto enfrentan tailwind sectorial pese a la cifra agregada plana.</w:t>
      </w:r>
    </w:p>
    <w:p>
      <w:pPr>
        <w:spacing w:before="40" w:after="40"/>
      </w:pPr>
    </w:p>
    <w:p>
      <w:pPr>
        <w:spacing w:before="280" w:after="60"/>
        <w:pBdr>
          <w:bottom w:val="single" w:sz="4" w:space="1" w:color="0EA5E9"/>
        </w:pBdr>
      </w:pPr>
      <w:r>
        <w:rPr>
          <w:b/>
          <w:color w:val="0EA5E9"/>
          <w:sz w:val="28"/>
        </w:rPr>
        <w:t>2. PRINCIPALES ACTORES</w:t>
      </w:r>
    </w:p>
    <w:p>
      <w:pPr>
        <w:spacing w:before="160" w:after="40"/>
      </w:pPr>
      <w:r>
        <w:rPr>
          <w:b/>
          <w:color w:val="6B7280"/>
          <w:sz w:val="22"/>
        </w:rPr>
        <w:t>Líderes nacionales — operadores integrados (flota + aduanal + warehousing)</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0C1A2E"/>
          </w:tcPr>
          <w:p>
            <w:pPr>
              <w:spacing w:before="40" w:after="40"/>
            </w:pPr>
            <w:r>
              <w:rPr>
                <w:b/>
                <w:color w:val="FFFFFF"/>
                <w:sz w:val="18"/>
              </w:rPr>
              <w:t>Empresa</w:t>
            </w:r>
          </w:p>
        </w:tc>
        <w:tc>
          <w:tcPr>
            <w:tcW w:type="dxa" w:w="1813"/>
            <w:shd w:val="clear" w:color="auto" w:fill="0C1A2E"/>
          </w:tcPr>
          <w:p>
            <w:pPr>
              <w:spacing w:before="40" w:after="40"/>
            </w:pPr>
            <w:r>
              <w:rPr>
                <w:b/>
                <w:color w:val="FFFFFF"/>
                <w:sz w:val="18"/>
              </w:rPr>
              <w:t>Tipo</w:t>
            </w:r>
          </w:p>
        </w:tc>
        <w:tc>
          <w:tcPr>
            <w:tcW w:type="dxa" w:w="1813"/>
            <w:shd w:val="clear" w:color="auto" w:fill="0C1A2E"/>
          </w:tcPr>
          <w:p>
            <w:pPr>
              <w:spacing w:before="40" w:after="40"/>
            </w:pPr>
            <w:r>
              <w:rPr>
                <w:b/>
                <w:color w:val="FFFFFF"/>
                <w:sz w:val="18"/>
              </w:rPr>
              <w:t>Facturación aprox.</w:t>
            </w:r>
          </w:p>
        </w:tc>
        <w:tc>
          <w:tcPr>
            <w:tcW w:type="dxa" w:w="1813"/>
            <w:shd w:val="clear" w:color="auto" w:fill="0C1A2E"/>
          </w:tcPr>
          <w:p>
            <w:pPr>
              <w:spacing w:before="40" w:after="40"/>
            </w:pPr>
            <w:r>
              <w:rPr>
                <w:b/>
                <w:color w:val="FFFFFF"/>
                <w:sz w:val="18"/>
              </w:rPr>
              <w:t>Presencia</w:t>
            </w:r>
          </w:p>
        </w:tc>
        <w:tc>
          <w:tcPr>
            <w:tcW w:type="dxa" w:w="1813"/>
            <w:shd w:val="clear" w:color="auto" w:fill="0C1A2E"/>
          </w:tcPr>
          <w:p>
            <w:pPr>
              <w:spacing w:before="40" w:after="40"/>
            </w:pPr>
            <w:r>
              <w:rPr>
                <w:b/>
                <w:color w:val="FFFFFF"/>
                <w:sz w:val="18"/>
              </w:rPr>
              <w:t>Notas clave</w:t>
            </w:r>
          </w:p>
        </w:tc>
      </w:tr>
      <w:tr>
        <w:tc>
          <w:tcPr>
            <w:tcW w:type="dxa" w:w="1813"/>
            <w:shd w:val="clear" w:color="auto" w:fill="FFFFFF"/>
          </w:tcPr>
          <w:p>
            <w:pPr>
              <w:spacing w:before="40" w:after="40"/>
            </w:pPr>
            <w:r>
              <w:rPr>
                <w:color w:val="1A1A1A"/>
                <w:sz w:val="18"/>
              </w:rPr>
              <w:t>Grupo TMM</w:t>
            </w:r>
          </w:p>
        </w:tc>
        <w:tc>
          <w:tcPr>
            <w:tcW w:type="dxa" w:w="1813"/>
            <w:shd w:val="clear" w:color="auto" w:fill="FFFFFF"/>
          </w:tcPr>
          <w:p>
            <w:pPr>
              <w:spacing w:before="40" w:after="40"/>
            </w:pPr>
            <w:r>
              <w:rPr>
                <w:color w:val="1A1A1A"/>
                <w:sz w:val="18"/>
              </w:rPr>
              <w:t>Flota integrada + servicios marítimos</w:t>
            </w:r>
          </w:p>
        </w:tc>
        <w:tc>
          <w:tcPr>
            <w:tcW w:type="dxa" w:w="1813"/>
            <w:shd w:val="clear" w:color="auto" w:fill="FFFFFF"/>
          </w:tcPr>
          <w:p>
            <w:pPr>
              <w:spacing w:before="40" w:after="40"/>
            </w:pPr>
            <w:r>
              <w:rPr>
                <w:color w:val="1A1A1A"/>
                <w:sz w:val="18"/>
              </w:rPr>
              <w:t>⚠️ MXN 5,000M+ anual</w:t>
            </w:r>
          </w:p>
        </w:tc>
        <w:tc>
          <w:tcPr>
            <w:tcW w:type="dxa" w:w="1813"/>
            <w:shd w:val="clear" w:color="auto" w:fill="FFFFFF"/>
          </w:tcPr>
          <w:p>
            <w:pPr>
              <w:spacing w:before="40" w:after="40"/>
            </w:pPr>
            <w:r>
              <w:rPr>
                <w:color w:val="1A1A1A"/>
                <w:sz w:val="18"/>
              </w:rPr>
              <w:t>Nacional + cabotaje</w:t>
            </w:r>
          </w:p>
        </w:tc>
        <w:tc>
          <w:tcPr>
            <w:tcW w:type="dxa" w:w="1813"/>
            <w:shd w:val="clear" w:color="auto" w:fill="FFFFFF"/>
          </w:tcPr>
          <w:p>
            <w:pPr>
              <w:spacing w:before="40" w:after="40"/>
            </w:pPr>
            <w:r>
              <w:rPr>
                <w:color w:val="1A1A1A"/>
                <w:sz w:val="18"/>
              </w:rPr>
              <w:t>Histórico líder marítimo; menos enfocado a aduanal puro</w:t>
            </w:r>
          </w:p>
        </w:tc>
      </w:tr>
      <w:tr>
        <w:tc>
          <w:tcPr>
            <w:tcW w:type="dxa" w:w="1813"/>
            <w:shd w:val="clear" w:color="auto" w:fill="EBF3FA"/>
          </w:tcPr>
          <w:p>
            <w:pPr>
              <w:spacing w:before="40" w:after="40"/>
            </w:pPr>
            <w:r>
              <w:rPr>
                <w:color w:val="1A1A1A"/>
                <w:sz w:val="18"/>
              </w:rPr>
              <w:t>Estafeta</w:t>
            </w:r>
          </w:p>
        </w:tc>
        <w:tc>
          <w:tcPr>
            <w:tcW w:type="dxa" w:w="1813"/>
            <w:shd w:val="clear" w:color="auto" w:fill="EBF3FA"/>
          </w:tcPr>
          <w:p>
            <w:pPr>
              <w:spacing w:before="40" w:after="40"/>
            </w:pPr>
            <w:r>
              <w:rPr>
                <w:color w:val="1A1A1A"/>
                <w:sz w:val="18"/>
              </w:rPr>
              <w:t>Paquetería + logística + cross-border</w:t>
            </w:r>
          </w:p>
        </w:tc>
        <w:tc>
          <w:tcPr>
            <w:tcW w:type="dxa" w:w="1813"/>
            <w:shd w:val="clear" w:color="auto" w:fill="EBF3FA"/>
          </w:tcPr>
          <w:p>
            <w:pPr>
              <w:spacing w:before="40" w:after="40"/>
            </w:pPr>
            <w:r>
              <w:rPr>
                <w:color w:val="1A1A1A"/>
                <w:sz w:val="18"/>
              </w:rPr>
              <w:t>⚠️ MXN 4,500-6,000M</w:t>
            </w:r>
          </w:p>
        </w:tc>
        <w:tc>
          <w:tcPr>
            <w:tcW w:type="dxa" w:w="1813"/>
            <w:shd w:val="clear" w:color="auto" w:fill="EBF3FA"/>
          </w:tcPr>
          <w:p>
            <w:pPr>
              <w:spacing w:before="40" w:after="40"/>
            </w:pPr>
            <w:r>
              <w:rPr>
                <w:color w:val="1A1A1A"/>
                <w:sz w:val="18"/>
              </w:rPr>
              <w:t>Nacional, fuerte en última milla</w:t>
            </w:r>
          </w:p>
        </w:tc>
        <w:tc>
          <w:tcPr>
            <w:tcW w:type="dxa" w:w="1813"/>
            <w:shd w:val="clear" w:color="auto" w:fill="EBF3FA"/>
          </w:tcPr>
          <w:p>
            <w:pPr>
              <w:spacing w:before="40" w:after="40"/>
            </w:pPr>
            <w:r>
              <w:rPr>
                <w:color w:val="1A1A1A"/>
                <w:sz w:val="18"/>
              </w:rPr>
              <w:t>E-commerce y B2C</w:t>
            </w:r>
          </w:p>
        </w:tc>
      </w:tr>
      <w:tr>
        <w:tc>
          <w:tcPr>
            <w:tcW w:type="dxa" w:w="1813"/>
            <w:shd w:val="clear" w:color="auto" w:fill="FFFFFF"/>
          </w:tcPr>
          <w:p>
            <w:pPr>
              <w:spacing w:before="40" w:after="40"/>
            </w:pPr>
            <w:r>
              <w:rPr>
                <w:color w:val="1A1A1A"/>
                <w:sz w:val="18"/>
              </w:rPr>
              <w:t>Solistica (FEMSA)</w:t>
            </w:r>
          </w:p>
        </w:tc>
        <w:tc>
          <w:tcPr>
            <w:tcW w:type="dxa" w:w="1813"/>
            <w:shd w:val="clear" w:color="auto" w:fill="FFFFFF"/>
          </w:tcPr>
          <w:p>
            <w:pPr>
              <w:spacing w:before="40" w:after="40"/>
            </w:pPr>
            <w:r>
              <w:rPr>
                <w:color w:val="1A1A1A"/>
                <w:sz w:val="18"/>
              </w:rPr>
              <w:t>3PL/4PL multimodal</w:t>
            </w:r>
          </w:p>
        </w:tc>
        <w:tc>
          <w:tcPr>
            <w:tcW w:type="dxa" w:w="1813"/>
            <w:shd w:val="clear" w:color="auto" w:fill="FFFFFF"/>
          </w:tcPr>
          <w:p>
            <w:pPr>
              <w:spacing w:before="40" w:after="40"/>
            </w:pPr>
            <w:r>
              <w:rPr>
                <w:color w:val="1A1A1A"/>
                <w:sz w:val="18"/>
              </w:rPr>
              <w:t>⚠️ USD 1,000M+</w:t>
            </w:r>
          </w:p>
        </w:tc>
        <w:tc>
          <w:tcPr>
            <w:tcW w:type="dxa" w:w="1813"/>
            <w:shd w:val="clear" w:color="auto" w:fill="FFFFFF"/>
          </w:tcPr>
          <w:p>
            <w:pPr>
              <w:spacing w:before="40" w:after="40"/>
            </w:pPr>
            <w:r>
              <w:rPr>
                <w:color w:val="1A1A1A"/>
                <w:sz w:val="18"/>
              </w:rPr>
              <w:t>Nacional + LatAm</w:t>
            </w:r>
          </w:p>
        </w:tc>
        <w:tc>
          <w:tcPr>
            <w:tcW w:type="dxa" w:w="1813"/>
            <w:shd w:val="clear" w:color="auto" w:fill="FFFFFF"/>
          </w:tcPr>
          <w:p>
            <w:pPr>
              <w:spacing w:before="40" w:after="40"/>
            </w:pPr>
            <w:r>
              <w:rPr>
                <w:color w:val="1A1A1A"/>
                <w:sz w:val="18"/>
              </w:rPr>
              <w:t>Spin-off de FEMSA; cuenta corporativa fuerte</w:t>
            </w:r>
          </w:p>
        </w:tc>
      </w:tr>
      <w:tr>
        <w:tc>
          <w:tcPr>
            <w:tcW w:type="dxa" w:w="1813"/>
            <w:shd w:val="clear" w:color="auto" w:fill="EBF3FA"/>
          </w:tcPr>
          <w:p>
            <w:pPr>
              <w:spacing w:before="40" w:after="40"/>
            </w:pPr>
            <w:r>
              <w:rPr>
                <w:color w:val="1A1A1A"/>
                <w:sz w:val="18"/>
              </w:rPr>
              <w:t>TFM (Transportación Marítima Mexicana)</w:t>
            </w:r>
          </w:p>
        </w:tc>
        <w:tc>
          <w:tcPr>
            <w:tcW w:type="dxa" w:w="1813"/>
            <w:shd w:val="clear" w:color="auto" w:fill="EBF3FA"/>
          </w:tcPr>
          <w:p>
            <w:pPr>
              <w:spacing w:before="40" w:after="40"/>
            </w:pPr>
            <w:r>
              <w:rPr>
                <w:color w:val="1A1A1A"/>
                <w:sz w:val="18"/>
              </w:rPr>
              <w:t>Multimodal</w:t>
            </w:r>
          </w:p>
        </w:tc>
        <w:tc>
          <w:tcPr>
            <w:tcW w:type="dxa" w:w="1813"/>
            <w:shd w:val="clear" w:color="auto" w:fill="EBF3FA"/>
          </w:tcPr>
          <w:p>
            <w:pPr>
              <w:spacing w:before="40" w:after="40"/>
            </w:pPr>
            <w:r>
              <w:rPr>
                <w:color w:val="1A1A1A"/>
                <w:sz w:val="18"/>
              </w:rPr>
              <w:t>⚠️ Cifras no públicas</w:t>
            </w:r>
          </w:p>
        </w:tc>
        <w:tc>
          <w:tcPr>
            <w:tcW w:type="dxa" w:w="1813"/>
            <w:shd w:val="clear" w:color="auto" w:fill="EBF3FA"/>
          </w:tcPr>
          <w:p>
            <w:pPr>
              <w:spacing w:before="40" w:after="40"/>
            </w:pPr>
            <w:r>
              <w:rPr>
                <w:color w:val="1A1A1A"/>
                <w:sz w:val="18"/>
              </w:rPr>
              <w:t>Nacional</w:t>
            </w:r>
          </w:p>
        </w:tc>
        <w:tc>
          <w:tcPr>
            <w:tcW w:type="dxa" w:w="1813"/>
            <w:shd w:val="clear" w:color="auto" w:fill="EBF3FA"/>
          </w:tcPr>
          <w:p>
            <w:pPr>
              <w:spacing w:before="40" w:after="40"/>
            </w:pPr>
            <w:r>
              <w:rPr>
                <w:color w:val="1A1A1A"/>
                <w:sz w:val="18"/>
              </w:rPr>
              <w:t>Holding</w:t>
            </w:r>
          </w:p>
        </w:tc>
      </w:tr>
      <w:tr>
        <w:tc>
          <w:tcPr>
            <w:tcW w:type="dxa" w:w="1813"/>
            <w:shd w:val="clear" w:color="auto" w:fill="FFFFFF"/>
          </w:tcPr>
          <w:p>
            <w:pPr>
              <w:spacing w:before="40" w:after="40"/>
            </w:pPr>
            <w:r>
              <w:rPr>
                <w:color w:val="1A1A1A"/>
                <w:sz w:val="18"/>
              </w:rPr>
              <w:t>Grupo Senda / Transpais</w:t>
            </w:r>
          </w:p>
        </w:tc>
        <w:tc>
          <w:tcPr>
            <w:tcW w:type="dxa" w:w="1813"/>
            <w:shd w:val="clear" w:color="auto" w:fill="FFFFFF"/>
          </w:tcPr>
          <w:p>
            <w:pPr>
              <w:spacing w:before="40" w:after="40"/>
            </w:pPr>
            <w:r>
              <w:rPr>
                <w:color w:val="1A1A1A"/>
                <w:sz w:val="18"/>
              </w:rPr>
              <w:t>Carga + pasaje</w:t>
            </w:r>
          </w:p>
        </w:tc>
        <w:tc>
          <w:tcPr>
            <w:tcW w:type="dxa" w:w="1813"/>
            <w:shd w:val="clear" w:color="auto" w:fill="FFFFFF"/>
          </w:tcPr>
          <w:p>
            <w:pPr>
              <w:spacing w:before="40" w:after="40"/>
            </w:pPr>
            <w:r>
              <w:rPr>
                <w:color w:val="1A1A1A"/>
                <w:sz w:val="18"/>
              </w:rPr>
              <w:t>⚠️ Cifras no públicas</w:t>
            </w:r>
          </w:p>
        </w:tc>
        <w:tc>
          <w:tcPr>
            <w:tcW w:type="dxa" w:w="1813"/>
            <w:shd w:val="clear" w:color="auto" w:fill="FFFFFF"/>
          </w:tcPr>
          <w:p>
            <w:pPr>
              <w:spacing w:before="40" w:after="40"/>
            </w:pPr>
            <w:r>
              <w:rPr>
                <w:color w:val="1A1A1A"/>
                <w:sz w:val="18"/>
              </w:rPr>
              <w:t>Norte de México</w:t>
            </w:r>
          </w:p>
        </w:tc>
        <w:tc>
          <w:tcPr>
            <w:tcW w:type="dxa" w:w="1813"/>
            <w:shd w:val="clear" w:color="auto" w:fill="FFFFFF"/>
          </w:tcPr>
          <w:p>
            <w:pPr>
              <w:spacing w:before="40" w:after="40"/>
            </w:pPr>
            <w:r>
              <w:rPr>
                <w:color w:val="1A1A1A"/>
                <w:sz w:val="18"/>
              </w:rPr>
              <w:t>Foco en frontera norte</w:t>
            </w:r>
          </w:p>
        </w:tc>
      </w:tr>
      <w:tr>
        <w:tc>
          <w:tcPr>
            <w:tcW w:type="dxa" w:w="1813"/>
            <w:shd w:val="clear" w:color="auto" w:fill="EBF3FA"/>
          </w:tcPr>
          <w:p>
            <w:pPr>
              <w:spacing w:before="40" w:after="40"/>
            </w:pPr>
            <w:r>
              <w:rPr>
                <w:color w:val="1A1A1A"/>
                <w:sz w:val="18"/>
              </w:rPr>
              <w:t>DHL Supply Chain México</w:t>
            </w:r>
          </w:p>
        </w:tc>
        <w:tc>
          <w:tcPr>
            <w:tcW w:type="dxa" w:w="1813"/>
            <w:shd w:val="clear" w:color="auto" w:fill="EBF3FA"/>
          </w:tcPr>
          <w:p>
            <w:pPr>
              <w:spacing w:before="40" w:after="40"/>
            </w:pPr>
            <w:r>
              <w:rPr>
                <w:color w:val="1A1A1A"/>
                <w:sz w:val="18"/>
              </w:rPr>
              <w:t>3PL global</w:t>
            </w:r>
          </w:p>
        </w:tc>
        <w:tc>
          <w:tcPr>
            <w:tcW w:type="dxa" w:w="1813"/>
            <w:shd w:val="clear" w:color="auto" w:fill="EBF3FA"/>
          </w:tcPr>
          <w:p>
            <w:pPr>
              <w:spacing w:before="40" w:after="40"/>
            </w:pPr>
            <w:r>
              <w:rPr>
                <w:color w:val="1A1A1A"/>
                <w:sz w:val="18"/>
              </w:rPr>
              <w:t>⚠️ Cifras consolidadas con DHL global</w:t>
            </w:r>
          </w:p>
        </w:tc>
        <w:tc>
          <w:tcPr>
            <w:tcW w:type="dxa" w:w="1813"/>
            <w:shd w:val="clear" w:color="auto" w:fill="EBF3FA"/>
          </w:tcPr>
          <w:p>
            <w:pPr>
              <w:spacing w:before="40" w:after="40"/>
            </w:pPr>
            <w:r>
              <w:rPr>
                <w:color w:val="1A1A1A"/>
                <w:sz w:val="18"/>
              </w:rPr>
              <w:t>Nacional + cross-border</w:t>
            </w:r>
          </w:p>
        </w:tc>
        <w:tc>
          <w:tcPr>
            <w:tcW w:type="dxa" w:w="1813"/>
            <w:shd w:val="clear" w:color="auto" w:fill="EBF3FA"/>
          </w:tcPr>
          <w:p>
            <w:pPr>
              <w:spacing w:before="40" w:after="40"/>
            </w:pPr>
            <w:r>
              <w:rPr>
                <w:color w:val="1A1A1A"/>
                <w:sz w:val="18"/>
              </w:rPr>
              <w:t>Líder en e-commerce fulfillment</w:t>
            </w:r>
          </w:p>
        </w:tc>
      </w:tr>
      <w:tr>
        <w:tc>
          <w:tcPr>
            <w:tcW w:type="dxa" w:w="1813"/>
            <w:shd w:val="clear" w:color="auto" w:fill="FFFFFF"/>
          </w:tcPr>
          <w:p>
            <w:pPr>
              <w:spacing w:before="40" w:after="40"/>
            </w:pPr>
            <w:r>
              <w:rPr>
                <w:color w:val="1A1A1A"/>
                <w:sz w:val="18"/>
              </w:rPr>
              <w:t>DSV</w:t>
            </w:r>
          </w:p>
        </w:tc>
        <w:tc>
          <w:tcPr>
            <w:tcW w:type="dxa" w:w="1813"/>
            <w:shd w:val="clear" w:color="auto" w:fill="FFFFFF"/>
          </w:tcPr>
          <w:p>
            <w:pPr>
              <w:spacing w:before="40" w:after="40"/>
            </w:pPr>
            <w:r>
              <w:rPr>
                <w:color w:val="1A1A1A"/>
                <w:sz w:val="18"/>
              </w:rPr>
              <w:t>Forwarder global</w:t>
            </w:r>
          </w:p>
        </w:tc>
        <w:tc>
          <w:tcPr>
            <w:tcW w:type="dxa" w:w="1813"/>
            <w:shd w:val="clear" w:color="auto" w:fill="FFFFFF"/>
          </w:tcPr>
          <w:p>
            <w:pPr>
              <w:spacing w:before="40" w:after="40"/>
            </w:pPr>
            <w:r>
              <w:rPr>
                <w:color w:val="1A1A1A"/>
                <w:sz w:val="18"/>
              </w:rPr>
              <w:t>⚠️ Cifras consolidadas</w:t>
            </w:r>
          </w:p>
        </w:tc>
        <w:tc>
          <w:tcPr>
            <w:tcW w:type="dxa" w:w="1813"/>
            <w:shd w:val="clear" w:color="auto" w:fill="FFFFFF"/>
          </w:tcPr>
          <w:p>
            <w:pPr>
              <w:spacing w:before="40" w:after="40"/>
            </w:pPr>
            <w:r>
              <w:rPr>
                <w:color w:val="1A1A1A"/>
                <w:sz w:val="18"/>
              </w:rPr>
              <w:t>Nacional</w:t>
            </w:r>
          </w:p>
        </w:tc>
        <w:tc>
          <w:tcPr>
            <w:tcW w:type="dxa" w:w="1813"/>
            <w:shd w:val="clear" w:color="auto" w:fill="FFFFFF"/>
          </w:tcPr>
          <w:p>
            <w:pPr>
              <w:spacing w:before="40" w:after="40"/>
            </w:pPr>
            <w:r>
              <w:rPr>
                <w:color w:val="1A1A1A"/>
                <w:sz w:val="18"/>
              </w:rPr>
              <w:t>Crecimiento por adquisiciones</w:t>
            </w:r>
          </w:p>
        </w:tc>
      </w:tr>
    </w:tbl>
    <w:p/>
    <w:p>
      <w:pPr>
        <w:spacing w:before="20" w:after="60"/>
      </w:pPr>
      <w:r>
        <w:rPr>
          <w:color w:val="1A1A1A"/>
          <w:sz w:val="20"/>
        </w:rPr>
        <w:t>&gt; ❓ Cifras exactas de facturación de empresas privadas mexicanas en este sector NO son públicas (no cotizan en BMV con la excepción parcial de TMM). Los rangos son inferencias de prensa especializada, reportes de mercado de Forbes MX y Expansión.</w:t>
      </w:r>
    </w:p>
    <w:p>
      <w:pPr>
        <w:spacing w:before="160" w:after="40"/>
      </w:pPr>
      <w:r>
        <w:rPr>
          <w:b/>
          <w:color w:val="6B7280"/>
          <w:sz w:val="22"/>
        </w:rPr>
        <w:t>Agentes aduanales específicos a Tijuana (competencia directa de Trixx en su mercado local)</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Agencia</w:t>
            </w:r>
          </w:p>
        </w:tc>
        <w:tc>
          <w:tcPr>
            <w:tcW w:type="dxa" w:w="2266"/>
            <w:shd w:val="clear" w:color="auto" w:fill="0C1A2E"/>
          </w:tcPr>
          <w:p>
            <w:pPr>
              <w:spacing w:before="40" w:after="40"/>
            </w:pPr>
            <w:r>
              <w:rPr>
                <w:b/>
                <w:color w:val="FFFFFF"/>
                <w:sz w:val="18"/>
              </w:rPr>
              <w:t>Patente / acreditación</w:t>
            </w:r>
          </w:p>
        </w:tc>
        <w:tc>
          <w:tcPr>
            <w:tcW w:type="dxa" w:w="2266"/>
            <w:shd w:val="clear" w:color="auto" w:fill="0C1A2E"/>
          </w:tcPr>
          <w:p>
            <w:pPr>
              <w:spacing w:before="40" w:after="40"/>
            </w:pPr>
            <w:r>
              <w:rPr>
                <w:b/>
                <w:color w:val="FFFFFF"/>
                <w:sz w:val="18"/>
              </w:rPr>
              <w:t>Presencia</w:t>
            </w:r>
          </w:p>
        </w:tc>
        <w:tc>
          <w:tcPr>
            <w:tcW w:type="dxa" w:w="2266"/>
            <w:shd w:val="clear" w:color="auto" w:fill="0C1A2E"/>
          </w:tcPr>
          <w:p>
            <w:pPr>
              <w:spacing w:before="40" w:after="40"/>
            </w:pPr>
            <w:r>
              <w:rPr>
                <w:b/>
                <w:color w:val="FFFFFF"/>
                <w:sz w:val="18"/>
              </w:rPr>
              <w:t>Nicho</w:t>
            </w:r>
          </w:p>
        </w:tc>
      </w:tr>
      <w:tr>
        <w:tc>
          <w:tcPr>
            <w:tcW w:type="dxa" w:w="2266"/>
            <w:shd w:val="clear" w:color="auto" w:fill="FFFFFF"/>
          </w:tcPr>
          <w:p>
            <w:pPr>
              <w:spacing w:before="40" w:after="40"/>
            </w:pPr>
            <w:r>
              <w:rPr>
                <w:color w:val="1A1A1A"/>
                <w:sz w:val="18"/>
              </w:rPr>
              <w:t>TCI Aduanal</w:t>
            </w:r>
          </w:p>
        </w:tc>
        <w:tc>
          <w:tcPr>
            <w:tcW w:type="dxa" w:w="2266"/>
            <w:shd w:val="clear" w:color="auto" w:fill="FFFFFF"/>
          </w:tcPr>
          <w:p>
            <w:pPr>
              <w:spacing w:before="40" w:after="40"/>
            </w:pPr>
            <w:r>
              <w:rPr>
                <w:color w:val="1A1A1A"/>
                <w:sz w:val="18"/>
              </w:rPr>
              <w:t>✅ Agencia con patente activa</w:t>
            </w:r>
          </w:p>
        </w:tc>
        <w:tc>
          <w:tcPr>
            <w:tcW w:type="dxa" w:w="2266"/>
            <w:shd w:val="clear" w:color="auto" w:fill="FFFFFF"/>
          </w:tcPr>
          <w:p>
            <w:pPr>
              <w:spacing w:before="40" w:after="40"/>
            </w:pPr>
            <w:r>
              <w:rPr>
                <w:color w:val="1A1A1A"/>
                <w:sz w:val="18"/>
              </w:rPr>
              <w:t>Tijuana, varias aduanas</w:t>
            </w:r>
          </w:p>
        </w:tc>
        <w:tc>
          <w:tcPr>
            <w:tcW w:type="dxa" w:w="2266"/>
            <w:shd w:val="clear" w:color="auto" w:fill="FFFFFF"/>
          </w:tcPr>
          <w:p>
            <w:pPr>
              <w:spacing w:before="40" w:after="40"/>
            </w:pPr>
            <w:r>
              <w:rPr>
                <w:color w:val="1A1A1A"/>
                <w:sz w:val="18"/>
              </w:rPr>
              <w:t>Generalista, sólido en automotriz</w:t>
            </w:r>
          </w:p>
        </w:tc>
      </w:tr>
      <w:tr>
        <w:tc>
          <w:tcPr>
            <w:tcW w:type="dxa" w:w="2266"/>
            <w:shd w:val="clear" w:color="auto" w:fill="EBF3FA"/>
          </w:tcPr>
          <w:p>
            <w:pPr>
              <w:spacing w:before="40" w:after="40"/>
            </w:pPr>
            <w:r>
              <w:rPr>
                <w:color w:val="1A1A1A"/>
                <w:sz w:val="18"/>
              </w:rPr>
              <w:t>Aispuro Lavenant</w:t>
            </w:r>
          </w:p>
        </w:tc>
        <w:tc>
          <w:tcPr>
            <w:tcW w:type="dxa" w:w="2266"/>
            <w:shd w:val="clear" w:color="auto" w:fill="EBF3FA"/>
          </w:tcPr>
          <w:p>
            <w:pPr>
              <w:spacing w:before="40" w:after="40"/>
            </w:pPr>
            <w:r>
              <w:rPr>
                <w:color w:val="1A1A1A"/>
                <w:sz w:val="18"/>
              </w:rPr>
              <w:t>✅ Patente activa</w:t>
            </w:r>
          </w:p>
        </w:tc>
        <w:tc>
          <w:tcPr>
            <w:tcW w:type="dxa" w:w="2266"/>
            <w:shd w:val="clear" w:color="auto" w:fill="EBF3FA"/>
          </w:tcPr>
          <w:p>
            <w:pPr>
              <w:spacing w:before="40" w:after="40"/>
            </w:pPr>
            <w:r>
              <w:rPr>
                <w:color w:val="1A1A1A"/>
                <w:sz w:val="18"/>
              </w:rPr>
              <w:t>Tijuana, Mexicali</w:t>
            </w:r>
          </w:p>
        </w:tc>
        <w:tc>
          <w:tcPr>
            <w:tcW w:type="dxa" w:w="2266"/>
            <w:shd w:val="clear" w:color="auto" w:fill="EBF3FA"/>
          </w:tcPr>
          <w:p>
            <w:pPr>
              <w:spacing w:before="40" w:after="40"/>
            </w:pPr>
            <w:r>
              <w:rPr>
                <w:color w:val="1A1A1A"/>
                <w:sz w:val="18"/>
              </w:rPr>
              <w:t>Importación-exportación general</w:t>
            </w:r>
          </w:p>
        </w:tc>
      </w:tr>
      <w:tr>
        <w:tc>
          <w:tcPr>
            <w:tcW w:type="dxa" w:w="2266"/>
            <w:shd w:val="clear" w:color="auto" w:fill="FFFFFF"/>
          </w:tcPr>
          <w:p>
            <w:pPr>
              <w:spacing w:before="40" w:after="40"/>
            </w:pPr>
            <w:r>
              <w:rPr>
                <w:color w:val="1A1A1A"/>
                <w:sz w:val="18"/>
              </w:rPr>
              <w:t>Grupo Aduanal Arellano</w:t>
            </w:r>
          </w:p>
        </w:tc>
        <w:tc>
          <w:tcPr>
            <w:tcW w:type="dxa" w:w="2266"/>
            <w:shd w:val="clear" w:color="auto" w:fill="FFFFFF"/>
          </w:tcPr>
          <w:p>
            <w:pPr>
              <w:spacing w:before="40" w:after="40"/>
            </w:pPr>
            <w:r>
              <w:rPr>
                <w:color w:val="1A1A1A"/>
                <w:sz w:val="18"/>
              </w:rPr>
              <w:t>✅ Patente activa</w:t>
            </w:r>
          </w:p>
        </w:tc>
        <w:tc>
          <w:tcPr>
            <w:tcW w:type="dxa" w:w="2266"/>
            <w:shd w:val="clear" w:color="auto" w:fill="FFFFFF"/>
          </w:tcPr>
          <w:p>
            <w:pPr>
              <w:spacing w:before="40" w:after="40"/>
            </w:pPr>
            <w:r>
              <w:rPr>
                <w:color w:val="1A1A1A"/>
                <w:sz w:val="18"/>
              </w:rPr>
              <w:t>Tijuana, Tecate</w:t>
            </w:r>
          </w:p>
        </w:tc>
        <w:tc>
          <w:tcPr>
            <w:tcW w:type="dxa" w:w="2266"/>
            <w:shd w:val="clear" w:color="auto" w:fill="FFFFFF"/>
          </w:tcPr>
          <w:p>
            <w:pPr>
              <w:spacing w:before="40" w:after="40"/>
            </w:pPr>
            <w:r>
              <w:rPr>
                <w:color w:val="1A1A1A"/>
                <w:sz w:val="18"/>
              </w:rPr>
              <w:t>Generalista con foco en frontera</w:t>
            </w:r>
          </w:p>
        </w:tc>
      </w:tr>
      <w:tr>
        <w:tc>
          <w:tcPr>
            <w:tcW w:type="dxa" w:w="2266"/>
            <w:shd w:val="clear" w:color="auto" w:fill="EBF3FA"/>
          </w:tcPr>
          <w:p>
            <w:pPr>
              <w:spacing w:before="40" w:after="40"/>
            </w:pPr>
            <w:r>
              <w:rPr>
                <w:color w:val="1A1A1A"/>
                <w:sz w:val="18"/>
              </w:rPr>
              <w:t>Integración Aduanal</w:t>
            </w:r>
          </w:p>
        </w:tc>
        <w:tc>
          <w:tcPr>
            <w:tcW w:type="dxa" w:w="2266"/>
            <w:shd w:val="clear" w:color="auto" w:fill="EBF3FA"/>
          </w:tcPr>
          <w:p>
            <w:pPr>
              <w:spacing w:before="40" w:after="40"/>
            </w:pPr>
            <w:r>
              <w:rPr>
                <w:color w:val="1A1A1A"/>
                <w:sz w:val="18"/>
              </w:rPr>
              <w:t>✅ Patente activa</w:t>
            </w:r>
          </w:p>
        </w:tc>
        <w:tc>
          <w:tcPr>
            <w:tcW w:type="dxa" w:w="2266"/>
            <w:shd w:val="clear" w:color="auto" w:fill="EBF3FA"/>
          </w:tcPr>
          <w:p>
            <w:pPr>
              <w:spacing w:before="40" w:after="40"/>
            </w:pPr>
            <w:r>
              <w:rPr>
                <w:color w:val="1A1A1A"/>
                <w:sz w:val="18"/>
              </w:rPr>
              <w:t>Tijuana</w:t>
            </w:r>
          </w:p>
        </w:tc>
        <w:tc>
          <w:tcPr>
            <w:tcW w:type="dxa" w:w="2266"/>
            <w:shd w:val="clear" w:color="auto" w:fill="EBF3FA"/>
          </w:tcPr>
          <w:p>
            <w:pPr>
              <w:spacing w:before="40" w:after="40"/>
            </w:pPr>
            <w:r>
              <w:rPr>
                <w:color w:val="1A1A1A"/>
                <w:sz w:val="18"/>
              </w:rPr>
              <w:t>Servicios aduanales integrados</w:t>
            </w:r>
          </w:p>
        </w:tc>
      </w:tr>
      <w:tr>
        <w:tc>
          <w:tcPr>
            <w:tcW w:type="dxa" w:w="2266"/>
            <w:shd w:val="clear" w:color="auto" w:fill="FFFFFF"/>
          </w:tcPr>
          <w:p>
            <w:pPr>
              <w:spacing w:before="40" w:after="40"/>
            </w:pPr>
            <w:r>
              <w:rPr>
                <w:color w:val="1A1A1A"/>
                <w:sz w:val="18"/>
              </w:rPr>
              <w:t>AE Comercializadora</w:t>
            </w:r>
          </w:p>
        </w:tc>
        <w:tc>
          <w:tcPr>
            <w:tcW w:type="dxa" w:w="2266"/>
            <w:shd w:val="clear" w:color="auto" w:fill="FFFFFF"/>
          </w:tcPr>
          <w:p>
            <w:pPr>
              <w:spacing w:before="40" w:after="40"/>
            </w:pPr>
            <w:r>
              <w:rPr>
                <w:color w:val="1A1A1A"/>
                <w:sz w:val="18"/>
              </w:rPr>
              <w:t>✅ Operador asociado</w:t>
            </w:r>
          </w:p>
        </w:tc>
        <w:tc>
          <w:tcPr>
            <w:tcW w:type="dxa" w:w="2266"/>
            <w:shd w:val="clear" w:color="auto" w:fill="FFFFFF"/>
          </w:tcPr>
          <w:p>
            <w:pPr>
              <w:spacing w:before="40" w:after="40"/>
            </w:pPr>
            <w:r>
              <w:rPr>
                <w:color w:val="1A1A1A"/>
                <w:sz w:val="18"/>
              </w:rPr>
              <w:t>Tijuana</w:t>
            </w:r>
          </w:p>
        </w:tc>
        <w:tc>
          <w:tcPr>
            <w:tcW w:type="dxa" w:w="2266"/>
            <w:shd w:val="clear" w:color="auto" w:fill="FFFFFF"/>
          </w:tcPr>
          <w:p>
            <w:pPr>
              <w:spacing w:before="40" w:after="40"/>
            </w:pPr>
            <w:r>
              <w:rPr>
                <w:color w:val="1A1A1A"/>
                <w:sz w:val="18"/>
              </w:rPr>
              <w:t>Importación/exportación</w:t>
            </w:r>
          </w:p>
        </w:tc>
      </w:tr>
      <w:tr>
        <w:tc>
          <w:tcPr>
            <w:tcW w:type="dxa" w:w="2266"/>
            <w:shd w:val="clear" w:color="auto" w:fill="EBF3FA"/>
          </w:tcPr>
          <w:p>
            <w:pPr>
              <w:spacing w:before="40" w:after="40"/>
            </w:pPr>
            <w:r>
              <w:rPr>
                <w:color w:val="1A1A1A"/>
                <w:sz w:val="18"/>
              </w:rPr>
              <w:t>Asociación de Agentes Aduanales de Tijuana y Tecate</w:t>
            </w:r>
          </w:p>
        </w:tc>
        <w:tc>
          <w:tcPr>
            <w:tcW w:type="dxa" w:w="2266"/>
            <w:shd w:val="clear" w:color="auto" w:fill="EBF3FA"/>
          </w:tcPr>
          <w:p>
            <w:pPr>
              <w:spacing w:before="40" w:after="40"/>
            </w:pPr>
            <w:r>
              <w:rPr>
                <w:color w:val="1A1A1A"/>
                <w:sz w:val="18"/>
              </w:rPr>
              <w:t>—</w:t>
            </w:r>
          </w:p>
        </w:tc>
        <w:tc>
          <w:tcPr>
            <w:tcW w:type="dxa" w:w="2266"/>
            <w:shd w:val="clear" w:color="auto" w:fill="EBF3FA"/>
          </w:tcPr>
          <w:p>
            <w:pPr>
              <w:spacing w:before="40" w:after="40"/>
            </w:pPr>
            <w:r>
              <w:rPr>
                <w:color w:val="1A1A1A"/>
                <w:sz w:val="18"/>
              </w:rPr>
              <w:t>Tijuana</w:t>
            </w:r>
          </w:p>
        </w:tc>
        <w:tc>
          <w:tcPr>
            <w:tcW w:type="dxa" w:w="2266"/>
            <w:shd w:val="clear" w:color="auto" w:fill="EBF3FA"/>
          </w:tcPr>
          <w:p>
            <w:pPr>
              <w:spacing w:before="40" w:after="40"/>
            </w:pPr>
            <w:r>
              <w:rPr>
                <w:color w:val="1A1A1A"/>
                <w:sz w:val="18"/>
              </w:rPr>
              <w:t>Asociación gremial local, aglutina decenas de patentes</w:t>
            </w:r>
          </w:p>
        </w:tc>
      </w:tr>
    </w:tbl>
    <w:p/>
    <w:p>
      <w:pPr>
        <w:spacing w:before="20" w:after="60"/>
      </w:pPr>
      <w:r>
        <w:rPr>
          <w:color w:val="1A1A1A"/>
          <w:sz w:val="20"/>
        </w:rPr>
        <w:t xml:space="preserve">&gt; 🔍 </w:t>
      </w:r>
      <w:r>
        <w:rPr>
          <w:b/>
          <w:color w:val="1A1A1A"/>
          <w:sz w:val="20"/>
        </w:rPr>
        <w:t>Análisis:</w:t>
      </w:r>
      <w:r>
        <w:rPr>
          <w:color w:val="1A1A1A"/>
          <w:sz w:val="20"/>
        </w:rPr>
        <w:t xml:space="preserve"> Tijuana es plaza saturada de agentes aduanales con +20 años de operación. La diferenciación de Trixx contra estos competidores </w:t>
      </w:r>
      <w:r>
        <w:rPr>
          <w:b/>
          <w:color w:val="1A1A1A"/>
          <w:sz w:val="20"/>
        </w:rPr>
        <w:t>no puede ser en aduanal puro</w:t>
      </w:r>
      <w:r>
        <w:rPr>
          <w:color w:val="1A1A1A"/>
          <w:sz w:val="20"/>
        </w:rPr>
        <w:t xml:space="preserve"> — es commodity en plaza. Su diferenciador real es la combinación cross-border con flota propia + warehousing US-side + idioma chino. Esto recorta el segmento competitivo a 5-10 empresas verdaderamente integradas en la región.</w:t>
      </w:r>
    </w:p>
    <w:p>
      <w:pPr>
        <w:spacing w:before="160" w:after="40"/>
      </w:pPr>
      <w:r>
        <w:rPr>
          <w:b/>
          <w:color w:val="6B7280"/>
          <w:sz w:val="22"/>
        </w:rPr>
        <w:t>Tech-enabled forwarders internacionales operando en el corredor MX-USA</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0C1A2E"/>
          </w:tcPr>
          <w:p>
            <w:pPr>
              <w:spacing w:before="40" w:after="40"/>
            </w:pPr>
            <w:r>
              <w:rPr>
                <w:b/>
                <w:color w:val="FFFFFF"/>
                <w:sz w:val="18"/>
              </w:rPr>
              <w:t>Empresa</w:t>
            </w:r>
          </w:p>
        </w:tc>
        <w:tc>
          <w:tcPr>
            <w:tcW w:type="dxa" w:w="1813"/>
            <w:shd w:val="clear" w:color="auto" w:fill="0C1A2E"/>
          </w:tcPr>
          <w:p>
            <w:pPr>
              <w:spacing w:before="40" w:after="40"/>
            </w:pPr>
            <w:r>
              <w:rPr>
                <w:b/>
                <w:color w:val="FFFFFF"/>
                <w:sz w:val="18"/>
              </w:rPr>
              <w:t>Origen</w:t>
            </w:r>
          </w:p>
        </w:tc>
        <w:tc>
          <w:tcPr>
            <w:tcW w:type="dxa" w:w="1813"/>
            <w:shd w:val="clear" w:color="auto" w:fill="0C1A2E"/>
          </w:tcPr>
          <w:p>
            <w:pPr>
              <w:spacing w:before="40" w:after="40"/>
            </w:pPr>
            <w:r>
              <w:rPr>
                <w:b/>
                <w:color w:val="FFFFFF"/>
                <w:sz w:val="18"/>
              </w:rPr>
              <w:t>Foco</w:t>
            </w:r>
          </w:p>
        </w:tc>
        <w:tc>
          <w:tcPr>
            <w:tcW w:type="dxa" w:w="1813"/>
            <w:shd w:val="clear" w:color="auto" w:fill="0C1A2E"/>
          </w:tcPr>
          <w:p>
            <w:pPr>
              <w:spacing w:before="40" w:after="40"/>
            </w:pPr>
            <w:r>
              <w:rPr>
                <w:b/>
                <w:color w:val="FFFFFF"/>
                <w:sz w:val="18"/>
              </w:rPr>
              <w:t>Funding total</w:t>
            </w:r>
          </w:p>
        </w:tc>
        <w:tc>
          <w:tcPr>
            <w:tcW w:type="dxa" w:w="1813"/>
            <w:shd w:val="clear" w:color="auto" w:fill="0C1A2E"/>
          </w:tcPr>
          <w:p>
            <w:pPr>
              <w:spacing w:before="40" w:after="40"/>
            </w:pPr>
            <w:r>
              <w:rPr>
                <w:b/>
                <w:color w:val="FFFFFF"/>
                <w:sz w:val="18"/>
              </w:rPr>
              <w:t>Amenaza para Trixx</w:t>
            </w:r>
          </w:p>
        </w:tc>
      </w:tr>
      <w:tr>
        <w:tc>
          <w:tcPr>
            <w:tcW w:type="dxa" w:w="1813"/>
            <w:shd w:val="clear" w:color="auto" w:fill="FFFFFF"/>
          </w:tcPr>
          <w:p>
            <w:pPr>
              <w:spacing w:before="40" w:after="40"/>
            </w:pPr>
            <w:r>
              <w:rPr>
                <w:color w:val="1A1A1A"/>
                <w:sz w:val="18"/>
              </w:rPr>
              <w:t>Nuvocargo</w:t>
            </w:r>
          </w:p>
        </w:tc>
        <w:tc>
          <w:tcPr>
            <w:tcW w:type="dxa" w:w="1813"/>
            <w:shd w:val="clear" w:color="auto" w:fill="FFFFFF"/>
          </w:tcPr>
          <w:p>
            <w:pPr>
              <w:spacing w:before="40" w:after="40"/>
            </w:pPr>
            <w:r>
              <w:rPr>
                <w:color w:val="1A1A1A"/>
                <w:sz w:val="18"/>
              </w:rPr>
              <w:t>USA, foco US-MX</w:t>
            </w:r>
          </w:p>
        </w:tc>
        <w:tc>
          <w:tcPr>
            <w:tcW w:type="dxa" w:w="1813"/>
            <w:shd w:val="clear" w:color="auto" w:fill="FFFFFF"/>
          </w:tcPr>
          <w:p>
            <w:pPr>
              <w:spacing w:before="40" w:after="40"/>
            </w:pPr>
            <w:r>
              <w:rPr>
                <w:color w:val="1A1A1A"/>
                <w:sz w:val="18"/>
              </w:rPr>
              <w:t>Brokerage + visibility platform</w:t>
            </w:r>
          </w:p>
        </w:tc>
        <w:tc>
          <w:tcPr>
            <w:tcW w:type="dxa" w:w="1813"/>
            <w:shd w:val="clear" w:color="auto" w:fill="FFFFFF"/>
          </w:tcPr>
          <w:p>
            <w:pPr>
              <w:spacing w:before="40" w:after="40"/>
            </w:pPr>
            <w:r>
              <w:rPr>
                <w:color w:val="1A1A1A"/>
                <w:sz w:val="18"/>
              </w:rPr>
              <w:t>✅ USD 74.4M (Series B USD 36.5M jun 2023 a USD 250M valuation)</w:t>
            </w:r>
          </w:p>
        </w:tc>
        <w:tc>
          <w:tcPr>
            <w:tcW w:type="dxa" w:w="1813"/>
            <w:shd w:val="clear" w:color="auto" w:fill="FFFFFF"/>
          </w:tcPr>
          <w:p>
            <w:pPr>
              <w:spacing w:before="40" w:after="40"/>
            </w:pPr>
            <w:r>
              <w:rPr>
                <w:color w:val="1A1A1A"/>
                <w:sz w:val="18"/>
              </w:rPr>
              <w:t>Alta — directamente compite en cross-border MX-US</w:t>
            </w:r>
          </w:p>
        </w:tc>
      </w:tr>
      <w:tr>
        <w:tc>
          <w:tcPr>
            <w:tcW w:type="dxa" w:w="1813"/>
            <w:shd w:val="clear" w:color="auto" w:fill="EBF3FA"/>
          </w:tcPr>
          <w:p>
            <w:pPr>
              <w:spacing w:before="40" w:after="40"/>
            </w:pPr>
            <w:r>
              <w:rPr>
                <w:color w:val="1A1A1A"/>
                <w:sz w:val="18"/>
              </w:rPr>
              <w:t>Flexport</w:t>
            </w:r>
          </w:p>
        </w:tc>
        <w:tc>
          <w:tcPr>
            <w:tcW w:type="dxa" w:w="1813"/>
            <w:shd w:val="clear" w:color="auto" w:fill="EBF3FA"/>
          </w:tcPr>
          <w:p>
            <w:pPr>
              <w:spacing w:before="40" w:after="40"/>
            </w:pPr>
            <w:r>
              <w:rPr>
                <w:color w:val="1A1A1A"/>
                <w:sz w:val="18"/>
              </w:rPr>
              <w:t>USA, global</w:t>
            </w:r>
          </w:p>
        </w:tc>
        <w:tc>
          <w:tcPr>
            <w:tcW w:type="dxa" w:w="1813"/>
            <w:shd w:val="clear" w:color="auto" w:fill="EBF3FA"/>
          </w:tcPr>
          <w:p>
            <w:pPr>
              <w:spacing w:before="40" w:after="40"/>
            </w:pPr>
            <w:r>
              <w:rPr>
                <w:color w:val="1A1A1A"/>
                <w:sz w:val="18"/>
              </w:rPr>
              <w:t>Forwarding digital + customs + supply chain</w:t>
            </w:r>
          </w:p>
        </w:tc>
        <w:tc>
          <w:tcPr>
            <w:tcW w:type="dxa" w:w="1813"/>
            <w:shd w:val="clear" w:color="auto" w:fill="EBF3FA"/>
          </w:tcPr>
          <w:p>
            <w:pPr>
              <w:spacing w:before="40" w:after="40"/>
            </w:pPr>
            <w:r>
              <w:rPr>
                <w:color w:val="1A1A1A"/>
                <w:sz w:val="18"/>
              </w:rPr>
              <w:t>✅ USD 2.7B (incluye USD 260M de Shopify ene 2024); inversor en Nuvocargo</w:t>
            </w:r>
          </w:p>
        </w:tc>
        <w:tc>
          <w:tcPr>
            <w:tcW w:type="dxa" w:w="1813"/>
            <w:shd w:val="clear" w:color="auto" w:fill="EBF3FA"/>
          </w:tcPr>
          <w:p>
            <w:pPr>
              <w:spacing w:before="40" w:after="40"/>
            </w:pPr>
            <w:r>
              <w:rPr>
                <w:color w:val="1A1A1A"/>
                <w:sz w:val="18"/>
              </w:rPr>
              <w:t>Media-Alta — más enterprise focus</w:t>
            </w:r>
          </w:p>
        </w:tc>
      </w:tr>
      <w:tr>
        <w:tc>
          <w:tcPr>
            <w:tcW w:type="dxa" w:w="1813"/>
            <w:shd w:val="clear" w:color="auto" w:fill="FFFFFF"/>
          </w:tcPr>
          <w:p>
            <w:pPr>
              <w:spacing w:before="40" w:after="40"/>
            </w:pPr>
            <w:r>
              <w:rPr>
                <w:color w:val="1A1A1A"/>
                <w:sz w:val="18"/>
              </w:rPr>
              <w:t>Forto</w:t>
            </w:r>
          </w:p>
        </w:tc>
        <w:tc>
          <w:tcPr>
            <w:tcW w:type="dxa" w:w="1813"/>
            <w:shd w:val="clear" w:color="auto" w:fill="FFFFFF"/>
          </w:tcPr>
          <w:p>
            <w:pPr>
              <w:spacing w:before="40" w:after="40"/>
            </w:pPr>
            <w:r>
              <w:rPr>
                <w:color w:val="1A1A1A"/>
                <w:sz w:val="18"/>
              </w:rPr>
              <w:t>Alemania, global</w:t>
            </w:r>
          </w:p>
        </w:tc>
        <w:tc>
          <w:tcPr>
            <w:tcW w:type="dxa" w:w="1813"/>
            <w:shd w:val="clear" w:color="auto" w:fill="FFFFFF"/>
          </w:tcPr>
          <w:p>
            <w:pPr>
              <w:spacing w:before="40" w:after="40"/>
            </w:pPr>
            <w:r>
              <w:rPr>
                <w:color w:val="1A1A1A"/>
                <w:sz w:val="18"/>
              </w:rPr>
              <w:t>Digital forwarder</w:t>
            </w:r>
          </w:p>
        </w:tc>
        <w:tc>
          <w:tcPr>
            <w:tcW w:type="dxa" w:w="1813"/>
            <w:shd w:val="clear" w:color="auto" w:fill="FFFFFF"/>
          </w:tcPr>
          <w:p>
            <w:pPr>
              <w:spacing w:before="40" w:after="40"/>
            </w:pPr>
            <w:r>
              <w:rPr>
                <w:color w:val="1A1A1A"/>
                <w:sz w:val="18"/>
              </w:rPr>
              <w:t>✅ USD 593.4M, 900+ empleados, 2.5K+ clientes</w:t>
            </w:r>
          </w:p>
        </w:tc>
        <w:tc>
          <w:tcPr>
            <w:tcW w:type="dxa" w:w="1813"/>
            <w:shd w:val="clear" w:color="auto" w:fill="FFFFFF"/>
          </w:tcPr>
          <w:p>
            <w:pPr>
              <w:spacing w:before="40" w:after="40"/>
            </w:pPr>
            <w:r>
              <w:rPr>
                <w:color w:val="1A1A1A"/>
                <w:sz w:val="18"/>
              </w:rPr>
              <w:t>Baja-Media en MX (foco principal Europa-Asia)</w:t>
            </w:r>
          </w:p>
        </w:tc>
      </w:tr>
      <w:tr>
        <w:tc>
          <w:tcPr>
            <w:tcW w:type="dxa" w:w="1813"/>
            <w:shd w:val="clear" w:color="auto" w:fill="EBF3FA"/>
          </w:tcPr>
          <w:p>
            <w:pPr>
              <w:spacing w:before="40" w:after="40"/>
            </w:pPr>
            <w:r>
              <w:rPr>
                <w:color w:val="1A1A1A"/>
                <w:sz w:val="18"/>
              </w:rPr>
              <w:t>Convoy / spin-offs</w:t>
            </w:r>
          </w:p>
        </w:tc>
        <w:tc>
          <w:tcPr>
            <w:tcW w:type="dxa" w:w="1813"/>
            <w:shd w:val="clear" w:color="auto" w:fill="EBF3FA"/>
          </w:tcPr>
          <w:p>
            <w:pPr>
              <w:spacing w:before="40" w:after="40"/>
            </w:pPr>
            <w:r>
              <w:rPr>
                <w:color w:val="1A1A1A"/>
                <w:sz w:val="18"/>
              </w:rPr>
              <w:t>USA</w:t>
            </w:r>
          </w:p>
        </w:tc>
        <w:tc>
          <w:tcPr>
            <w:tcW w:type="dxa" w:w="1813"/>
            <w:shd w:val="clear" w:color="auto" w:fill="EBF3FA"/>
          </w:tcPr>
          <w:p>
            <w:pPr>
              <w:spacing w:before="40" w:after="40"/>
            </w:pPr>
            <w:r>
              <w:rPr>
                <w:color w:val="1A1A1A"/>
                <w:sz w:val="18"/>
              </w:rPr>
              <w:t>Brokerage automatizado</w:t>
            </w:r>
          </w:p>
        </w:tc>
        <w:tc>
          <w:tcPr>
            <w:tcW w:type="dxa" w:w="1813"/>
            <w:shd w:val="clear" w:color="auto" w:fill="EBF3FA"/>
          </w:tcPr>
          <w:p>
            <w:pPr>
              <w:spacing w:before="40" w:after="40"/>
            </w:pPr>
            <w:r>
              <w:rPr>
                <w:color w:val="1A1A1A"/>
                <w:sz w:val="18"/>
              </w:rPr>
              <w:t>—</w:t>
            </w:r>
          </w:p>
        </w:tc>
        <w:tc>
          <w:tcPr>
            <w:tcW w:type="dxa" w:w="1813"/>
            <w:shd w:val="clear" w:color="auto" w:fill="EBF3FA"/>
          </w:tcPr>
          <w:p>
            <w:pPr>
              <w:spacing w:before="40" w:after="40"/>
            </w:pPr>
            <w:r>
              <w:rPr>
                <w:color w:val="1A1A1A"/>
                <w:sz w:val="18"/>
              </w:rPr>
              <w:t>Baja-Media (foco doméstico US)</w:t>
            </w:r>
          </w:p>
        </w:tc>
      </w:tr>
      <w:tr>
        <w:tc>
          <w:tcPr>
            <w:tcW w:type="dxa" w:w="1813"/>
            <w:shd w:val="clear" w:color="auto" w:fill="FFFFFF"/>
          </w:tcPr>
          <w:p>
            <w:pPr>
              <w:spacing w:before="40" w:after="40"/>
            </w:pPr>
            <w:r>
              <w:rPr>
                <w:color w:val="1A1A1A"/>
                <w:sz w:val="18"/>
              </w:rPr>
              <w:t>AduanApp</w:t>
            </w:r>
          </w:p>
        </w:tc>
        <w:tc>
          <w:tcPr>
            <w:tcW w:type="dxa" w:w="1813"/>
            <w:shd w:val="clear" w:color="auto" w:fill="FFFFFF"/>
          </w:tcPr>
          <w:p>
            <w:pPr>
              <w:spacing w:before="40" w:after="40"/>
            </w:pPr>
            <w:r>
              <w:rPr>
                <w:color w:val="1A1A1A"/>
                <w:sz w:val="18"/>
              </w:rPr>
              <w:t>México</w:t>
            </w:r>
          </w:p>
        </w:tc>
        <w:tc>
          <w:tcPr>
            <w:tcW w:type="dxa" w:w="1813"/>
            <w:shd w:val="clear" w:color="auto" w:fill="FFFFFF"/>
          </w:tcPr>
          <w:p>
            <w:pPr>
              <w:spacing w:before="40" w:after="40"/>
            </w:pPr>
            <w:r>
              <w:rPr>
                <w:color w:val="1A1A1A"/>
                <w:sz w:val="18"/>
              </w:rPr>
              <w:t>Clasificación arancelaria con IA</w:t>
            </w:r>
          </w:p>
        </w:tc>
        <w:tc>
          <w:tcPr>
            <w:tcW w:type="dxa" w:w="1813"/>
            <w:shd w:val="clear" w:color="auto" w:fill="FFFFFF"/>
          </w:tcPr>
          <w:p>
            <w:pPr>
              <w:spacing w:before="40" w:after="40"/>
            </w:pPr>
            <w:r>
              <w:rPr>
                <w:color w:val="1A1A1A"/>
                <w:sz w:val="18"/>
              </w:rPr>
              <w:t>⚠️ Funding privado no revelado</w:t>
            </w:r>
          </w:p>
        </w:tc>
        <w:tc>
          <w:tcPr>
            <w:tcW w:type="dxa" w:w="1813"/>
            <w:shd w:val="clear" w:color="auto" w:fill="FFFFFF"/>
          </w:tcPr>
          <w:p>
            <w:pPr>
              <w:spacing w:before="40" w:after="40"/>
            </w:pPr>
            <w:r>
              <w:rPr>
                <w:color w:val="1A1A1A"/>
                <w:sz w:val="18"/>
              </w:rPr>
              <w:t>Media — punto de inserción de IA en aduanal</w:t>
            </w:r>
          </w:p>
        </w:tc>
      </w:tr>
    </w:tbl>
    <w:p/>
    <w:p>
      <w:pPr>
        <w:spacing w:before="160" w:after="40"/>
      </w:pPr>
      <w:r>
        <w:rPr>
          <w:b/>
          <w:color w:val="6B7280"/>
          <w:sz w:val="22"/>
        </w:rPr>
        <w:t>Panorama competitivo</w:t>
      </w:r>
    </w:p>
    <w:p>
      <w:pPr>
        <w:pStyle w:val="ListBullet"/>
        <w:spacing w:before="0" w:after="40"/>
      </w:pPr>
      <w:r>
        <w:rPr>
          <w:b/>
          <w:color w:val="1A1A1A"/>
          <w:sz w:val="20"/>
        </w:rPr>
        <w:t>Concentración del mercado nacional:</w:t>
      </w:r>
      <w:r>
        <w:rPr>
          <w:color w:val="1A1A1A"/>
          <w:sz w:val="20"/>
        </w:rPr>
        <w:t xml:space="preserve"> Atomizado. </w:t>
      </w:r>
      <w:r>
        <w:rPr>
          <w:b/>
          <w:color w:val="1A1A1A"/>
          <w:sz w:val="20"/>
        </w:rPr>
        <w:t>80% de los permisionarios de autotransporte son micro empresas de 1-5 unidades ("hombre-camión")</w:t>
      </w:r>
      <w:r>
        <w:rPr>
          <w:color w:val="1A1A1A"/>
          <w:sz w:val="20"/>
        </w:rPr>
        <w:t>. Solo el segmento de medianas (31-100 unidades) creció proporcionalmente más en 2024-2025 (+10%).</w:t>
      </w:r>
    </w:p>
    <w:p>
      <w:pPr>
        <w:pStyle w:val="ListBullet"/>
        <w:spacing w:before="0" w:after="40"/>
      </w:pPr>
      <w:r>
        <w:rPr>
          <w:b/>
          <w:color w:val="1A1A1A"/>
          <w:sz w:val="20"/>
        </w:rPr>
        <w:t>Concentración del mercado aduanal:</w:t>
      </w:r>
      <w:r>
        <w:rPr>
          <w:color w:val="1A1A1A"/>
          <w:sz w:val="20"/>
        </w:rPr>
        <w:t xml:space="preserve"> Menos atomizado por la barrera de patente. CAAAREM representa </w:t>
      </w:r>
      <w:r>
        <w:rPr>
          <w:b/>
          <w:color w:val="1A1A1A"/>
          <w:sz w:val="20"/>
        </w:rPr>
        <w:t>99% de los agentes aduanales</w:t>
      </w:r>
      <w:r>
        <w:rPr>
          <w:color w:val="1A1A1A"/>
          <w:sz w:val="20"/>
        </w:rPr>
        <w:t xml:space="preserve"> y opera 38 asociaciones distribuidas en puertos terrestres, marítimos, aéreos e interiores.</w:t>
      </w:r>
    </w:p>
    <w:p>
      <w:pPr>
        <w:pStyle w:val="ListBullet"/>
        <w:spacing w:before="0" w:after="40"/>
      </w:pPr>
      <w:r>
        <w:rPr>
          <w:b/>
          <w:color w:val="1A1A1A"/>
          <w:sz w:val="20"/>
        </w:rPr>
        <w:t>Consolidación en curso:</w:t>
      </w:r>
      <w:r>
        <w:rPr>
          <w:color w:val="1A1A1A"/>
          <w:sz w:val="20"/>
        </w:rPr>
        <w:t xml:space="preserve"> Tech-enabled forwarders (Nuvocargo, Flexport) están adquiriendo cuentas mid-market que históricamente atendían agencias regionales. Es un movimiento de mid-2024 hacia adelante.</w:t>
      </w:r>
    </w:p>
    <w:p>
      <w:pPr>
        <w:spacing w:before="20" w:after="60"/>
      </w:pPr>
      <w:r>
        <w:rPr>
          <w:color w:val="1A1A1A"/>
          <w:sz w:val="20"/>
        </w:rPr>
        <w:t xml:space="preserve">&gt; 🔍 </w:t>
      </w:r>
      <w:r>
        <w:rPr>
          <w:b/>
          <w:color w:val="1A1A1A"/>
          <w:sz w:val="20"/>
        </w:rPr>
        <w:t>Análisis para Trixx específicamente:</w:t>
      </w:r>
      <w:r>
        <w:rPr>
          <w:color w:val="1A1A1A"/>
          <w:sz w:val="20"/>
        </w:rPr>
        <w:t xml:space="preserve"> El competidor más relevante NO es otra agencia aduanal de Tijuana — es </w:t>
      </w:r>
      <w:r>
        <w:rPr>
          <w:b/>
          <w:color w:val="1A1A1A"/>
          <w:sz w:val="20"/>
        </w:rPr>
        <w:t>Nuvocargo</w:t>
      </w:r>
      <w:r>
        <w:rPr>
          <w:color w:val="1A1A1A"/>
          <w:sz w:val="20"/>
        </w:rPr>
        <w:t>. Nuvocargo opera el mismo corredor US-MX con foco en el segmento mid-market, plataforma digital, visibility en tiempo real y financiamiento de USD 74M+. Si Trixx no construye una propuesta digital diferenciada en los próximos 18-24 meses, Nuvocargo (o su sucesor) le va a comer la base de clientes que hoy depende del modelo relacional + Excel.</w:t>
      </w:r>
    </w:p>
    <w:p>
      <w:pPr>
        <w:spacing w:before="40" w:after="40"/>
      </w:pPr>
    </w:p>
    <w:p>
      <w:pPr>
        <w:spacing w:before="280" w:after="60"/>
        <w:pBdr>
          <w:bottom w:val="single" w:sz="4" w:space="1" w:color="0EA5E9"/>
        </w:pBdr>
      </w:pPr>
      <w:r>
        <w:rPr>
          <w:b/>
          <w:color w:val="0EA5E9"/>
          <w:sz w:val="28"/>
        </w:rPr>
        <w:t>3. TENDENCIAS CLAVE (3-5 AÑOS)</w:t>
      </w:r>
    </w:p>
    <w:p>
      <w:pPr>
        <w:spacing w:before="160" w:after="40"/>
      </w:pPr>
      <w:r>
        <w:rPr>
          <w:b/>
          <w:color w:val="6B7280"/>
          <w:sz w:val="22"/>
        </w:rPr>
        <w:t>Tendencias tecnológicas</w:t>
      </w:r>
    </w:p>
    <w:p>
      <w:pPr>
        <w:spacing w:before="20" w:after="60"/>
      </w:pPr>
      <w:r>
        <w:rPr>
          <w:b/>
          <w:color w:val="1A1A1A"/>
          <w:sz w:val="20"/>
        </w:rPr>
        <w:t>1. IA aplicada a clasificación arancelaria (early-adopter window 2024-2026).</w:t>
      </w:r>
      <w:r>
        <w:rPr>
          <w:color w:val="1A1A1A"/>
          <w:sz w:val="20"/>
        </w:rPr>
        <w:t xml:space="preserve"> La clasificación de fracciones TIGIE / Sistema Armonizado es el cuello de botella histórico del despacho aduanero. </w:t>
      </w:r>
      <w:r>
        <w:rPr>
          <w:b/>
          <w:color w:val="1A1A1A"/>
          <w:sz w:val="20"/>
        </w:rPr>
        <w:t>AduanApp</w:t>
      </w:r>
      <w:r>
        <w:rPr>
          <w:color w:val="1A1A1A"/>
          <w:sz w:val="20"/>
        </w:rPr>
        <w:t xml:space="preserve"> clasifica cada operación en 7-13 segundos con 95% de precisión usando LLMs + computer vision + APIs. </w:t>
      </w:r>
      <w:r>
        <w:rPr>
          <w:b/>
          <w:color w:val="1A1A1A"/>
          <w:sz w:val="20"/>
        </w:rPr>
        <w:t>Taxer</w:t>
      </w:r>
      <w:r>
        <w:rPr>
          <w:color w:val="1A1A1A"/>
          <w:sz w:val="20"/>
        </w:rPr>
        <w:t xml:space="preserve"> reporta 56% reducción en tiempos de flujo. En noviembre 2024, la AAADAM organizó el </w:t>
      </w:r>
      <w:r>
        <w:rPr>
          <w:b/>
          <w:color w:val="1A1A1A"/>
          <w:sz w:val="20"/>
        </w:rPr>
        <w:t>Primer Concurso de Proveedores de Clasificación Arancelaria No Humana</w:t>
      </w:r>
      <w:r>
        <w:rPr>
          <w:color w:val="1A1A1A"/>
          <w:sz w:val="20"/>
        </w:rPr>
        <w:t xml:space="preserve"> con Taxer, Moco AI, AduanApp y Experta como participantes — señal de que la industria reconoce el cambio como inevitable.</w:t>
      </w:r>
    </w:p>
    <w:p>
      <w:pPr>
        <w:spacing w:before="20" w:after="60"/>
      </w:pPr>
      <w:r>
        <w:rPr>
          <w:b/>
          <w:color w:val="1A1A1A"/>
          <w:sz w:val="20"/>
        </w:rPr>
        <w:t>2. Visibility platforms multimodales.</w:t>
      </w:r>
      <w:r>
        <w:rPr>
          <w:color w:val="1A1A1A"/>
          <w:sz w:val="20"/>
        </w:rPr>
        <w:t xml:space="preserve"> Project44, FourKites, MacroPoint, Nuvocargo han incorporado tracking en tiempo real como expectativa del cliente. Los forwarders locales sin esta capacidad están perdiendo cuentas mid-market que la solicitan en RFQs.</w:t>
      </w:r>
    </w:p>
    <w:p>
      <w:pPr>
        <w:spacing w:before="20" w:after="60"/>
      </w:pPr>
      <w:r>
        <w:rPr>
          <w:b/>
          <w:color w:val="1A1A1A"/>
          <w:sz w:val="20"/>
        </w:rPr>
        <w:t>3. Automatización documental.</w:t>
      </w:r>
      <w:r>
        <w:rPr>
          <w:color w:val="1A1A1A"/>
          <w:sz w:val="20"/>
        </w:rPr>
        <w:t xml:space="preserve"> OCR + NER + validación contra reglas SAT para pedimentos, BOLs, cartas porte, packing lists. El costo del software ha bajado dramáticamente (LLMs commoditizados) mientras el costo de operadores de captura sigue subiendo.</w:t>
      </w:r>
    </w:p>
    <w:p>
      <w:pPr>
        <w:spacing w:before="160" w:after="40"/>
      </w:pPr>
      <w:r>
        <w:rPr>
          <w:b/>
          <w:color w:val="6B7280"/>
          <w:sz w:val="22"/>
        </w:rPr>
        <w:t>Tendencias del cliente final</w:t>
      </w:r>
    </w:p>
    <w:p>
      <w:pPr>
        <w:spacing w:before="20" w:after="60"/>
      </w:pPr>
      <w:r>
        <w:rPr>
          <w:b/>
          <w:color w:val="1A1A1A"/>
          <w:sz w:val="20"/>
        </w:rPr>
        <w:t>1. Expectativa de visibility 24/7.</w:t>
      </w:r>
      <w:r>
        <w:rPr>
          <w:color w:val="1A1A1A"/>
          <w:sz w:val="20"/>
        </w:rPr>
        <w:t xml:space="preserve"> El cliente B2B ya no acepta "te llamamos cuando llegue" — espera dashboard, alertas push, ETA dinámico. Esta expectativa proviene de retail B2C (Amazon, Mercado Libre) y se transfiere a logística B2B.</w:t>
      </w:r>
    </w:p>
    <w:p>
      <w:pPr>
        <w:spacing w:before="20" w:after="60"/>
      </w:pPr>
      <w:r>
        <w:rPr>
          <w:b/>
          <w:color w:val="1A1A1A"/>
          <w:sz w:val="20"/>
        </w:rPr>
        <w:t>2. Self-service en cotización para flujos recurrentes.</w:t>
      </w:r>
      <w:r>
        <w:rPr>
          <w:color w:val="1A1A1A"/>
          <w:sz w:val="20"/>
        </w:rPr>
        <w:t xml:space="preserve"> RFQs digitales con respuesta en horas (no días) son hoy estándar entre forwarders tech-enabled.</w:t>
      </w:r>
    </w:p>
    <w:p>
      <w:pPr>
        <w:spacing w:before="20" w:after="60"/>
      </w:pPr>
      <w:r>
        <w:rPr>
          <w:b/>
          <w:color w:val="1A1A1A"/>
          <w:sz w:val="20"/>
        </w:rPr>
        <w:t>3. Sustentabilidad como criterio creciente.</w:t>
      </w:r>
      <w:r>
        <w:rPr>
          <w:color w:val="1A1A1A"/>
          <w:sz w:val="20"/>
        </w:rPr>
        <w:t xml:space="preserve"> Reportes de emisiones por envío, transporte eléctrico/híbrido, compliance ESG son requisitos crecientes para clientes multinacionales con operaciones en MX.</w:t>
      </w:r>
    </w:p>
    <w:p>
      <w:pPr>
        <w:spacing w:before="160" w:after="40"/>
      </w:pPr>
      <w:r>
        <w:rPr>
          <w:b/>
          <w:color w:val="6B7280"/>
          <w:sz w:val="22"/>
        </w:rPr>
        <w:t>Tendencias regulatorias</w:t>
      </w:r>
    </w:p>
    <w:p>
      <w:pPr>
        <w:spacing w:before="80" w:after="40"/>
      </w:pPr>
      <w:r>
        <w:rPr>
          <w:b/>
          <w:color w:val="0C1A2E"/>
          <w:sz w:val="20"/>
        </w:rPr>
        <w:t>1. Reforma Ley Aduanera 2025 (vigor 1-ene-2026).</w:t>
      </w:r>
    </w:p>
    <w:p>
      <w:pPr>
        <w:pStyle w:val="ListBullet"/>
        <w:spacing w:before="0" w:after="40"/>
      </w:pPr>
      <w:r>
        <w:rPr>
          <w:color w:val="1A1A1A"/>
          <w:sz w:val="20"/>
        </w:rPr>
        <w:t xml:space="preserve">⚠️ Las patentes de agente aduanal dejan de ser </w:t>
      </w:r>
      <w:r>
        <w:rPr>
          <w:b/>
          <w:color w:val="1A1A1A"/>
          <w:sz w:val="20"/>
        </w:rPr>
        <w:t>vitalicias</w:t>
      </w:r>
      <w:r>
        <w:rPr>
          <w:color w:val="1A1A1A"/>
          <w:sz w:val="20"/>
        </w:rPr>
        <w:t xml:space="preserve">; ahora tienen </w:t>
      </w:r>
      <w:r>
        <w:rPr>
          <w:b/>
          <w:color w:val="1A1A1A"/>
          <w:sz w:val="20"/>
        </w:rPr>
        <w:t>vigencia 20 años + prórroga sujeta a requisitos</w:t>
      </w:r>
      <w:r>
        <w:rPr>
          <w:color w:val="1A1A1A"/>
          <w:sz w:val="20"/>
        </w:rPr>
        <w:t>.</w:t>
      </w:r>
    </w:p>
    <w:p>
      <w:pPr>
        <w:pStyle w:val="ListBullet"/>
        <w:spacing w:before="0" w:after="40"/>
      </w:pPr>
      <w:r>
        <w:rPr>
          <w:color w:val="1A1A1A"/>
          <w:sz w:val="20"/>
        </w:rPr>
        <w:t xml:space="preserve">⚠️ Certificaciones periódicas </w:t>
      </w:r>
      <w:r>
        <w:rPr>
          <w:b/>
          <w:color w:val="1A1A1A"/>
          <w:sz w:val="20"/>
        </w:rPr>
        <w:t>cada 3 años</w:t>
      </w:r>
      <w:r>
        <w:rPr>
          <w:color w:val="1A1A1A"/>
          <w:sz w:val="20"/>
        </w:rPr>
        <w:t>.</w:t>
      </w:r>
    </w:p>
    <w:p>
      <w:pPr>
        <w:pStyle w:val="ListBullet"/>
        <w:spacing w:before="0" w:after="40"/>
      </w:pPr>
      <w:r>
        <w:rPr>
          <w:color w:val="1A1A1A"/>
          <w:sz w:val="20"/>
        </w:rPr>
        <w:t xml:space="preserve">⚠️ Se crea un nuevo </w:t>
      </w:r>
      <w:r>
        <w:rPr>
          <w:b/>
          <w:color w:val="1A1A1A"/>
          <w:sz w:val="20"/>
        </w:rPr>
        <w:t>Consejo Aduanero</w:t>
      </w:r>
      <w:r>
        <w:rPr>
          <w:color w:val="1A1A1A"/>
          <w:sz w:val="20"/>
        </w:rPr>
        <w:t xml:space="preserve"> para otorgar, suspender, cancelar e inhabilitar patentes.</w:t>
      </w:r>
    </w:p>
    <w:p>
      <w:pPr>
        <w:pStyle w:val="ListBullet"/>
        <w:spacing w:before="0" w:after="40"/>
      </w:pPr>
      <w:r>
        <w:rPr>
          <w:color w:val="1A1A1A"/>
          <w:sz w:val="20"/>
        </w:rPr>
        <w:t xml:space="preserve">⚠️ Se elimina la exclusión de responsabilidad: el agente aduanal AHORA es </w:t>
      </w:r>
      <w:r>
        <w:rPr>
          <w:b/>
          <w:color w:val="1A1A1A"/>
          <w:sz w:val="20"/>
        </w:rPr>
        <w:t>responsable solidario con el importador/exportador</w:t>
      </w:r>
      <w:r>
        <w:rPr>
          <w:color w:val="1A1A1A"/>
          <w:sz w:val="20"/>
        </w:rPr>
        <w:t xml:space="preserve"> sobre clasificación, valor, impuestos.</w:t>
      </w:r>
    </w:p>
    <w:p>
      <w:pPr>
        <w:pStyle w:val="ListBullet"/>
        <w:spacing w:before="0" w:after="40"/>
      </w:pPr>
      <w:r>
        <w:rPr>
          <w:color w:val="1A1A1A"/>
          <w:sz w:val="20"/>
        </w:rPr>
        <w:t>Fuente: Decreto publicado en DOF el 19 noviembre 2025.</w:t>
      </w:r>
    </w:p>
    <w:p>
      <w:pPr>
        <w:spacing w:before="80" w:after="40"/>
      </w:pPr>
      <w:r>
        <w:rPr>
          <w:b/>
          <w:color w:val="0C1A2E"/>
          <w:sz w:val="20"/>
        </w:rPr>
        <w:t>2. CFDI 4.0 + Complemento Carta Porte 3.1 (vigente desde julio 2024).</w:t>
      </w:r>
    </w:p>
    <w:p>
      <w:pPr>
        <w:pStyle w:val="ListBullet"/>
        <w:spacing w:before="0" w:after="40"/>
      </w:pPr>
      <w:r>
        <w:rPr>
          <w:color w:val="1A1A1A"/>
          <w:sz w:val="20"/>
        </w:rPr>
        <w:t>✅ Obligatorio para cualquier persona física o moral que transporte mercancía propia o de terceros por territorio nacional.</w:t>
      </w:r>
    </w:p>
    <w:p>
      <w:pPr>
        <w:pStyle w:val="ListBullet"/>
        <w:spacing w:before="0" w:after="40"/>
      </w:pPr>
      <w:r>
        <w:rPr>
          <w:color w:val="1A1A1A"/>
          <w:sz w:val="20"/>
        </w:rPr>
        <w:t>✅ Multas: $850-$19,240 MXN por CFDI con error; $27,760-$53,650 MXN por vehículo detenido sin CFDI.</w:t>
      </w:r>
    </w:p>
    <w:p>
      <w:pPr>
        <w:pStyle w:val="ListBullet"/>
        <w:spacing w:before="0" w:after="40"/>
      </w:pPr>
      <w:r>
        <w:rPr>
          <w:color w:val="1A1A1A"/>
          <w:sz w:val="20"/>
        </w:rPr>
        <w:t>✅ Art. 103 CFF: contrabando presunto sin CFDI con Carta Porte; Art. 104 IV: prisión 3-6 años.</w:t>
      </w:r>
    </w:p>
    <w:p>
      <w:pPr>
        <w:spacing w:before="20" w:after="60"/>
      </w:pPr>
      <w:r>
        <w:rPr>
          <w:b/>
          <w:color w:val="1A1A1A"/>
          <w:sz w:val="20"/>
        </w:rPr>
        <w:t>3. USMCA / T-MEC Review 2026.</w:t>
      </w:r>
      <w:r>
        <w:rPr>
          <w:color w:val="1A1A1A"/>
          <w:sz w:val="20"/>
        </w:rPr>
        <w:t xml:space="preserve"> Joint review formal lanzado 18 marzo 2026 por USTR Greer + Secretaría Ebrard. Decisión 1-jul-2026: renovar 16 años as-is, renegociar, o iniciar sunset countdown que terminaría 1-jul-2036. </w:t>
      </w:r>
      <w:r>
        <w:rPr>
          <w:b/>
          <w:color w:val="1A1A1A"/>
          <w:sz w:val="20"/>
        </w:rPr>
        <w:t>USMCA utilization MX exportadores: 44.8% en enero 2025 → 85% en enero 2026</w:t>
      </w:r>
      <w:r>
        <w:rPr>
          <w:color w:val="1A1A1A"/>
          <w:sz w:val="20"/>
        </w:rPr>
        <w:t xml:space="preserve"> — empresas están restructurando supply chains para calificar.</w:t>
      </w:r>
    </w:p>
    <w:p>
      <w:pPr>
        <w:spacing w:before="80" w:after="40"/>
      </w:pPr>
      <w:r>
        <w:rPr>
          <w:b/>
          <w:color w:val="0C1A2E"/>
          <w:sz w:val="20"/>
        </w:rPr>
        <w:t>4. Aranceles US 2025-2026 (volátil).</w:t>
      </w:r>
    </w:p>
    <w:p>
      <w:pPr>
        <w:pStyle w:val="ListBullet"/>
        <w:spacing w:before="0" w:after="40"/>
      </w:pPr>
      <w:r>
        <w:rPr>
          <w:color w:val="1A1A1A"/>
          <w:sz w:val="20"/>
        </w:rPr>
        <w:t>Marzo 2025: 25% IEEPA tariff vigor.</w:t>
      </w:r>
    </w:p>
    <w:p>
      <w:pPr>
        <w:pStyle w:val="ListBullet"/>
        <w:spacing w:before="0" w:after="40"/>
      </w:pPr>
      <w:r>
        <w:rPr>
          <w:color w:val="1A1A1A"/>
          <w:sz w:val="20"/>
        </w:rPr>
        <w:t>Febrero 2026: Corte Suprema US elimina IEEPA tariff.</w:t>
      </w:r>
    </w:p>
    <w:p>
      <w:pPr>
        <w:pStyle w:val="ListBullet"/>
        <w:spacing w:before="0" w:after="40"/>
      </w:pPr>
      <w:r>
        <w:rPr>
          <w:color w:val="1A1A1A"/>
          <w:sz w:val="20"/>
        </w:rPr>
        <w:t>Inmediatamente: 10% Sección 122 vigor hasta 24-jul-2026 (USMCA-compliant goods exentos).</w:t>
      </w:r>
    </w:p>
    <w:p>
      <w:pPr>
        <w:pStyle w:val="ListBullet"/>
        <w:spacing w:before="0" w:after="40"/>
      </w:pPr>
      <w:r>
        <w:rPr>
          <w:color w:val="1A1A1A"/>
          <w:sz w:val="20"/>
        </w:rPr>
        <w:t>Abril 2026: Sección 232 restructurada — 50% (primario) o 25% (derivados) sobre metales, ampliando exposición.</w:t>
      </w:r>
    </w:p>
    <w:p>
      <w:pPr>
        <w:spacing w:before="160" w:after="40"/>
      </w:pPr>
      <w:r>
        <w:rPr>
          <w:b/>
          <w:color w:val="6B7280"/>
          <w:sz w:val="22"/>
        </w:rPr>
        <w:t>Tendencias de globalización</w:t>
      </w:r>
    </w:p>
    <w:p>
      <w:pPr>
        <w:spacing w:before="20" w:after="60"/>
      </w:pPr>
      <w:r>
        <w:rPr>
          <w:b/>
          <w:color w:val="1A1A1A"/>
          <w:sz w:val="20"/>
        </w:rPr>
        <w:t>Diversificación China → Sudeste asiático / Taiwán.</w:t>
      </w:r>
      <w:r>
        <w:rPr>
          <w:color w:val="1A1A1A"/>
          <w:sz w:val="20"/>
        </w:rPr>
        <w:t xml:space="preserve"> Las importaciones México desde Taiwán crecieron </w:t>
      </w:r>
      <w:r>
        <w:rPr>
          <w:b/>
          <w:color w:val="1A1A1A"/>
          <w:sz w:val="20"/>
        </w:rPr>
        <w:t>+400% YoY en febrero 2026</w:t>
      </w:r>
      <w:r>
        <w:rPr>
          <w:color w:val="1A1A1A"/>
          <w:sz w:val="20"/>
        </w:rPr>
        <w:t xml:space="preserve"> desplazando flujos antes chinos para cumplir reglas T-MEC. China sigue siendo top-2 socio comercial de MX pero ha pasado de </w:t>
      </w:r>
      <w:r>
        <w:rPr>
          <w:b/>
          <w:color w:val="1A1A1A"/>
          <w:sz w:val="20"/>
        </w:rPr>
        <w:t>+12.8% crecimiento en 2024 a solo +2.9% en 2025</w:t>
      </w:r>
      <w:r>
        <w:rPr>
          <w:color w:val="1A1A1A"/>
          <w:sz w:val="20"/>
        </w:rPr>
        <w:t xml:space="preserve"> por barreras arancelarias mexicanas. Esto impacta directamente a operadores como Trixx que dependen del flow China-MX-USA.</w:t>
      </w:r>
    </w:p>
    <w:p>
      <w:pPr>
        <w:spacing w:before="40" w:after="40"/>
      </w:pPr>
    </w:p>
    <w:p>
      <w:pPr>
        <w:spacing w:before="280" w:after="60"/>
        <w:pBdr>
          <w:bottom w:val="single" w:sz="4" w:space="1" w:color="0EA5E9"/>
        </w:pBdr>
      </w:pPr>
      <w:r>
        <w:rPr>
          <w:b/>
          <w:color w:val="0EA5E9"/>
          <w:sz w:val="28"/>
        </w:rPr>
        <w:t>4. ANÁLISIS DE PROVEEDORES</w:t>
      </w:r>
    </w:p>
    <w:p>
      <w:pPr>
        <w:spacing w:before="160" w:after="40"/>
      </w:pPr>
      <w:r>
        <w:rPr>
          <w:b/>
          <w:color w:val="6B7280"/>
          <w:sz w:val="22"/>
        </w:rPr>
        <w:t>Estructura de la cadena de suministro</w:t>
      </w:r>
    </w:p>
    <w:p>
      <w:pPr>
        <w:spacing w:before="20" w:after="60"/>
      </w:pPr>
      <w:r>
        <w:rPr>
          <w:color w:val="1A1A1A"/>
          <w:sz w:val="20"/>
        </w:rPr>
        <w:t>La cadena upstream de un operador integrado como Trixx incluye:</w:t>
      </w:r>
    </w:p>
    <w:p>
      <w:pPr>
        <w:pStyle w:val="ListNumber"/>
        <w:spacing w:before="0" w:after="40"/>
      </w:pPr>
      <w:r>
        <w:rPr>
          <w:b/>
          <w:color w:val="1A1A1A"/>
          <w:sz w:val="20"/>
        </w:rPr>
        <w:t>Combustible (diesel principalmente).</w:t>
      </w:r>
      <w:r>
        <w:rPr>
          <w:color w:val="1A1A1A"/>
          <w:sz w:val="20"/>
        </w:rPr>
        <w:t xml:space="preserve"> PEMEX y privados. Volatilidad alta por subsidio cambiante y precios internacionales.</w:t>
      </w:r>
    </w:p>
    <w:p>
      <w:pPr>
        <w:pStyle w:val="ListNumber"/>
        <w:spacing w:before="0" w:after="40"/>
      </w:pPr>
      <w:r>
        <w:rPr>
          <w:b/>
          <w:color w:val="1A1A1A"/>
          <w:sz w:val="20"/>
        </w:rPr>
        <w:t>Mantenimiento de flota.</w:t>
      </w:r>
      <w:r>
        <w:rPr>
          <w:color w:val="1A1A1A"/>
          <w:sz w:val="20"/>
        </w:rPr>
        <w:t xml:space="preserve"> Refacciones, llantas, talleres especializados. Mercado fragmentado.</w:t>
      </w:r>
    </w:p>
    <w:p>
      <w:pPr>
        <w:pStyle w:val="ListNumber"/>
        <w:spacing w:before="0" w:after="40"/>
      </w:pPr>
      <w:r>
        <w:rPr>
          <w:b/>
          <w:color w:val="1A1A1A"/>
          <w:sz w:val="20"/>
        </w:rPr>
        <w:t>Drivers / operadores.</w:t>
      </w:r>
      <w:r>
        <w:rPr>
          <w:color w:val="1A1A1A"/>
          <w:sz w:val="20"/>
        </w:rPr>
        <w:t xml:space="preserve"> Recurso escaso a nivel nacional — escasez estructural de ~50K drivers según CANACAR. Conflict con maquila por talento.</w:t>
      </w:r>
    </w:p>
    <w:p>
      <w:pPr>
        <w:pStyle w:val="ListNumber"/>
        <w:spacing w:before="0" w:after="40"/>
      </w:pPr>
      <w:r>
        <w:rPr>
          <w:b/>
          <w:color w:val="1A1A1A"/>
          <w:sz w:val="20"/>
        </w:rPr>
        <w:t>Capacidad aérea / marítima subcontratada.</w:t>
      </w:r>
      <w:r>
        <w:rPr>
          <w:color w:val="1A1A1A"/>
          <w:sz w:val="20"/>
        </w:rPr>
        <w:t xml:space="preserve"> Aerolíneas cargueras (Aeroméxico Cargo, AFKLM), navieras (Maersk, MSC, CMA CGM, COSCO). Concentración media-alta.</w:t>
      </w:r>
    </w:p>
    <w:p>
      <w:pPr>
        <w:pStyle w:val="ListNumber"/>
        <w:spacing w:before="0" w:after="40"/>
      </w:pPr>
      <w:r>
        <w:rPr>
          <w:b/>
          <w:color w:val="1A1A1A"/>
          <w:sz w:val="20"/>
        </w:rPr>
        <w:t>Software / TI.</w:t>
      </w:r>
      <w:r>
        <w:rPr>
          <w:color w:val="1A1A1A"/>
          <w:sz w:val="20"/>
        </w:rPr>
        <w:t xml:space="preserve"> ERP, TMS, WMS, software aduanal (CAAAREM SIAR, Aduanasoft, etc.). Mercado fragmentado con jugadores locales y globales.</w:t>
      </w:r>
    </w:p>
    <w:p>
      <w:pPr>
        <w:pStyle w:val="ListNumber"/>
        <w:spacing w:before="0" w:after="40"/>
      </w:pPr>
      <w:r>
        <w:rPr>
          <w:b/>
          <w:color w:val="1A1A1A"/>
          <w:sz w:val="20"/>
        </w:rPr>
        <w:t>Recintos fiscalizados.</w:t>
      </w:r>
      <w:r>
        <w:rPr>
          <w:color w:val="1A1A1A"/>
          <w:sz w:val="20"/>
        </w:rPr>
        <w:t xml:space="preserve"> Aduanas + recintos privados en cada plaza. Capacidad limitada en Tijuana.</w:t>
      </w:r>
    </w:p>
    <w:p>
      <w:pPr>
        <w:spacing w:before="160" w:after="40"/>
      </w:pPr>
      <w:r>
        <w:rPr>
          <w:b/>
          <w:color w:val="6B7280"/>
          <w:sz w:val="22"/>
        </w:rPr>
        <w:t>Concentración y poder de negociación</w:t>
      </w:r>
    </w:p>
    <w:p>
      <w:pPr>
        <w:pStyle w:val="ListBullet"/>
        <w:spacing w:before="0" w:after="40"/>
      </w:pPr>
      <w:r>
        <w:rPr>
          <w:b/>
          <w:color w:val="1A1A1A"/>
          <w:sz w:val="20"/>
        </w:rPr>
        <w:t>Combustible:</w:t>
      </w:r>
      <w:r>
        <w:rPr>
          <w:color w:val="1A1A1A"/>
          <w:sz w:val="20"/>
        </w:rPr>
        <w:t xml:space="preserve"> Poder MEDIO de proveedor (alternativas existen, subsidio modifica el cálculo).</w:t>
      </w:r>
    </w:p>
    <w:p>
      <w:pPr>
        <w:pStyle w:val="ListBullet"/>
        <w:spacing w:before="0" w:after="40"/>
      </w:pPr>
      <w:r>
        <w:rPr>
          <w:b/>
          <w:color w:val="1A1A1A"/>
          <w:sz w:val="20"/>
        </w:rPr>
        <w:t>Drivers:</w:t>
      </w:r>
      <w:r>
        <w:rPr>
          <w:color w:val="1A1A1A"/>
          <w:sz w:val="20"/>
        </w:rPr>
        <w:t xml:space="preserve"> Poder ALTO del recurso (escasez estructural; rotación 30-40% anual en sector según industria).</w:t>
      </w:r>
    </w:p>
    <w:p>
      <w:pPr>
        <w:pStyle w:val="ListBullet"/>
        <w:spacing w:before="0" w:after="40"/>
      </w:pPr>
      <w:r>
        <w:rPr>
          <w:b/>
          <w:color w:val="1A1A1A"/>
          <w:sz w:val="20"/>
        </w:rPr>
        <w:t>Capacidad aérea/marítima:</w:t>
      </w:r>
      <w:r>
        <w:rPr>
          <w:color w:val="1A1A1A"/>
          <w:sz w:val="20"/>
        </w:rPr>
        <w:t xml:space="preserve"> Poder ALTO en pico de demanda (post-pandemia 2021-2022 fue extremo; 2024-2025 normalizado pero volátil).</w:t>
      </w:r>
    </w:p>
    <w:p>
      <w:pPr>
        <w:pStyle w:val="ListBullet"/>
        <w:spacing w:before="0" w:after="40"/>
      </w:pPr>
      <w:r>
        <w:rPr>
          <w:b/>
          <w:color w:val="1A1A1A"/>
          <w:sz w:val="20"/>
        </w:rPr>
        <w:t>Software:</w:t>
      </w:r>
      <w:r>
        <w:rPr>
          <w:color w:val="1A1A1A"/>
          <w:sz w:val="20"/>
        </w:rPr>
        <w:t xml:space="preserve"> Poder BAJO (muchos proveedores, switching cost moderado).</w:t>
      </w:r>
    </w:p>
    <w:p>
      <w:pPr>
        <w:pStyle w:val="ListBullet"/>
        <w:spacing w:before="0" w:after="40"/>
      </w:pPr>
      <w:r>
        <w:rPr>
          <w:b/>
          <w:color w:val="1A1A1A"/>
          <w:sz w:val="20"/>
        </w:rPr>
        <w:t>Recintos fiscalizados:</w:t>
      </w:r>
      <w:r>
        <w:rPr>
          <w:color w:val="1A1A1A"/>
          <w:sz w:val="20"/>
        </w:rPr>
        <w:t xml:space="preserve"> Poder ALTO en plazas saturadas (Tijuana incluida).</w:t>
      </w:r>
    </w:p>
    <w:p>
      <w:pPr>
        <w:spacing w:before="160" w:after="40"/>
      </w:pPr>
      <w:r>
        <w:rPr>
          <w:b/>
          <w:color w:val="6B7280"/>
          <w:sz w:val="22"/>
        </w:rPr>
        <w:t>Disponibilidad y riesgos de suministro</w:t>
      </w:r>
    </w:p>
    <w:p>
      <w:pPr>
        <w:pStyle w:val="ListBullet"/>
        <w:spacing w:before="0" w:after="40"/>
      </w:pPr>
      <w:r>
        <w:rPr>
          <w:color w:val="1A1A1A"/>
          <w:sz w:val="20"/>
        </w:rPr>
        <w:t xml:space="preserve">✅ </w:t>
      </w:r>
      <w:r>
        <w:rPr>
          <w:b/>
          <w:color w:val="1A1A1A"/>
          <w:sz w:val="20"/>
        </w:rPr>
        <w:t>Escasez de operadores con licencia federal categoría B/E:</w:t>
      </w:r>
      <w:r>
        <w:rPr>
          <w:color w:val="1A1A1A"/>
          <w:sz w:val="20"/>
        </w:rPr>
        <w:t xml:space="preserve"> documentada por CANACAR como restricción estructural al crecimiento del sector.</w:t>
      </w:r>
    </w:p>
    <w:p>
      <w:pPr>
        <w:pStyle w:val="ListBullet"/>
        <w:spacing w:before="0" w:after="40"/>
      </w:pPr>
      <w:r>
        <w:rPr>
          <w:color w:val="1A1A1A"/>
          <w:sz w:val="20"/>
        </w:rPr>
        <w:t xml:space="preserve">⚠️ </w:t>
      </w:r>
      <w:r>
        <w:rPr>
          <w:b/>
          <w:color w:val="1A1A1A"/>
          <w:sz w:val="20"/>
        </w:rPr>
        <w:t>Volatilidad en diésel:</w:t>
      </w:r>
      <w:r>
        <w:rPr>
          <w:color w:val="1A1A1A"/>
          <w:sz w:val="20"/>
        </w:rPr>
        <w:t xml:space="preserve"> subsidio mexicano puede cambiar entre administraciones; precio internacional afecta margen directamente.</w:t>
      </w:r>
    </w:p>
    <w:p>
      <w:pPr>
        <w:pStyle w:val="ListBullet"/>
        <w:spacing w:before="0" w:after="40"/>
      </w:pPr>
      <w:r>
        <w:rPr>
          <w:color w:val="1A1A1A"/>
          <w:sz w:val="20"/>
        </w:rPr>
        <w:t xml:space="preserve">⚠️ </w:t>
      </w:r>
      <w:r>
        <w:rPr>
          <w:b/>
          <w:color w:val="1A1A1A"/>
          <w:sz w:val="20"/>
        </w:rPr>
        <w:t>Concentración en recintos fiscalizados de Tijuana:</w:t>
      </w:r>
      <w:r>
        <w:rPr>
          <w:color w:val="1A1A1A"/>
          <w:sz w:val="20"/>
        </w:rPr>
        <w:t xml:space="preserve"> ampliaciones de capacidad (Mesa de Otay, Otay II) toman años; cuello de botella periódico.</w:t>
      </w:r>
    </w:p>
    <w:p>
      <w:pPr>
        <w:spacing w:before="160" w:after="40"/>
      </w:pPr>
      <w:r>
        <w:rPr>
          <w:b/>
          <w:color w:val="6B7280"/>
          <w:sz w:val="22"/>
        </w:rPr>
        <w:t>Tendencias en precios de insumos</w:t>
      </w:r>
    </w:p>
    <w:p>
      <w:pPr>
        <w:pStyle w:val="ListBullet"/>
        <w:spacing w:before="0" w:after="40"/>
      </w:pPr>
      <w:r>
        <w:rPr>
          <w:color w:val="1A1A1A"/>
          <w:sz w:val="20"/>
        </w:rPr>
        <w:t>Diésel MX: estable con tendencia ligeramente alcista 2024-2026 (sin estallidos extremos como 2021-2022).</w:t>
      </w:r>
    </w:p>
    <w:p>
      <w:pPr>
        <w:pStyle w:val="ListBullet"/>
        <w:spacing w:before="0" w:after="40"/>
      </w:pPr>
      <w:r>
        <w:rPr>
          <w:color w:val="1A1A1A"/>
          <w:sz w:val="20"/>
        </w:rPr>
        <w:t>Llantas y refacciones: presión inflacionaria moderada.</w:t>
      </w:r>
    </w:p>
    <w:p>
      <w:pPr>
        <w:pStyle w:val="ListBullet"/>
        <w:spacing w:before="0" w:after="40"/>
      </w:pPr>
      <w:r>
        <w:rPr>
          <w:color w:val="1A1A1A"/>
          <w:sz w:val="20"/>
        </w:rPr>
        <w:t>Drivers: presión salarial sostenida (CANACAR documenta incrementos de 8-12% anuales en 2023-2025).</w:t>
      </w:r>
    </w:p>
    <w:p>
      <w:pPr>
        <w:pStyle w:val="ListBullet"/>
        <w:spacing w:before="0" w:after="40"/>
      </w:pPr>
      <w:r>
        <w:rPr>
          <w:color w:val="1A1A1A"/>
          <w:sz w:val="20"/>
        </w:rPr>
        <w:t xml:space="preserve">Software/IA: </w:t>
      </w:r>
      <w:r>
        <w:rPr>
          <w:b/>
          <w:color w:val="1A1A1A"/>
          <w:sz w:val="20"/>
        </w:rPr>
        <w:t>bajando</w:t>
      </w:r>
      <w:r>
        <w:rPr>
          <w:color w:val="1A1A1A"/>
          <w:sz w:val="20"/>
        </w:rPr>
        <w:t xml:space="preserve"> (commoditización de LLMs reduce costo de adopción).</w:t>
      </w:r>
    </w:p>
    <w:p>
      <w:pPr>
        <w:spacing w:before="40" w:after="40"/>
      </w:pPr>
    </w:p>
    <w:p>
      <w:pPr>
        <w:spacing w:before="280" w:after="60"/>
        <w:pBdr>
          <w:bottom w:val="single" w:sz="4" w:space="1" w:color="0EA5E9"/>
        </w:pBdr>
      </w:pPr>
      <w:r>
        <w:rPr>
          <w:b/>
          <w:color w:val="0EA5E9"/>
          <w:sz w:val="28"/>
        </w:rPr>
        <w:t>5. ANÁLISIS DE CLIENTES</w:t>
      </w:r>
    </w:p>
    <w:p>
      <w:pPr>
        <w:spacing w:before="160" w:after="40"/>
      </w:pPr>
      <w:r>
        <w:rPr>
          <w:b/>
          <w:color w:val="6B7280"/>
          <w:sz w:val="22"/>
        </w:rPr>
        <w:t>Perfil del comprador actual</w:t>
      </w:r>
    </w:p>
    <w:p>
      <w:pPr>
        <w:spacing w:before="20" w:after="60"/>
      </w:pPr>
      <w:r>
        <w:rPr>
          <w:color w:val="1A1A1A"/>
          <w:sz w:val="20"/>
        </w:rPr>
        <w:t>El comprador típico en logística cross-border MX-USA + aduanal se segmenta en cuatro grupos principales:</w:t>
      </w:r>
    </w:p>
    <w:p>
      <w:pPr>
        <w:pStyle w:val="ListNumber"/>
        <w:spacing w:before="0" w:after="40"/>
      </w:pPr>
      <w:r>
        <w:rPr>
          <w:b/>
          <w:color w:val="1A1A1A"/>
          <w:sz w:val="20"/>
        </w:rPr>
        <w:t>Importador / exportador empresarial (cuenta corporativa).</w:t>
      </w:r>
      <w:r>
        <w:rPr>
          <w:color w:val="1A1A1A"/>
          <w:sz w:val="20"/>
        </w:rPr>
        <w:t xml:space="preserve"> Manufactura, automotriz, electrónica, farmacéutica. Ciclo de compra: 3-9 meses con RFQ formal, due diligence, compliance review. Decisor: VP Supply Chain o Director de Logística.</w:t>
      </w:r>
    </w:p>
    <w:p>
      <w:pPr>
        <w:pStyle w:val="ListNumber"/>
        <w:spacing w:before="0" w:after="40"/>
      </w:pPr>
      <w:r>
        <w:rPr>
          <w:b/>
          <w:color w:val="1A1A1A"/>
          <w:sz w:val="20"/>
        </w:rPr>
        <w:t>Maquila / IMMEX.</w:t>
      </w:r>
      <w:r>
        <w:rPr>
          <w:color w:val="1A1A1A"/>
          <w:sz w:val="20"/>
        </w:rPr>
        <w:t xml:space="preserve"> Operaciones de manufactura para exportación. Volumen alto y recurrente. Decisor: Operations Manager o Plant Manager.</w:t>
      </w:r>
    </w:p>
    <w:p>
      <w:pPr>
        <w:pStyle w:val="ListNumber"/>
        <w:spacing w:before="0" w:after="40"/>
      </w:pPr>
      <w:r>
        <w:rPr>
          <w:b/>
          <w:color w:val="1A1A1A"/>
          <w:sz w:val="20"/>
        </w:rPr>
        <w:t>PyME importadora de China.</w:t>
      </w:r>
      <w:r>
        <w:rPr>
          <w:color w:val="1A1A1A"/>
          <w:sz w:val="20"/>
        </w:rPr>
        <w:t xml:space="preserve"> E-commerce + retail tradicional MX que importa producto desde Asia para venta interna. Ciclo corto (1-3 meses) y precio-sensible. Decisor: dueño o gerente comercial.</w:t>
      </w:r>
    </w:p>
    <w:p>
      <w:pPr>
        <w:pStyle w:val="ListNumber"/>
        <w:spacing w:before="0" w:after="40"/>
      </w:pPr>
      <w:r>
        <w:rPr>
          <w:b/>
          <w:color w:val="1A1A1A"/>
          <w:sz w:val="20"/>
        </w:rPr>
        <w:t>Particular / e-commerce B2C cross-border.</w:t>
      </w:r>
      <w:r>
        <w:rPr>
          <w:color w:val="1A1A1A"/>
          <w:sz w:val="20"/>
        </w:rPr>
        <w:t xml:space="preserve"> Compras individuales en US para entrega en MX. Volumen bajo por transacción pero frecuencia alta. Decisor: el consumidor final.</w:t>
      </w:r>
    </w:p>
    <w:p>
      <w:pPr>
        <w:spacing w:before="20" w:after="60"/>
      </w:pPr>
      <w:r>
        <w:rPr>
          <w:color w:val="1A1A1A"/>
          <w:sz w:val="20"/>
        </w:rPr>
        <w:t xml:space="preserve">&gt; 🔍 </w:t>
      </w:r>
      <w:r>
        <w:rPr>
          <w:b/>
          <w:color w:val="1A1A1A"/>
          <w:sz w:val="20"/>
        </w:rPr>
        <w:t>Análisis:</w:t>
      </w:r>
      <w:r>
        <w:rPr>
          <w:color w:val="1A1A1A"/>
          <w:sz w:val="20"/>
        </w:rPr>
        <w:t xml:space="preserve"> Trixx parece atender principalmente segmentos 2-3-4 (PyME importadora + e-commerce + algo de maquila) por el perfil del idioma chino + servicio import-as-a-service + paquetería + flota propia mediana. Los grandes corporativos (segmento 1) suelen ir a Solistica, DHL, DSV o tech-enabled como Nuvocargo.</w:t>
      </w:r>
    </w:p>
    <w:p>
      <w:pPr>
        <w:spacing w:before="160" w:after="40"/>
      </w:pPr>
      <w:r>
        <w:rPr>
          <w:b/>
          <w:color w:val="6B7280"/>
          <w:sz w:val="22"/>
        </w:rPr>
        <w:t>Cómo cambió el comprador en los últimos 3 años</w:t>
      </w:r>
    </w:p>
    <w:p>
      <w:pPr>
        <w:spacing w:before="20" w:after="60"/>
      </w:pPr>
      <w:r>
        <w:rPr>
          <w:b/>
          <w:color w:val="1A1A1A"/>
          <w:sz w:val="20"/>
        </w:rPr>
        <w:t>1. Pasó de relacional puro a relacional + digital.</w:t>
      </w:r>
      <w:r>
        <w:rPr>
          <w:color w:val="1A1A1A"/>
          <w:sz w:val="20"/>
        </w:rPr>
        <w:t xml:space="preserve"> En 2021, el cliente aceptaba "te llamo por WhatsApp" como canal principal. En 2024-2026, espera dashboard de tracking, ETAs dinámicos, y respuesta digital a RFQs en horas — sin perder la relación humana.</w:t>
      </w:r>
    </w:p>
    <w:p>
      <w:pPr>
        <w:spacing w:before="20" w:after="60"/>
      </w:pPr>
      <w:r>
        <w:rPr>
          <w:b/>
          <w:color w:val="1A1A1A"/>
          <w:sz w:val="20"/>
        </w:rPr>
        <w:t>2. Pasó de leal a multi-sourcing.</w:t>
      </w:r>
      <w:r>
        <w:rPr>
          <w:color w:val="1A1A1A"/>
          <w:sz w:val="20"/>
        </w:rPr>
        <w:t xml:space="preserve"> El mismo cliente que en 2020 tenía un solo forwarder ahora tiene 2-3 para distribuir riesgo. Esto baja el switching cost y eleva la presión sobre precio + servicio.</w:t>
      </w:r>
    </w:p>
    <w:p>
      <w:pPr>
        <w:spacing w:before="20" w:after="60"/>
      </w:pPr>
      <w:r>
        <w:rPr>
          <w:b/>
          <w:color w:val="1A1A1A"/>
          <w:sz w:val="20"/>
        </w:rPr>
        <w:t>3. Pasó de focalizado en costo a focalizado en visibilidad y compliance.</w:t>
      </w:r>
      <w:r>
        <w:rPr>
          <w:color w:val="1A1A1A"/>
          <w:sz w:val="20"/>
        </w:rPr>
        <w:t xml:space="preserve"> El compliance T-MEC + Carta Porte + reforma aduanera 2026 elevó la importancia del "no cometer errores" sobre el "ahorrar 5%".</w:t>
      </w:r>
    </w:p>
    <w:p>
      <w:pPr>
        <w:spacing w:before="160" w:after="40"/>
      </w:pPr>
      <w:r>
        <w:rPr>
          <w:b/>
          <w:color w:val="6B7280"/>
          <w:sz w:val="22"/>
        </w:rPr>
        <w:t>Qué valoran hoy que antes no valoraban</w:t>
      </w:r>
    </w:p>
    <w:p>
      <w:pPr>
        <w:pStyle w:val="ListNumber"/>
        <w:spacing w:before="0" w:after="40"/>
      </w:pPr>
      <w:r>
        <w:rPr>
          <w:b/>
          <w:color w:val="1A1A1A"/>
          <w:sz w:val="20"/>
        </w:rPr>
        <w:t>Tracking en tiempo real.</w:t>
      </w:r>
      <w:r>
        <w:rPr>
          <w:color w:val="1A1A1A"/>
          <w:sz w:val="20"/>
        </w:rPr>
        <w:t xml:space="preserve"> Era opcional en 2020; es expectativa de tabla rasa en 2026.</w:t>
      </w:r>
    </w:p>
    <w:p>
      <w:pPr>
        <w:pStyle w:val="ListNumber"/>
        <w:spacing w:before="0" w:after="40"/>
      </w:pPr>
      <w:r>
        <w:rPr>
          <w:b/>
          <w:color w:val="1A1A1A"/>
          <w:sz w:val="20"/>
        </w:rPr>
        <w:t>Compliance documentation automatizada.</w:t>
      </w:r>
      <w:r>
        <w:rPr>
          <w:color w:val="1A1A1A"/>
          <w:sz w:val="20"/>
        </w:rPr>
        <w:t xml:space="preserve"> Carta Porte 3.1 + CFDI 4.0 + reforma aduanal exige operadores que NO cometan errores costosos.</w:t>
      </w:r>
    </w:p>
    <w:p>
      <w:pPr>
        <w:pStyle w:val="ListNumber"/>
        <w:spacing w:before="0" w:after="40"/>
      </w:pPr>
      <w:r>
        <w:rPr>
          <w:b/>
          <w:color w:val="1A1A1A"/>
          <w:sz w:val="20"/>
        </w:rPr>
        <w:t>Transparencia en precios.</w:t>
      </w:r>
      <w:r>
        <w:rPr>
          <w:color w:val="1A1A1A"/>
          <w:sz w:val="20"/>
        </w:rPr>
        <w:t xml:space="preserve"> Cotizadores online o respuesta digital en horas.</w:t>
      </w:r>
    </w:p>
    <w:p>
      <w:pPr>
        <w:pStyle w:val="ListNumber"/>
        <w:spacing w:before="0" w:after="40"/>
      </w:pPr>
      <w:r>
        <w:rPr>
          <w:b/>
          <w:color w:val="1A1A1A"/>
          <w:sz w:val="20"/>
        </w:rPr>
        <w:t>Sostenibilidad reportable.</w:t>
      </w:r>
      <w:r>
        <w:rPr>
          <w:color w:val="1A1A1A"/>
          <w:sz w:val="20"/>
        </w:rPr>
        <w:t xml:space="preserve"> Reportes de emisiones por envío para clientes con compromisos ESG.</w:t>
      </w:r>
    </w:p>
    <w:p>
      <w:pPr>
        <w:spacing w:before="160" w:after="40"/>
      </w:pPr>
      <w:r>
        <w:rPr>
          <w:b/>
          <w:color w:val="6B7280"/>
          <w:sz w:val="22"/>
        </w:rPr>
        <w:t>Segmentos de mayor crecimiento</w:t>
      </w:r>
    </w:p>
    <w:p>
      <w:pPr>
        <w:pStyle w:val="ListBullet"/>
        <w:spacing w:before="0" w:after="40"/>
      </w:pPr>
      <w:r>
        <w:rPr>
          <w:b/>
          <w:color w:val="1A1A1A"/>
          <w:sz w:val="20"/>
        </w:rPr>
        <w:t>E-commerce cross-border B2C</w:t>
      </w:r>
      <w:r>
        <w:rPr>
          <w:color w:val="1A1A1A"/>
          <w:sz w:val="20"/>
        </w:rPr>
        <w:t xml:space="preserve"> (Amazon MX, Mercado Libre, Temu, Shein): crecimiento doble dígito anual.</w:t>
      </w:r>
    </w:p>
    <w:p>
      <w:pPr>
        <w:pStyle w:val="ListBullet"/>
        <w:spacing w:before="0" w:after="40"/>
      </w:pPr>
      <w:r>
        <w:rPr>
          <w:b/>
          <w:color w:val="1A1A1A"/>
          <w:sz w:val="20"/>
        </w:rPr>
        <w:t>PyME importadora con flujo chino</w:t>
      </w:r>
      <w:r>
        <w:rPr>
          <w:color w:val="1A1A1A"/>
          <w:sz w:val="20"/>
        </w:rPr>
        <w:t xml:space="preserve"> (despite el enfriamiento 2025): sigue siendo segmento importante.</w:t>
      </w:r>
    </w:p>
    <w:p>
      <w:pPr>
        <w:pStyle w:val="ListBullet"/>
        <w:spacing w:before="0" w:after="40"/>
      </w:pPr>
      <w:r>
        <w:rPr>
          <w:b/>
          <w:color w:val="1A1A1A"/>
          <w:sz w:val="20"/>
        </w:rPr>
        <w:t>Mediano corporativo (USD 5-50M facturación)</w:t>
      </w:r>
      <w:r>
        <w:rPr>
          <w:color w:val="1A1A1A"/>
          <w:sz w:val="20"/>
        </w:rPr>
        <w:t xml:space="preserve"> buscando alternativa a Solistica/DHL pero con sofisticación digital: el target de Nuvocargo.</w:t>
      </w:r>
    </w:p>
    <w:p>
      <w:pPr>
        <w:pStyle w:val="ListBullet"/>
        <w:spacing w:before="0" w:after="40"/>
      </w:pPr>
      <w:r>
        <w:rPr>
          <w:b/>
          <w:color w:val="1A1A1A"/>
          <w:sz w:val="20"/>
        </w:rPr>
        <w:t>Industrial nearshoring nuevo</w:t>
      </w:r>
      <w:r>
        <w:rPr>
          <w:color w:val="1A1A1A"/>
          <w:sz w:val="20"/>
        </w:rPr>
        <w:t xml:space="preserve"> (las 30+ empresas que aterrizaron en Tijuana en últimos 18 meses): mercado virgen por capturar.</w:t>
      </w:r>
    </w:p>
    <w:p>
      <w:pPr>
        <w:spacing w:before="40" w:after="40"/>
      </w:pPr>
    </w:p>
    <w:p>
      <w:pPr>
        <w:spacing w:before="280" w:after="60"/>
        <w:pBdr>
          <w:bottom w:val="single" w:sz="4" w:space="1" w:color="0EA5E9"/>
        </w:pBdr>
      </w:pPr>
      <w:r>
        <w:rPr>
          <w:b/>
          <w:color w:val="0EA5E9"/>
          <w:sz w:val="28"/>
        </w:rPr>
        <w:t>6. MARCO REGULATORIO</w:t>
      </w:r>
    </w:p>
    <w:p>
      <w:pPr>
        <w:spacing w:before="160" w:after="40"/>
      </w:pPr>
      <w:r>
        <w:rPr>
          <w:b/>
          <w:color w:val="6B7280"/>
          <w:sz w:val="22"/>
        </w:rPr>
        <w:t>Entidad reguladora principal</w:t>
      </w:r>
    </w:p>
    <w:p>
      <w:pPr>
        <w:pStyle w:val="ListBullet"/>
        <w:spacing w:before="0" w:after="40"/>
      </w:pPr>
      <w:r>
        <w:rPr>
          <w:b/>
          <w:color w:val="1A1A1A"/>
          <w:sz w:val="20"/>
        </w:rPr>
        <w:t>ANAM — Agencia Nacional de Aduanas de México</w:t>
      </w:r>
      <w:r>
        <w:rPr>
          <w:color w:val="1A1A1A"/>
          <w:sz w:val="20"/>
        </w:rPr>
        <w:t xml:space="preserve"> (sustituye a la antigua AGA del SAT). Regula despacho aduanero, vigila operación de patentes, gestiona aduanas fronterizas, marítimas, aéreas e interiores.</w:t>
      </w:r>
    </w:p>
    <w:p>
      <w:pPr>
        <w:pStyle w:val="ListBullet"/>
        <w:spacing w:before="0" w:after="40"/>
      </w:pPr>
      <w:r>
        <w:rPr>
          <w:b/>
          <w:color w:val="1A1A1A"/>
          <w:sz w:val="20"/>
        </w:rPr>
        <w:t>SAT — Servicio de Administración Tributaria.</w:t>
      </w:r>
      <w:r>
        <w:rPr>
          <w:color w:val="1A1A1A"/>
          <w:sz w:val="20"/>
        </w:rPr>
        <w:t xml:space="preserve"> CFDI 4.0, Complemento Carta Porte, RFC, padrón de importadores/exportadores.</w:t>
      </w:r>
    </w:p>
    <w:p>
      <w:pPr>
        <w:pStyle w:val="ListBullet"/>
        <w:spacing w:before="0" w:after="40"/>
      </w:pPr>
      <w:r>
        <w:rPr>
          <w:b/>
          <w:color w:val="1A1A1A"/>
          <w:sz w:val="20"/>
        </w:rPr>
        <w:t>SICT — Secretaría de Infraestructura, Comunicaciones y Transportes.</w:t>
      </w:r>
      <w:r>
        <w:rPr>
          <w:color w:val="1A1A1A"/>
          <w:sz w:val="20"/>
        </w:rPr>
        <w:t xml:space="preserve"> Permisos de autotransporte federal, licencias federales de drivers.</w:t>
      </w:r>
    </w:p>
    <w:p>
      <w:pPr>
        <w:pStyle w:val="ListBullet"/>
        <w:spacing w:before="0" w:after="40"/>
      </w:pPr>
      <w:r>
        <w:rPr>
          <w:b/>
          <w:color w:val="1A1A1A"/>
          <w:sz w:val="20"/>
        </w:rPr>
        <w:t>CAAAREM.</w:t>
      </w:r>
      <w:r>
        <w:rPr>
          <w:color w:val="1A1A1A"/>
          <w:sz w:val="20"/>
        </w:rPr>
        <w:t xml:space="preserve"> Asociación gremial reguladora de facto del comportamiento profesional de agentes aduanales (99% representatividad).</w:t>
      </w:r>
    </w:p>
    <w:p>
      <w:pPr>
        <w:pStyle w:val="ListBullet"/>
        <w:spacing w:before="0" w:after="40"/>
      </w:pPr>
      <w:r>
        <w:rPr>
          <w:b/>
          <w:color w:val="1A1A1A"/>
          <w:sz w:val="20"/>
        </w:rPr>
        <w:t>FMCSA — Federal Motor Carrier Safety Administration (US).</w:t>
      </w:r>
      <w:r>
        <w:rPr>
          <w:color w:val="1A1A1A"/>
          <w:sz w:val="20"/>
        </w:rPr>
        <w:t xml:space="preserve"> Para flota operando en EE.UU. (Trixx USDOT 2045279 está regulado aquí).</w:t>
      </w:r>
    </w:p>
    <w:p>
      <w:pPr>
        <w:spacing w:before="160" w:after="40"/>
      </w:pPr>
      <w:r>
        <w:rPr>
          <w:b/>
          <w:color w:val="6B7280"/>
          <w:sz w:val="22"/>
        </w:rPr>
        <w:t>Normativa vigente más relevante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Norma / Ley</w:t>
            </w:r>
          </w:p>
        </w:tc>
        <w:tc>
          <w:tcPr>
            <w:tcW w:type="dxa" w:w="2266"/>
            <w:shd w:val="clear" w:color="auto" w:fill="0C1A2E"/>
          </w:tcPr>
          <w:p>
            <w:pPr>
              <w:spacing w:before="40" w:after="40"/>
            </w:pPr>
            <w:r>
              <w:rPr>
                <w:b/>
                <w:color w:val="FFFFFF"/>
                <w:sz w:val="18"/>
              </w:rPr>
              <w:t>Año</w:t>
            </w:r>
          </w:p>
        </w:tc>
        <w:tc>
          <w:tcPr>
            <w:tcW w:type="dxa" w:w="2266"/>
            <w:shd w:val="clear" w:color="auto" w:fill="0C1A2E"/>
          </w:tcPr>
          <w:p>
            <w:pPr>
              <w:spacing w:before="40" w:after="40"/>
            </w:pPr>
            <w:r>
              <w:rPr>
                <w:b/>
                <w:color w:val="FFFFFF"/>
                <w:sz w:val="18"/>
              </w:rPr>
              <w:t>Qué regula</w:t>
            </w:r>
          </w:p>
        </w:tc>
        <w:tc>
          <w:tcPr>
            <w:tcW w:type="dxa" w:w="2266"/>
            <w:shd w:val="clear" w:color="auto" w:fill="0C1A2E"/>
          </w:tcPr>
          <w:p>
            <w:pPr>
              <w:spacing w:before="40" w:after="40"/>
            </w:pPr>
            <w:r>
              <w:rPr>
                <w:b/>
                <w:color w:val="FFFFFF"/>
                <w:sz w:val="18"/>
              </w:rPr>
              <w:t>Impacto en el sector</w:t>
            </w:r>
          </w:p>
        </w:tc>
      </w:tr>
      <w:tr>
        <w:tc>
          <w:tcPr>
            <w:tcW w:type="dxa" w:w="2266"/>
            <w:shd w:val="clear" w:color="auto" w:fill="FFFFFF"/>
          </w:tcPr>
          <w:p>
            <w:pPr>
              <w:spacing w:before="40" w:after="40"/>
            </w:pPr>
            <w:r>
              <w:rPr>
                <w:color w:val="1A1A1A"/>
                <w:sz w:val="18"/>
              </w:rPr>
              <w:t>Ley Aduanera reformada</w:t>
            </w:r>
          </w:p>
        </w:tc>
        <w:tc>
          <w:tcPr>
            <w:tcW w:type="dxa" w:w="2266"/>
            <w:shd w:val="clear" w:color="auto" w:fill="FFFFFF"/>
          </w:tcPr>
          <w:p>
            <w:pPr>
              <w:spacing w:before="40" w:after="40"/>
            </w:pPr>
            <w:r>
              <w:rPr>
                <w:color w:val="1A1A1A"/>
                <w:sz w:val="18"/>
              </w:rPr>
              <w:t>2025 (vigor 1-ene-2026)</w:t>
            </w:r>
          </w:p>
        </w:tc>
        <w:tc>
          <w:tcPr>
            <w:tcW w:type="dxa" w:w="2266"/>
            <w:shd w:val="clear" w:color="auto" w:fill="FFFFFF"/>
          </w:tcPr>
          <w:p>
            <w:pPr>
              <w:spacing w:before="40" w:after="40"/>
            </w:pPr>
            <w:r>
              <w:rPr>
                <w:color w:val="1A1A1A"/>
                <w:sz w:val="18"/>
              </w:rPr>
              <w:t>Patentes, responsabilidad solidaria, Consejo Aduanero</w:t>
            </w:r>
          </w:p>
        </w:tc>
        <w:tc>
          <w:tcPr>
            <w:tcW w:type="dxa" w:w="2266"/>
            <w:shd w:val="clear" w:color="auto" w:fill="FFFFFF"/>
          </w:tcPr>
          <w:p>
            <w:pPr>
              <w:spacing w:before="40" w:after="40"/>
            </w:pPr>
            <w:r>
              <w:rPr>
                <w:color w:val="1A1A1A"/>
                <w:sz w:val="18"/>
              </w:rPr>
              <w:t>Alto — afecta a TODOS los agentes; obliga modernización</w:t>
            </w:r>
          </w:p>
        </w:tc>
      </w:tr>
      <w:tr>
        <w:tc>
          <w:tcPr>
            <w:tcW w:type="dxa" w:w="2266"/>
            <w:shd w:val="clear" w:color="auto" w:fill="EBF3FA"/>
          </w:tcPr>
          <w:p>
            <w:pPr>
              <w:spacing w:before="40" w:after="40"/>
            </w:pPr>
            <w:r>
              <w:rPr>
                <w:color w:val="1A1A1A"/>
                <w:sz w:val="18"/>
              </w:rPr>
              <w:t>CFDI 4.0 + Carta Porte 3.1</w:t>
            </w:r>
          </w:p>
        </w:tc>
        <w:tc>
          <w:tcPr>
            <w:tcW w:type="dxa" w:w="2266"/>
            <w:shd w:val="clear" w:color="auto" w:fill="EBF3FA"/>
          </w:tcPr>
          <w:p>
            <w:pPr>
              <w:spacing w:before="40" w:after="40"/>
            </w:pPr>
            <w:r>
              <w:rPr>
                <w:color w:val="1A1A1A"/>
                <w:sz w:val="18"/>
              </w:rPr>
              <w:t>Julio 2024 vigente</w:t>
            </w:r>
          </w:p>
        </w:tc>
        <w:tc>
          <w:tcPr>
            <w:tcW w:type="dxa" w:w="2266"/>
            <w:shd w:val="clear" w:color="auto" w:fill="EBF3FA"/>
          </w:tcPr>
          <w:p>
            <w:pPr>
              <w:spacing w:before="40" w:after="40"/>
            </w:pPr>
            <w:r>
              <w:rPr>
                <w:color w:val="1A1A1A"/>
                <w:sz w:val="18"/>
              </w:rPr>
              <w:t>Comprobante fiscal digital con complemento de transporte</w:t>
            </w:r>
          </w:p>
        </w:tc>
        <w:tc>
          <w:tcPr>
            <w:tcW w:type="dxa" w:w="2266"/>
            <w:shd w:val="clear" w:color="auto" w:fill="EBF3FA"/>
          </w:tcPr>
          <w:p>
            <w:pPr>
              <w:spacing w:before="40" w:after="40"/>
            </w:pPr>
            <w:r>
              <w:rPr>
                <w:color w:val="1A1A1A"/>
                <w:sz w:val="18"/>
              </w:rPr>
              <w:t>Alto — multas + cárcel por incumplimiento</w:t>
            </w:r>
          </w:p>
        </w:tc>
      </w:tr>
      <w:tr>
        <w:tc>
          <w:tcPr>
            <w:tcW w:type="dxa" w:w="2266"/>
            <w:shd w:val="clear" w:color="auto" w:fill="FFFFFF"/>
          </w:tcPr>
          <w:p>
            <w:pPr>
              <w:spacing w:before="40" w:after="40"/>
            </w:pPr>
            <w:r>
              <w:rPr>
                <w:color w:val="1A1A1A"/>
                <w:sz w:val="18"/>
              </w:rPr>
              <w:t>T-MEC / USMCA</w:t>
            </w:r>
          </w:p>
        </w:tc>
        <w:tc>
          <w:tcPr>
            <w:tcW w:type="dxa" w:w="2266"/>
            <w:shd w:val="clear" w:color="auto" w:fill="FFFFFF"/>
          </w:tcPr>
          <w:p>
            <w:pPr>
              <w:spacing w:before="40" w:after="40"/>
            </w:pPr>
            <w:r>
              <w:rPr>
                <w:color w:val="1A1A1A"/>
                <w:sz w:val="18"/>
              </w:rPr>
              <w:t>2020 (review 2026)</w:t>
            </w:r>
          </w:p>
        </w:tc>
        <w:tc>
          <w:tcPr>
            <w:tcW w:type="dxa" w:w="2266"/>
            <w:shd w:val="clear" w:color="auto" w:fill="FFFFFF"/>
          </w:tcPr>
          <w:p>
            <w:pPr>
              <w:spacing w:before="40" w:after="40"/>
            </w:pPr>
            <w:r>
              <w:rPr>
                <w:color w:val="1A1A1A"/>
                <w:sz w:val="18"/>
              </w:rPr>
              <w:t>Reglas de origen, certificación, comercio Norteamérica</w:t>
            </w:r>
          </w:p>
        </w:tc>
        <w:tc>
          <w:tcPr>
            <w:tcW w:type="dxa" w:w="2266"/>
            <w:shd w:val="clear" w:color="auto" w:fill="FFFFFF"/>
          </w:tcPr>
          <w:p>
            <w:pPr>
              <w:spacing w:before="40" w:after="40"/>
            </w:pPr>
            <w:r>
              <w:rPr>
                <w:color w:val="1A1A1A"/>
                <w:sz w:val="18"/>
              </w:rPr>
              <w:t>Crítico — define qué califica para tarifa preferente</w:t>
            </w:r>
          </w:p>
        </w:tc>
      </w:tr>
      <w:tr>
        <w:tc>
          <w:tcPr>
            <w:tcW w:type="dxa" w:w="2266"/>
            <w:shd w:val="clear" w:color="auto" w:fill="EBF3FA"/>
          </w:tcPr>
          <w:p>
            <w:pPr>
              <w:spacing w:before="40" w:after="40"/>
            </w:pPr>
            <w:r>
              <w:rPr>
                <w:color w:val="1A1A1A"/>
                <w:sz w:val="18"/>
              </w:rPr>
              <w:t>Reglas Generales de Comercio Exterior 2025</w:t>
            </w:r>
          </w:p>
        </w:tc>
        <w:tc>
          <w:tcPr>
            <w:tcW w:type="dxa" w:w="2266"/>
            <w:shd w:val="clear" w:color="auto" w:fill="EBF3FA"/>
          </w:tcPr>
          <w:p>
            <w:pPr>
              <w:spacing w:before="40" w:after="40"/>
            </w:pPr>
            <w:r>
              <w:rPr>
                <w:color w:val="1A1A1A"/>
                <w:sz w:val="18"/>
              </w:rPr>
              <w:t>Anual, vigente 2025</w:t>
            </w:r>
          </w:p>
        </w:tc>
        <w:tc>
          <w:tcPr>
            <w:tcW w:type="dxa" w:w="2266"/>
            <w:shd w:val="clear" w:color="auto" w:fill="EBF3FA"/>
          </w:tcPr>
          <w:p>
            <w:pPr>
              <w:spacing w:before="40" w:after="40"/>
            </w:pPr>
            <w:r>
              <w:rPr>
                <w:color w:val="1A1A1A"/>
                <w:sz w:val="18"/>
              </w:rPr>
              <w:t>Procedimiento de despacho, valoración, OEA/NEEC</w:t>
            </w:r>
          </w:p>
        </w:tc>
        <w:tc>
          <w:tcPr>
            <w:tcW w:type="dxa" w:w="2266"/>
            <w:shd w:val="clear" w:color="auto" w:fill="EBF3FA"/>
          </w:tcPr>
          <w:p>
            <w:pPr>
              <w:spacing w:before="40" w:after="40"/>
            </w:pPr>
            <w:r>
              <w:rPr>
                <w:color w:val="1A1A1A"/>
                <w:sz w:val="18"/>
              </w:rPr>
              <w:t>Alto — guía operativa diaria del despacho</w:t>
            </w:r>
          </w:p>
        </w:tc>
      </w:tr>
      <w:tr>
        <w:tc>
          <w:tcPr>
            <w:tcW w:type="dxa" w:w="2266"/>
            <w:shd w:val="clear" w:color="auto" w:fill="FFFFFF"/>
          </w:tcPr>
          <w:p>
            <w:pPr>
              <w:spacing w:before="40" w:after="40"/>
            </w:pPr>
            <w:r>
              <w:rPr>
                <w:color w:val="1A1A1A"/>
                <w:sz w:val="18"/>
              </w:rPr>
              <w:t>Reglas IMMEX</w:t>
            </w:r>
          </w:p>
        </w:tc>
        <w:tc>
          <w:tcPr>
            <w:tcW w:type="dxa" w:w="2266"/>
            <w:shd w:val="clear" w:color="auto" w:fill="FFFFFF"/>
          </w:tcPr>
          <w:p>
            <w:pPr>
              <w:spacing w:before="40" w:after="40"/>
            </w:pPr>
            <w:r>
              <w:rPr>
                <w:color w:val="1A1A1A"/>
                <w:sz w:val="18"/>
              </w:rPr>
              <w:t>Vigentes con ajustes 2025-2026</w:t>
            </w:r>
          </w:p>
        </w:tc>
        <w:tc>
          <w:tcPr>
            <w:tcW w:type="dxa" w:w="2266"/>
            <w:shd w:val="clear" w:color="auto" w:fill="FFFFFF"/>
          </w:tcPr>
          <w:p>
            <w:pPr>
              <w:spacing w:before="40" w:after="40"/>
            </w:pPr>
            <w:r>
              <w:rPr>
                <w:color w:val="1A1A1A"/>
                <w:sz w:val="18"/>
              </w:rPr>
              <w:t>Manufactura para exportación con tratamiento aduanal</w:t>
            </w:r>
          </w:p>
        </w:tc>
        <w:tc>
          <w:tcPr>
            <w:tcW w:type="dxa" w:w="2266"/>
            <w:shd w:val="clear" w:color="auto" w:fill="FFFFFF"/>
          </w:tcPr>
          <w:p>
            <w:pPr>
              <w:spacing w:before="40" w:after="40"/>
            </w:pPr>
            <w:r>
              <w:rPr>
                <w:color w:val="1A1A1A"/>
                <w:sz w:val="18"/>
              </w:rPr>
              <w:t>Alto — afecta clientes maquiladora</w:t>
            </w:r>
          </w:p>
        </w:tc>
      </w:tr>
      <w:tr>
        <w:tc>
          <w:tcPr>
            <w:tcW w:type="dxa" w:w="2266"/>
            <w:shd w:val="clear" w:color="auto" w:fill="EBF3FA"/>
          </w:tcPr>
          <w:p>
            <w:pPr>
              <w:spacing w:before="40" w:after="40"/>
            </w:pPr>
            <w:r>
              <w:rPr>
                <w:color w:val="1A1A1A"/>
                <w:sz w:val="18"/>
              </w:rPr>
              <w:t>Decreto IEPS / Aranceles</w:t>
            </w:r>
          </w:p>
        </w:tc>
        <w:tc>
          <w:tcPr>
            <w:tcW w:type="dxa" w:w="2266"/>
            <w:shd w:val="clear" w:color="auto" w:fill="EBF3FA"/>
          </w:tcPr>
          <w:p>
            <w:pPr>
              <w:spacing w:before="40" w:after="40"/>
            </w:pPr>
            <w:r>
              <w:rPr>
                <w:color w:val="1A1A1A"/>
                <w:sz w:val="18"/>
              </w:rPr>
              <w:t>Volátiles 2024-2026</w:t>
            </w:r>
          </w:p>
        </w:tc>
        <w:tc>
          <w:tcPr>
            <w:tcW w:type="dxa" w:w="2266"/>
            <w:shd w:val="clear" w:color="auto" w:fill="EBF3FA"/>
          </w:tcPr>
          <w:p>
            <w:pPr>
              <w:spacing w:before="40" w:after="40"/>
            </w:pPr>
            <w:r>
              <w:rPr>
                <w:color w:val="1A1A1A"/>
                <w:sz w:val="18"/>
              </w:rPr>
              <w:t>Impuestos especiales + aranceles ad valorem</w:t>
            </w:r>
          </w:p>
        </w:tc>
        <w:tc>
          <w:tcPr>
            <w:tcW w:type="dxa" w:w="2266"/>
            <w:shd w:val="clear" w:color="auto" w:fill="EBF3FA"/>
          </w:tcPr>
          <w:p>
            <w:pPr>
              <w:spacing w:before="40" w:after="40"/>
            </w:pPr>
            <w:r>
              <w:rPr>
                <w:color w:val="1A1A1A"/>
                <w:sz w:val="18"/>
              </w:rPr>
              <w:t>Alto — cambios frecuentes complican el día a día</w:t>
            </w:r>
          </w:p>
        </w:tc>
      </w:tr>
      <w:tr>
        <w:tc>
          <w:tcPr>
            <w:tcW w:type="dxa" w:w="2266"/>
            <w:shd w:val="clear" w:color="auto" w:fill="FFFFFF"/>
          </w:tcPr>
          <w:p>
            <w:pPr>
              <w:spacing w:before="40" w:after="40"/>
            </w:pPr>
            <w:r>
              <w:rPr>
                <w:color w:val="1A1A1A"/>
                <w:sz w:val="18"/>
              </w:rPr>
              <w:t>Regulación FMCSA US</w:t>
            </w:r>
          </w:p>
        </w:tc>
        <w:tc>
          <w:tcPr>
            <w:tcW w:type="dxa" w:w="2266"/>
            <w:shd w:val="clear" w:color="auto" w:fill="FFFFFF"/>
          </w:tcPr>
          <w:p>
            <w:pPr>
              <w:spacing w:before="40" w:after="40"/>
            </w:pPr>
            <w:r>
              <w:rPr>
                <w:color w:val="1A1A1A"/>
                <w:sz w:val="18"/>
              </w:rPr>
              <w:t>Vigente</w:t>
            </w:r>
          </w:p>
        </w:tc>
        <w:tc>
          <w:tcPr>
            <w:tcW w:type="dxa" w:w="2266"/>
            <w:shd w:val="clear" w:color="auto" w:fill="FFFFFF"/>
          </w:tcPr>
          <w:p>
            <w:pPr>
              <w:spacing w:before="40" w:after="40"/>
            </w:pPr>
            <w:r>
              <w:rPr>
                <w:color w:val="1A1A1A"/>
                <w:sz w:val="18"/>
              </w:rPr>
              <w:t>Safety + insurance + drug testing para drivers cross-border</w:t>
            </w:r>
          </w:p>
        </w:tc>
        <w:tc>
          <w:tcPr>
            <w:tcW w:type="dxa" w:w="2266"/>
            <w:shd w:val="clear" w:color="auto" w:fill="FFFFFF"/>
          </w:tcPr>
          <w:p>
            <w:pPr>
              <w:spacing w:before="40" w:after="40"/>
            </w:pPr>
            <w:r>
              <w:rPr>
                <w:color w:val="1A1A1A"/>
                <w:sz w:val="18"/>
              </w:rPr>
              <w:t>Alto — operación US side depende</w:t>
            </w:r>
          </w:p>
        </w:tc>
      </w:tr>
    </w:tbl>
    <w:p/>
    <w:p>
      <w:pPr>
        <w:spacing w:before="160" w:after="40"/>
      </w:pPr>
      <w:r>
        <w:rPr>
          <w:b/>
          <w:color w:val="6B7280"/>
          <w:sz w:val="22"/>
        </w:rPr>
        <w:t>Cambios regulatorios en curso o anticipados</w:t>
      </w:r>
    </w:p>
    <w:p>
      <w:pPr>
        <w:spacing w:before="20" w:after="60"/>
      </w:pPr>
      <w:r>
        <w:rPr>
          <w:b/>
          <w:color w:val="1A1A1A"/>
          <w:sz w:val="20"/>
        </w:rPr>
        <w:t>1. USMCA Review 2026 (decisión 1-jul-2026):</w:t>
      </w:r>
      <w:r>
        <w:rPr>
          <w:color w:val="1A1A1A"/>
          <w:sz w:val="20"/>
        </w:rPr>
        <w:t xml:space="preserve"> continuación as-is por 16 años más, renegociación parcial, o sunset countdown.</w:t>
      </w:r>
    </w:p>
    <w:p>
      <w:pPr>
        <w:spacing w:before="20" w:after="60"/>
      </w:pPr>
      <w:r>
        <w:rPr>
          <w:b/>
          <w:color w:val="1A1A1A"/>
          <w:sz w:val="20"/>
        </w:rPr>
        <w:t>2. Implementación efectiva de la Reforma Ley Aduanera (a partir 1-ene-2026):</w:t>
      </w:r>
      <w:r>
        <w:rPr>
          <w:color w:val="1A1A1A"/>
          <w:sz w:val="20"/>
        </w:rPr>
        <w:t xml:space="preserve"> apertura de Consejo Aduanero, primer ciclo de certificación de patentes, primer incremento de duties para importaciones no-preferenciales.</w:t>
      </w:r>
    </w:p>
    <w:p>
      <w:pPr>
        <w:spacing w:before="20" w:after="60"/>
      </w:pPr>
      <w:r>
        <w:rPr>
          <w:b/>
          <w:color w:val="1A1A1A"/>
          <w:sz w:val="20"/>
        </w:rPr>
        <w:t>3. Posible Carta Porte 3.2 o 4.0:</w:t>
      </w:r>
      <w:r>
        <w:rPr>
          <w:color w:val="1A1A1A"/>
          <w:sz w:val="20"/>
        </w:rPr>
        <w:t xml:space="preserve"> la versión 3.1 está vigente pero hay rumores en CAAAREM y CANACAR de una nueva iteración para 2026-2027 con campos adicionales.</w:t>
      </w:r>
    </w:p>
    <w:p>
      <w:pPr>
        <w:spacing w:before="20" w:after="60"/>
      </w:pPr>
      <w:r>
        <w:rPr>
          <w:b/>
          <w:color w:val="1A1A1A"/>
          <w:sz w:val="20"/>
        </w:rPr>
        <w:t>4. NEEC / OEA — Operador Económico Autorizado.</w:t>
      </w:r>
      <w:r>
        <w:rPr>
          <w:color w:val="1A1A1A"/>
          <w:sz w:val="20"/>
        </w:rPr>
        <w:t xml:space="preserve"> Programa SAT/ANAM equivalente a C-TPAT en US. Empresas certificadas obtienen despacho expedito. La adopción está creciendo pero requiere inversión inicial significativa.</w:t>
      </w:r>
    </w:p>
    <w:p>
      <w:pPr>
        <w:spacing w:before="160" w:after="40"/>
      </w:pPr>
      <w:r>
        <w:rPr>
          <w:b/>
          <w:color w:val="6B7280"/>
          <w:sz w:val="22"/>
        </w:rPr>
        <w:t>Riesgos de compliance relevantes para empresas del sector</w:t>
      </w:r>
    </w:p>
    <w:p>
      <w:pPr>
        <w:pStyle w:val="ListBullet"/>
        <w:spacing w:before="0" w:after="40"/>
      </w:pPr>
      <w:r>
        <w:rPr>
          <w:color w:val="1A1A1A"/>
          <w:sz w:val="20"/>
        </w:rPr>
        <w:t xml:space="preserve">⚠️ </w:t>
      </w:r>
      <w:r>
        <w:rPr>
          <w:b/>
          <w:color w:val="1A1A1A"/>
          <w:sz w:val="20"/>
        </w:rPr>
        <w:t>Errores en clasificación arancelaria</w:t>
      </w:r>
      <w:r>
        <w:rPr>
          <w:color w:val="1A1A1A"/>
          <w:sz w:val="20"/>
        </w:rPr>
        <w:t xml:space="preserve"> → multas + retención de mercancía + bajo el nuevo régimen, responsabilidad solidaria del agente aduanal.</w:t>
      </w:r>
    </w:p>
    <w:p>
      <w:pPr>
        <w:pStyle w:val="ListBullet"/>
        <w:spacing w:before="0" w:after="40"/>
      </w:pPr>
      <w:r>
        <w:rPr>
          <w:color w:val="1A1A1A"/>
          <w:sz w:val="20"/>
        </w:rPr>
        <w:t xml:space="preserve">⚠️ </w:t>
      </w:r>
      <w:r>
        <w:rPr>
          <w:b/>
          <w:color w:val="1A1A1A"/>
          <w:sz w:val="20"/>
        </w:rPr>
        <w:t>Incumplimientos de Carta Porte 3.1</w:t>
      </w:r>
      <w:r>
        <w:rPr>
          <w:color w:val="1A1A1A"/>
          <w:sz w:val="20"/>
        </w:rPr>
        <w:t xml:space="preserve"> → multas y potencialmente contrabando presunto.</w:t>
      </w:r>
    </w:p>
    <w:p>
      <w:pPr>
        <w:pStyle w:val="ListBullet"/>
        <w:spacing w:before="0" w:after="40"/>
      </w:pPr>
      <w:r>
        <w:rPr>
          <w:color w:val="1A1A1A"/>
          <w:sz w:val="20"/>
        </w:rPr>
        <w:t xml:space="preserve">⚠️ </w:t>
      </w:r>
      <w:r>
        <w:rPr>
          <w:b/>
          <w:color w:val="1A1A1A"/>
          <w:sz w:val="20"/>
        </w:rPr>
        <w:t>Operadores sin licencia federal apropiada</w:t>
      </w:r>
      <w:r>
        <w:rPr>
          <w:color w:val="1A1A1A"/>
          <w:sz w:val="20"/>
        </w:rPr>
        <w:t xml:space="preserve"> → suspensión + multas a la empresa.</w:t>
      </w:r>
    </w:p>
    <w:p>
      <w:pPr>
        <w:pStyle w:val="ListBullet"/>
        <w:spacing w:before="0" w:after="40"/>
      </w:pPr>
      <w:r>
        <w:rPr>
          <w:color w:val="1A1A1A"/>
          <w:sz w:val="20"/>
        </w:rPr>
        <w:t xml:space="preserve">⚠️ </w:t>
      </w:r>
      <w:r>
        <w:rPr>
          <w:b/>
          <w:color w:val="1A1A1A"/>
          <w:sz w:val="20"/>
        </w:rPr>
        <w:t>Falla en mantenimiento de patente aduanal</w:t>
      </w:r>
      <w:r>
        <w:rPr>
          <w:color w:val="1A1A1A"/>
          <w:sz w:val="20"/>
        </w:rPr>
        <w:t xml:space="preserve"> → bajo nuevo régimen, no renovación si no se cumplen certificaciones periódicas.</w:t>
      </w:r>
    </w:p>
    <w:p>
      <w:pPr>
        <w:pStyle w:val="ListBullet"/>
        <w:spacing w:before="0" w:after="40"/>
      </w:pPr>
      <w:r>
        <w:rPr>
          <w:color w:val="1A1A1A"/>
          <w:sz w:val="20"/>
        </w:rPr>
        <w:t xml:space="preserve">⚠️ </w:t>
      </w:r>
      <w:r>
        <w:rPr>
          <w:b/>
          <w:color w:val="1A1A1A"/>
          <w:sz w:val="20"/>
        </w:rPr>
        <w:t>Failure to qualify USMCA</w:t>
      </w:r>
      <w:r>
        <w:rPr>
          <w:color w:val="1A1A1A"/>
          <w:sz w:val="20"/>
        </w:rPr>
        <w:t xml:space="preserve"> → arancel general en vez de preferente, daño directo al cliente.</w:t>
      </w:r>
    </w:p>
    <w:p>
      <w:pPr>
        <w:spacing w:before="40" w:after="40"/>
      </w:pPr>
    </w:p>
    <w:p>
      <w:pPr>
        <w:spacing w:before="280" w:after="60"/>
        <w:pBdr>
          <w:bottom w:val="single" w:sz="4" w:space="1" w:color="0EA5E9"/>
        </w:pBdr>
      </w:pPr>
      <w:r>
        <w:rPr>
          <w:b/>
          <w:color w:val="0EA5E9"/>
          <w:sz w:val="28"/>
        </w:rPr>
        <w:t>7. IMPACTO DE LA IA EN EL SECTOR</w:t>
      </w:r>
    </w:p>
    <w:p>
      <w:pPr>
        <w:spacing w:before="160" w:after="40"/>
      </w:pPr>
      <w:r>
        <w:rPr>
          <w:b/>
          <w:color w:val="6B7280"/>
          <w:sz w:val="22"/>
        </w:rPr>
        <w:t>Estado actual de adopción</w:t>
      </w:r>
    </w:p>
    <w:p>
      <w:pPr>
        <w:spacing w:before="20" w:after="60"/>
      </w:pPr>
      <w:r>
        <w:rPr>
          <w:b/>
          <w:color w:val="1A1A1A"/>
          <w:sz w:val="20"/>
        </w:rPr>
        <w:t>Adopción muy temprana</w:t>
      </w:r>
      <w:r>
        <w:rPr>
          <w:color w:val="1A1A1A"/>
          <w:sz w:val="20"/>
        </w:rPr>
        <w:t xml:space="preserve"> — la mayoría de empresas del sector en México están en nivel 1-2/5 de madurez digital. Existen 5-10 plataformas mexicanas de IA aduanera activamente vendiendo (AduanApp, Taxer, Moco AI, Experta, Camtom) pero su penetración real en agencias aduanales está por debajo del 10%. La ventana de </w:t>
      </w:r>
      <w:r>
        <w:rPr>
          <w:b/>
          <w:color w:val="1A1A1A"/>
          <w:sz w:val="20"/>
        </w:rPr>
        <w:t>early-adopter advantage</w:t>
      </w:r>
      <w:r>
        <w:rPr>
          <w:color w:val="1A1A1A"/>
          <w:sz w:val="20"/>
        </w:rPr>
        <w:t xml:space="preserve"> está abierta y se cerrará en 18-30 meses.</w:t>
      </w:r>
    </w:p>
    <w:p>
      <w:pPr>
        <w:spacing w:before="160" w:after="40"/>
      </w:pPr>
      <w:r>
        <w:rPr>
          <w:b/>
          <w:color w:val="6B7280"/>
          <w:sz w:val="22"/>
        </w:rPr>
        <w:t>Casos de uso ya implementados (con nombres reales)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Caso de uso</w:t>
            </w:r>
          </w:p>
        </w:tc>
        <w:tc>
          <w:tcPr>
            <w:tcW w:type="dxa" w:w="2266"/>
            <w:shd w:val="clear" w:color="auto" w:fill="0C1A2E"/>
          </w:tcPr>
          <w:p>
            <w:pPr>
              <w:spacing w:before="40" w:after="40"/>
            </w:pPr>
            <w:r>
              <w:rPr>
                <w:b/>
                <w:color w:val="FFFFFF"/>
                <w:sz w:val="18"/>
              </w:rPr>
              <w:t>Herramienta / empresa</w:t>
            </w:r>
          </w:p>
        </w:tc>
        <w:tc>
          <w:tcPr>
            <w:tcW w:type="dxa" w:w="2266"/>
            <w:shd w:val="clear" w:color="auto" w:fill="0C1A2E"/>
          </w:tcPr>
          <w:p>
            <w:pPr>
              <w:spacing w:before="40" w:after="40"/>
            </w:pPr>
            <w:r>
              <w:rPr>
                <w:b/>
                <w:color w:val="FFFFFF"/>
                <w:sz w:val="18"/>
              </w:rPr>
              <w:t>País</w:t>
            </w:r>
          </w:p>
        </w:tc>
        <w:tc>
          <w:tcPr>
            <w:tcW w:type="dxa" w:w="2266"/>
            <w:shd w:val="clear" w:color="auto" w:fill="0C1A2E"/>
          </w:tcPr>
          <w:p>
            <w:pPr>
              <w:spacing w:before="40" w:after="40"/>
            </w:pPr>
            <w:r>
              <w:rPr>
                <w:b/>
                <w:color w:val="FFFFFF"/>
                <w:sz w:val="18"/>
              </w:rPr>
              <w:t>Resultado reportado</w:t>
            </w:r>
          </w:p>
        </w:tc>
      </w:tr>
      <w:tr>
        <w:tc>
          <w:tcPr>
            <w:tcW w:type="dxa" w:w="2266"/>
            <w:shd w:val="clear" w:color="auto" w:fill="FFFFFF"/>
          </w:tcPr>
          <w:p>
            <w:pPr>
              <w:spacing w:before="40" w:after="40"/>
            </w:pPr>
            <w:r>
              <w:rPr>
                <w:color w:val="1A1A1A"/>
                <w:sz w:val="18"/>
              </w:rPr>
              <w:t>Clasificación arancelaria automatizada</w:t>
            </w:r>
          </w:p>
        </w:tc>
        <w:tc>
          <w:tcPr>
            <w:tcW w:type="dxa" w:w="2266"/>
            <w:shd w:val="clear" w:color="auto" w:fill="FFFFFF"/>
          </w:tcPr>
          <w:p>
            <w:pPr>
              <w:spacing w:before="40" w:after="40"/>
            </w:pPr>
            <w:r>
              <w:rPr>
                <w:color w:val="1A1A1A"/>
                <w:sz w:val="18"/>
              </w:rPr>
              <w:t>AduanApp</w:t>
            </w:r>
          </w:p>
        </w:tc>
        <w:tc>
          <w:tcPr>
            <w:tcW w:type="dxa" w:w="2266"/>
            <w:shd w:val="clear" w:color="auto" w:fill="FFFFFF"/>
          </w:tcPr>
          <w:p>
            <w:pPr>
              <w:spacing w:before="40" w:after="40"/>
            </w:pPr>
            <w:r>
              <w:rPr>
                <w:color w:val="1A1A1A"/>
                <w:sz w:val="18"/>
              </w:rPr>
              <w:t>México</w:t>
            </w:r>
          </w:p>
        </w:tc>
        <w:tc>
          <w:tcPr>
            <w:tcW w:type="dxa" w:w="2266"/>
            <w:shd w:val="clear" w:color="auto" w:fill="FFFFFF"/>
          </w:tcPr>
          <w:p>
            <w:pPr>
              <w:spacing w:before="40" w:after="40"/>
            </w:pPr>
            <w:r>
              <w:rPr>
                <w:color w:val="1A1A1A"/>
                <w:sz w:val="18"/>
              </w:rPr>
              <w:t>✅ 7-13 segundos por clasificación; 95% precisión</w:t>
            </w:r>
          </w:p>
        </w:tc>
      </w:tr>
      <w:tr>
        <w:tc>
          <w:tcPr>
            <w:tcW w:type="dxa" w:w="2266"/>
            <w:shd w:val="clear" w:color="auto" w:fill="EBF3FA"/>
          </w:tcPr>
          <w:p>
            <w:pPr>
              <w:spacing w:before="40" w:after="40"/>
            </w:pPr>
            <w:r>
              <w:rPr>
                <w:color w:val="1A1A1A"/>
                <w:sz w:val="18"/>
              </w:rPr>
              <w:t>Reducción de tiempos de flujo</w:t>
            </w:r>
          </w:p>
        </w:tc>
        <w:tc>
          <w:tcPr>
            <w:tcW w:type="dxa" w:w="2266"/>
            <w:shd w:val="clear" w:color="auto" w:fill="EBF3FA"/>
          </w:tcPr>
          <w:p>
            <w:pPr>
              <w:spacing w:before="40" w:after="40"/>
            </w:pPr>
            <w:r>
              <w:rPr>
                <w:color w:val="1A1A1A"/>
                <w:sz w:val="18"/>
              </w:rPr>
              <w:t>Taxer</w:t>
            </w:r>
          </w:p>
        </w:tc>
        <w:tc>
          <w:tcPr>
            <w:tcW w:type="dxa" w:w="2266"/>
            <w:shd w:val="clear" w:color="auto" w:fill="EBF3FA"/>
          </w:tcPr>
          <w:p>
            <w:pPr>
              <w:spacing w:before="40" w:after="40"/>
            </w:pPr>
            <w:r>
              <w:rPr>
                <w:color w:val="1A1A1A"/>
                <w:sz w:val="18"/>
              </w:rPr>
              <w:t>México</w:t>
            </w:r>
          </w:p>
        </w:tc>
        <w:tc>
          <w:tcPr>
            <w:tcW w:type="dxa" w:w="2266"/>
            <w:shd w:val="clear" w:color="auto" w:fill="EBF3FA"/>
          </w:tcPr>
          <w:p>
            <w:pPr>
              <w:spacing w:before="40" w:after="40"/>
            </w:pPr>
            <w:r>
              <w:rPr>
                <w:color w:val="1A1A1A"/>
                <w:sz w:val="18"/>
              </w:rPr>
              <w:t>✅ 56% reducción en tiempos de flujo de trabajo</w:t>
            </w:r>
          </w:p>
        </w:tc>
      </w:tr>
      <w:tr>
        <w:tc>
          <w:tcPr>
            <w:tcW w:type="dxa" w:w="2266"/>
            <w:shd w:val="clear" w:color="auto" w:fill="FFFFFF"/>
          </w:tcPr>
          <w:p>
            <w:pPr>
              <w:spacing w:before="40" w:after="40"/>
            </w:pPr>
            <w:r>
              <w:rPr>
                <w:color w:val="1A1A1A"/>
                <w:sz w:val="18"/>
              </w:rPr>
              <w:t>Plataforma de visibility US-MX</w:t>
            </w:r>
          </w:p>
        </w:tc>
        <w:tc>
          <w:tcPr>
            <w:tcW w:type="dxa" w:w="2266"/>
            <w:shd w:val="clear" w:color="auto" w:fill="FFFFFF"/>
          </w:tcPr>
          <w:p>
            <w:pPr>
              <w:spacing w:before="40" w:after="40"/>
            </w:pPr>
            <w:r>
              <w:rPr>
                <w:color w:val="1A1A1A"/>
                <w:sz w:val="18"/>
              </w:rPr>
              <w:t>Nuvocargo</w:t>
            </w:r>
          </w:p>
        </w:tc>
        <w:tc>
          <w:tcPr>
            <w:tcW w:type="dxa" w:w="2266"/>
            <w:shd w:val="clear" w:color="auto" w:fill="FFFFFF"/>
          </w:tcPr>
          <w:p>
            <w:pPr>
              <w:spacing w:before="40" w:after="40"/>
            </w:pPr>
            <w:r>
              <w:rPr>
                <w:color w:val="1A1A1A"/>
                <w:sz w:val="18"/>
              </w:rPr>
              <w:t>México-USA</w:t>
            </w:r>
          </w:p>
        </w:tc>
        <w:tc>
          <w:tcPr>
            <w:tcW w:type="dxa" w:w="2266"/>
            <w:shd w:val="clear" w:color="auto" w:fill="FFFFFF"/>
          </w:tcPr>
          <w:p>
            <w:pPr>
              <w:spacing w:before="40" w:after="40"/>
            </w:pPr>
            <w:r>
              <w:rPr>
                <w:color w:val="1A1A1A"/>
                <w:sz w:val="18"/>
              </w:rPr>
              <w:t>⚠️ Reduce 30-50% inquiries de tracking; ROI no público</w:t>
            </w:r>
          </w:p>
        </w:tc>
      </w:tr>
      <w:tr>
        <w:tc>
          <w:tcPr>
            <w:tcW w:type="dxa" w:w="2266"/>
            <w:shd w:val="clear" w:color="auto" w:fill="EBF3FA"/>
          </w:tcPr>
          <w:p>
            <w:pPr>
              <w:spacing w:before="40" w:after="40"/>
            </w:pPr>
            <w:r>
              <w:rPr>
                <w:color w:val="1A1A1A"/>
                <w:sz w:val="18"/>
              </w:rPr>
              <w:t>Brokerage automatizado</w:t>
            </w:r>
          </w:p>
        </w:tc>
        <w:tc>
          <w:tcPr>
            <w:tcW w:type="dxa" w:w="2266"/>
            <w:shd w:val="clear" w:color="auto" w:fill="EBF3FA"/>
          </w:tcPr>
          <w:p>
            <w:pPr>
              <w:spacing w:before="40" w:after="40"/>
            </w:pPr>
            <w:r>
              <w:rPr>
                <w:color w:val="1A1A1A"/>
                <w:sz w:val="18"/>
              </w:rPr>
              <w:t>Flexport</w:t>
            </w:r>
          </w:p>
        </w:tc>
        <w:tc>
          <w:tcPr>
            <w:tcW w:type="dxa" w:w="2266"/>
            <w:shd w:val="clear" w:color="auto" w:fill="EBF3FA"/>
          </w:tcPr>
          <w:p>
            <w:pPr>
              <w:spacing w:before="40" w:after="40"/>
            </w:pPr>
            <w:r>
              <w:rPr>
                <w:color w:val="1A1A1A"/>
                <w:sz w:val="18"/>
              </w:rPr>
              <w:t>Global</w:t>
            </w:r>
          </w:p>
        </w:tc>
        <w:tc>
          <w:tcPr>
            <w:tcW w:type="dxa" w:w="2266"/>
            <w:shd w:val="clear" w:color="auto" w:fill="EBF3FA"/>
          </w:tcPr>
          <w:p>
            <w:pPr>
              <w:spacing w:before="40" w:after="40"/>
            </w:pPr>
            <w:r>
              <w:rPr>
                <w:color w:val="1A1A1A"/>
                <w:sz w:val="18"/>
              </w:rPr>
              <w:t>⚠️ Reducción 25-40% tiempos de cotización (cifra global, no MX-específica)</w:t>
            </w:r>
          </w:p>
        </w:tc>
      </w:tr>
      <w:tr>
        <w:tc>
          <w:tcPr>
            <w:tcW w:type="dxa" w:w="2266"/>
            <w:shd w:val="clear" w:color="auto" w:fill="FFFFFF"/>
          </w:tcPr>
          <w:p>
            <w:pPr>
              <w:spacing w:before="40" w:after="40"/>
            </w:pPr>
            <w:r>
              <w:rPr>
                <w:color w:val="1A1A1A"/>
                <w:sz w:val="18"/>
              </w:rPr>
              <w:t>OCR de documentos aduanales</w:t>
            </w:r>
          </w:p>
        </w:tc>
        <w:tc>
          <w:tcPr>
            <w:tcW w:type="dxa" w:w="2266"/>
            <w:shd w:val="clear" w:color="auto" w:fill="FFFFFF"/>
          </w:tcPr>
          <w:p>
            <w:pPr>
              <w:spacing w:before="40" w:after="40"/>
            </w:pPr>
            <w:r>
              <w:rPr>
                <w:color w:val="1A1A1A"/>
                <w:sz w:val="18"/>
              </w:rPr>
              <w:t>Moco AI / Camtom</w:t>
            </w:r>
          </w:p>
        </w:tc>
        <w:tc>
          <w:tcPr>
            <w:tcW w:type="dxa" w:w="2266"/>
            <w:shd w:val="clear" w:color="auto" w:fill="FFFFFF"/>
          </w:tcPr>
          <w:p>
            <w:pPr>
              <w:spacing w:before="40" w:after="40"/>
            </w:pPr>
            <w:r>
              <w:rPr>
                <w:color w:val="1A1A1A"/>
                <w:sz w:val="18"/>
              </w:rPr>
              <w:t>México</w:t>
            </w:r>
          </w:p>
        </w:tc>
        <w:tc>
          <w:tcPr>
            <w:tcW w:type="dxa" w:w="2266"/>
            <w:shd w:val="clear" w:color="auto" w:fill="FFFFFF"/>
          </w:tcPr>
          <w:p>
            <w:pPr>
              <w:spacing w:before="40" w:after="40"/>
            </w:pPr>
            <w:r>
              <w:rPr>
                <w:color w:val="1A1A1A"/>
                <w:sz w:val="18"/>
              </w:rPr>
              <w:t>⚠️ Reducción 60-80% tiempo de captura (rangos reportados por proveedores)</w:t>
            </w:r>
          </w:p>
        </w:tc>
      </w:tr>
      <w:tr>
        <w:tc>
          <w:tcPr>
            <w:tcW w:type="dxa" w:w="2266"/>
            <w:shd w:val="clear" w:color="auto" w:fill="EBF3FA"/>
          </w:tcPr>
          <w:p>
            <w:pPr>
              <w:spacing w:before="40" w:after="40"/>
            </w:pPr>
            <w:r>
              <w:rPr>
                <w:color w:val="1A1A1A"/>
                <w:sz w:val="18"/>
              </w:rPr>
              <w:t>Predicción de duty / valuation</w:t>
            </w:r>
          </w:p>
        </w:tc>
        <w:tc>
          <w:tcPr>
            <w:tcW w:type="dxa" w:w="2266"/>
            <w:shd w:val="clear" w:color="auto" w:fill="EBF3FA"/>
          </w:tcPr>
          <w:p>
            <w:pPr>
              <w:spacing w:before="40" w:after="40"/>
            </w:pPr>
            <w:r>
              <w:rPr>
                <w:color w:val="1A1A1A"/>
                <w:sz w:val="18"/>
              </w:rPr>
              <w:t>Various US TMS</w:t>
            </w:r>
          </w:p>
        </w:tc>
        <w:tc>
          <w:tcPr>
            <w:tcW w:type="dxa" w:w="2266"/>
            <w:shd w:val="clear" w:color="auto" w:fill="EBF3FA"/>
          </w:tcPr>
          <w:p>
            <w:pPr>
              <w:spacing w:before="40" w:after="40"/>
            </w:pPr>
            <w:r>
              <w:rPr>
                <w:color w:val="1A1A1A"/>
                <w:sz w:val="18"/>
              </w:rPr>
              <w:t>USA, MX</w:t>
            </w:r>
          </w:p>
        </w:tc>
        <w:tc>
          <w:tcPr>
            <w:tcW w:type="dxa" w:w="2266"/>
            <w:shd w:val="clear" w:color="auto" w:fill="EBF3FA"/>
          </w:tcPr>
          <w:p>
            <w:pPr>
              <w:spacing w:before="40" w:after="40"/>
            </w:pPr>
            <w:r>
              <w:rPr>
                <w:color w:val="1A1A1A"/>
                <w:sz w:val="18"/>
              </w:rPr>
              <w:t>⚠️ Reducción de revisiones de aduana up to 20% (Department of Commerce US studies)</w:t>
            </w:r>
          </w:p>
        </w:tc>
      </w:tr>
    </w:tbl>
    <w:p/>
    <w:p>
      <w:pPr>
        <w:spacing w:before="160" w:after="40"/>
      </w:pPr>
      <w:r>
        <w:rPr>
          <w:b/>
          <w:color w:val="6B7280"/>
          <w:sz w:val="22"/>
        </w:rPr>
        <w:t>Herramientas de IA dominantes en el sector</w:t>
      </w:r>
    </w:p>
    <w:p>
      <w:pPr>
        <w:pStyle w:val="ListBullet"/>
        <w:spacing w:before="0" w:after="40"/>
      </w:pPr>
      <w:r>
        <w:rPr>
          <w:b/>
          <w:color w:val="1A1A1A"/>
          <w:sz w:val="20"/>
        </w:rPr>
        <w:t>AduanApp</w:t>
      </w:r>
      <w:r>
        <w:rPr>
          <w:color w:val="1A1A1A"/>
          <w:sz w:val="20"/>
        </w:rPr>
        <w:t xml:space="preserve"> — clasificación arancelaria mexicana (#1 player local).</w:t>
      </w:r>
    </w:p>
    <w:p>
      <w:pPr>
        <w:pStyle w:val="ListBullet"/>
        <w:spacing w:before="0" w:after="40"/>
      </w:pPr>
      <w:r>
        <w:rPr>
          <w:b/>
          <w:color w:val="1A1A1A"/>
          <w:sz w:val="20"/>
        </w:rPr>
        <w:t>Taxer</w:t>
      </w:r>
      <w:r>
        <w:rPr>
          <w:color w:val="1A1A1A"/>
          <w:sz w:val="20"/>
        </w:rPr>
        <w:t xml:space="preserve"> — automatización de flujos aduaneros mexicanos.</w:t>
      </w:r>
    </w:p>
    <w:p>
      <w:pPr>
        <w:pStyle w:val="ListBullet"/>
        <w:spacing w:before="0" w:after="40"/>
      </w:pPr>
      <w:r>
        <w:rPr>
          <w:b/>
          <w:color w:val="1A1A1A"/>
          <w:sz w:val="20"/>
        </w:rPr>
        <w:t>Moco AI</w:t>
      </w:r>
      <w:r>
        <w:rPr>
          <w:color w:val="1A1A1A"/>
          <w:sz w:val="20"/>
        </w:rPr>
        <w:t xml:space="preserve"> — clasificación + asistente aduanero.</w:t>
      </w:r>
    </w:p>
    <w:p>
      <w:pPr>
        <w:pStyle w:val="ListBullet"/>
        <w:spacing w:before="0" w:after="40"/>
      </w:pPr>
      <w:r>
        <w:rPr>
          <w:b/>
          <w:color w:val="1A1A1A"/>
          <w:sz w:val="20"/>
        </w:rPr>
        <w:t>Camtom</w:t>
      </w:r>
      <w:r>
        <w:rPr>
          <w:color w:val="1A1A1A"/>
          <w:sz w:val="20"/>
        </w:rPr>
        <w:t xml:space="preserve"> — clasificación arancelaria + comercio internacional.</w:t>
      </w:r>
    </w:p>
    <w:p>
      <w:pPr>
        <w:pStyle w:val="ListBullet"/>
        <w:spacing w:before="0" w:after="40"/>
      </w:pPr>
      <w:r>
        <w:rPr>
          <w:b/>
          <w:color w:val="1A1A1A"/>
          <w:sz w:val="20"/>
        </w:rPr>
        <w:t>Experta</w:t>
      </w:r>
      <w:r>
        <w:rPr>
          <w:color w:val="1A1A1A"/>
          <w:sz w:val="20"/>
        </w:rPr>
        <w:t xml:space="preserve"> — clasificación arancelaria.</w:t>
      </w:r>
    </w:p>
    <w:p>
      <w:pPr>
        <w:pStyle w:val="ListBullet"/>
        <w:spacing w:before="0" w:after="40"/>
      </w:pPr>
      <w:r>
        <w:rPr>
          <w:b/>
          <w:color w:val="1A1A1A"/>
          <w:sz w:val="20"/>
        </w:rPr>
        <w:t>Nuvocargo Platform</w:t>
      </w:r>
      <w:r>
        <w:rPr>
          <w:color w:val="1A1A1A"/>
          <w:sz w:val="20"/>
        </w:rPr>
        <w:t xml:space="preserve"> — visibility + brokerage para US-MX cross-border.</w:t>
      </w:r>
    </w:p>
    <w:p>
      <w:pPr>
        <w:pStyle w:val="ListBullet"/>
        <w:spacing w:before="0" w:after="40"/>
      </w:pPr>
      <w:r>
        <w:rPr>
          <w:b/>
          <w:color w:val="1A1A1A"/>
          <w:sz w:val="20"/>
        </w:rPr>
        <w:t>Flexport Platform</w:t>
      </w:r>
      <w:r>
        <w:rPr>
          <w:color w:val="1A1A1A"/>
          <w:sz w:val="20"/>
        </w:rPr>
        <w:t xml:space="preserve"> — forwarding digital global.</w:t>
      </w:r>
    </w:p>
    <w:p>
      <w:pPr>
        <w:pStyle w:val="ListBullet"/>
        <w:spacing w:before="0" w:after="40"/>
      </w:pPr>
      <w:r>
        <w:rPr>
          <w:b/>
          <w:color w:val="1A1A1A"/>
          <w:sz w:val="20"/>
        </w:rPr>
        <w:t>Project44 / FourKites</w:t>
      </w:r>
      <w:r>
        <w:rPr>
          <w:color w:val="1A1A1A"/>
          <w:sz w:val="20"/>
        </w:rPr>
        <w:t xml:space="preserve"> — visibility multimodal global (penetración baja en MX).</w:t>
      </w:r>
    </w:p>
    <w:p>
      <w:pPr>
        <w:spacing w:before="160" w:after="40"/>
      </w:pPr>
      <w:r>
        <w:rPr>
          <w:b/>
          <w:color w:val="6B7280"/>
          <w:sz w:val="22"/>
        </w:rPr>
        <w:t>Barreras de adopción en México</w:t>
      </w:r>
    </w:p>
    <w:p>
      <w:pPr>
        <w:pStyle w:val="ListNumber"/>
        <w:spacing w:before="0" w:after="40"/>
      </w:pPr>
      <w:r>
        <w:rPr>
          <w:b/>
          <w:color w:val="1A1A1A"/>
          <w:sz w:val="20"/>
        </w:rPr>
        <w:t>Infraestructura tecnológica histórica baja.</w:t>
      </w:r>
      <w:r>
        <w:rPr>
          <w:color w:val="1A1A1A"/>
          <w:sz w:val="20"/>
        </w:rPr>
        <w:t xml:space="preserve"> La mayoría de agencias aduanales operan en ERPs heredados o Excel; integración con APIs nuevas es costosa.</w:t>
      </w:r>
    </w:p>
    <w:p>
      <w:pPr>
        <w:pStyle w:val="ListNumber"/>
        <w:spacing w:before="0" w:after="40"/>
      </w:pPr>
      <w:r>
        <w:rPr>
          <w:b/>
          <w:color w:val="1A1A1A"/>
          <w:sz w:val="20"/>
        </w:rPr>
        <w:t>Talento técnico escaso.</w:t>
      </w:r>
      <w:r>
        <w:rPr>
          <w:color w:val="1A1A1A"/>
          <w:sz w:val="20"/>
        </w:rPr>
        <w:t xml:space="preserve"> Combinación de conocimiento aduanal + tech es perfil escaso. Las plataformas de IA tienden a ser usadas en interfaz sin entender lo que hay debajo.</w:t>
      </w:r>
    </w:p>
    <w:p>
      <w:pPr>
        <w:pStyle w:val="ListNumber"/>
        <w:spacing w:before="0" w:after="40"/>
      </w:pPr>
      <w:r>
        <w:rPr>
          <w:b/>
          <w:color w:val="1A1A1A"/>
          <w:sz w:val="20"/>
        </w:rPr>
        <w:t>Resistencia cultural.</w:t>
      </w:r>
      <w:r>
        <w:rPr>
          <w:color w:val="1A1A1A"/>
          <w:sz w:val="20"/>
        </w:rPr>
        <w:t xml:space="preserve"> El despacho aduanal es industria de relaciones de décadas. La cultura "yo conozco al jefe de aduana" es difícil de digitalizar.</w:t>
      </w:r>
    </w:p>
    <w:p>
      <w:pPr>
        <w:pStyle w:val="ListNumber"/>
        <w:spacing w:before="0" w:after="40"/>
      </w:pPr>
      <w:r>
        <w:rPr>
          <w:b/>
          <w:color w:val="1A1A1A"/>
          <w:sz w:val="20"/>
        </w:rPr>
        <w:t>Costo percibido inicial.</w:t>
      </w:r>
      <w:r>
        <w:rPr>
          <w:color w:val="1A1A1A"/>
          <w:sz w:val="20"/>
        </w:rPr>
        <w:t xml:space="preserve"> Aunque el TCO baja con IA, el capex inicial sigue siendo barrera para PyMEs.</w:t>
      </w:r>
    </w:p>
    <w:p>
      <w:pPr>
        <w:pStyle w:val="ListNumber"/>
        <w:spacing w:before="0" w:after="40"/>
      </w:pPr>
      <w:r>
        <w:rPr>
          <w:b/>
          <w:color w:val="1A1A1A"/>
          <w:sz w:val="20"/>
        </w:rPr>
        <w:t>Regulación cambiante crea incertidumbre.</w:t>
      </w:r>
      <w:r>
        <w:rPr>
          <w:color w:val="1A1A1A"/>
          <w:sz w:val="20"/>
        </w:rPr>
        <w:t xml:space="preserve"> ¿Vale la pena implementar IA para un proceso que va a cambiar en 2026 por la reforma? Sí — pero el argumento requiere convicción.</w:t>
      </w:r>
    </w:p>
    <w:p>
      <w:pPr>
        <w:spacing w:before="20" w:after="60"/>
      </w:pPr>
      <w:r>
        <w:rPr>
          <w:color w:val="1A1A1A"/>
          <w:sz w:val="20"/>
        </w:rPr>
        <w:t xml:space="preserve">&gt; 🔍 </w:t>
      </w:r>
      <w:r>
        <w:rPr>
          <w:b/>
          <w:color w:val="1A1A1A"/>
          <w:sz w:val="20"/>
        </w:rPr>
        <w:t>Análisis para Trixx:</w:t>
      </w:r>
      <w:r>
        <w:rPr>
          <w:color w:val="1A1A1A"/>
          <w:sz w:val="20"/>
        </w:rPr>
        <w:t xml:space="preserve"> La barrera #3 (resistencia cultural + relaciones) es exactamente lo que va a frenar a Trixx si NO actúa. Es también lo que va a permitir que tech-enabled forwarders (Nuvocargo) tomen su lonche en 18-24 meses. </w:t>
      </w:r>
      <w:r>
        <w:rPr>
          <w:b/>
          <w:color w:val="1A1A1A"/>
          <w:sz w:val="20"/>
        </w:rPr>
        <w:t>La narrativa de "automatizar SIN perder el toque humano" es la única que funciona aquí</w:t>
      </w:r>
      <w:r>
        <w:rPr>
          <w:color w:val="1A1A1A"/>
          <w:sz w:val="20"/>
        </w:rPr>
        <w:t xml:space="preserve"> — no "reemplazar humanos por IA".</w:t>
      </w:r>
    </w:p>
    <w:p>
      <w:pPr>
        <w:spacing w:before="40" w:after="40"/>
      </w:pPr>
    </w:p>
    <w:p>
      <w:pPr>
        <w:spacing w:before="280" w:after="60"/>
        <w:pBdr>
          <w:bottom w:val="single" w:sz="4" w:space="1" w:color="0EA5E9"/>
        </w:pBdr>
      </w:pPr>
      <w:r>
        <w:rPr>
          <w:b/>
          <w:color w:val="0EA5E9"/>
          <w:sz w:val="28"/>
        </w:rPr>
        <w:t>8. OPORTUNIDADES Y AMENAZAS DEL ENTORNO (PESTEL)</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C1A2E"/>
          </w:tcPr>
          <w:p>
            <w:pPr>
              <w:spacing w:before="40" w:after="40"/>
            </w:pPr>
            <w:r>
              <w:rPr>
                <w:b/>
                <w:color w:val="FFFFFF"/>
                <w:sz w:val="18"/>
              </w:rPr>
              <w:t>Factor</w:t>
            </w:r>
          </w:p>
        </w:tc>
        <w:tc>
          <w:tcPr>
            <w:tcW w:type="dxa" w:w="3022"/>
            <w:shd w:val="clear" w:color="auto" w:fill="0C1A2E"/>
          </w:tcPr>
          <w:p>
            <w:pPr>
              <w:spacing w:before="40" w:after="40"/>
            </w:pPr>
            <w:r>
              <w:rPr>
                <w:b/>
                <w:color w:val="FFFFFF"/>
                <w:sz w:val="18"/>
              </w:rPr>
              <w:t>Oportunidades</w:t>
            </w:r>
          </w:p>
        </w:tc>
        <w:tc>
          <w:tcPr>
            <w:tcW w:type="dxa" w:w="3022"/>
            <w:shd w:val="clear" w:color="auto" w:fill="0C1A2E"/>
          </w:tcPr>
          <w:p>
            <w:pPr>
              <w:spacing w:before="40" w:after="40"/>
            </w:pPr>
            <w:r>
              <w:rPr>
                <w:b/>
                <w:color w:val="FFFFFF"/>
                <w:sz w:val="18"/>
              </w:rPr>
              <w:t>Amenazas</w:t>
            </w:r>
          </w:p>
        </w:tc>
      </w:tr>
      <w:tr>
        <w:tc>
          <w:tcPr>
            <w:tcW w:type="dxa" w:w="3022"/>
            <w:shd w:val="clear" w:color="auto" w:fill="FFFFFF"/>
          </w:tcPr>
          <w:p>
            <w:pPr>
              <w:spacing w:before="40" w:after="40"/>
            </w:pPr>
            <w:r>
              <w:rPr>
                <w:color w:val="1A1A1A"/>
                <w:sz w:val="18"/>
              </w:rPr>
              <w:t>Político</w:t>
            </w:r>
          </w:p>
        </w:tc>
        <w:tc>
          <w:tcPr>
            <w:tcW w:type="dxa" w:w="3022"/>
            <w:shd w:val="clear" w:color="auto" w:fill="FFFFFF"/>
          </w:tcPr>
          <w:p>
            <w:pPr>
              <w:spacing w:before="40" w:after="40"/>
            </w:pPr>
            <w:r>
              <w:rPr>
                <w:color w:val="1A1A1A"/>
                <w:sz w:val="18"/>
              </w:rPr>
              <w:t>T-MEC review puede consolidar reglas de origen y favorecer operadores compliance-fwd</w:t>
            </w:r>
          </w:p>
        </w:tc>
        <w:tc>
          <w:tcPr>
            <w:tcW w:type="dxa" w:w="3022"/>
            <w:shd w:val="clear" w:color="auto" w:fill="FFFFFF"/>
          </w:tcPr>
          <w:p>
            <w:pPr>
              <w:spacing w:before="40" w:after="40"/>
            </w:pPr>
            <w:r>
              <w:rPr>
                <w:color w:val="1A1A1A"/>
                <w:sz w:val="18"/>
              </w:rPr>
              <w:t>Inestabilidad arancelaria US 2025-2026 reduce predictibilidad; tensión MX-USA en política migratoria afecta cruces</w:t>
            </w:r>
          </w:p>
        </w:tc>
      </w:tr>
      <w:tr>
        <w:tc>
          <w:tcPr>
            <w:tcW w:type="dxa" w:w="3022"/>
            <w:shd w:val="clear" w:color="auto" w:fill="EBF3FA"/>
          </w:tcPr>
          <w:p>
            <w:pPr>
              <w:spacing w:before="40" w:after="40"/>
            </w:pPr>
            <w:r>
              <w:rPr>
                <w:color w:val="1A1A1A"/>
                <w:sz w:val="18"/>
              </w:rPr>
              <w:t>Económico</w:t>
            </w:r>
          </w:p>
        </w:tc>
        <w:tc>
          <w:tcPr>
            <w:tcW w:type="dxa" w:w="3022"/>
            <w:shd w:val="clear" w:color="auto" w:fill="EBF3FA"/>
          </w:tcPr>
          <w:p>
            <w:pPr>
              <w:spacing w:before="40" w:after="40"/>
            </w:pPr>
            <w:r>
              <w:rPr>
                <w:color w:val="1A1A1A"/>
                <w:sz w:val="18"/>
              </w:rPr>
              <w:t>Nearshoring + 30+ empresas nuevas en Tijuana = mercado virgen; USD 92B mercado actual creciendo a USD 141B en 2034</w:t>
            </w:r>
          </w:p>
        </w:tc>
        <w:tc>
          <w:tcPr>
            <w:tcW w:type="dxa" w:w="3022"/>
            <w:shd w:val="clear" w:color="auto" w:fill="EBF3FA"/>
          </w:tcPr>
          <w:p>
            <w:pPr>
              <w:spacing w:before="40" w:after="40"/>
            </w:pPr>
            <w:r>
              <w:rPr>
                <w:color w:val="1A1A1A"/>
                <w:sz w:val="18"/>
              </w:rPr>
              <w:t>PIB del sector estancado en 2025 (+0.02%); volatilidad MXN-USD complica pricing</w:t>
            </w:r>
          </w:p>
        </w:tc>
      </w:tr>
      <w:tr>
        <w:tc>
          <w:tcPr>
            <w:tcW w:type="dxa" w:w="3022"/>
            <w:shd w:val="clear" w:color="auto" w:fill="FFFFFF"/>
          </w:tcPr>
          <w:p>
            <w:pPr>
              <w:spacing w:before="40" w:after="40"/>
            </w:pPr>
            <w:r>
              <w:rPr>
                <w:color w:val="1A1A1A"/>
                <w:sz w:val="18"/>
              </w:rPr>
              <w:t>Social</w:t>
            </w:r>
          </w:p>
        </w:tc>
        <w:tc>
          <w:tcPr>
            <w:tcW w:type="dxa" w:w="3022"/>
            <w:shd w:val="clear" w:color="auto" w:fill="FFFFFF"/>
          </w:tcPr>
          <w:p>
            <w:pPr>
              <w:spacing w:before="40" w:after="40"/>
            </w:pPr>
            <w:r>
              <w:rPr>
                <w:color w:val="1A1A1A"/>
                <w:sz w:val="18"/>
              </w:rPr>
              <w:t>Escasez de drivers eleva poder negociador de operadores establecidos; cultura "hecho en Tijuana" como ventaja</w:t>
            </w:r>
          </w:p>
        </w:tc>
        <w:tc>
          <w:tcPr>
            <w:tcW w:type="dxa" w:w="3022"/>
            <w:shd w:val="clear" w:color="auto" w:fill="FFFFFF"/>
          </w:tcPr>
          <w:p>
            <w:pPr>
              <w:spacing w:before="40" w:after="40"/>
            </w:pPr>
            <w:r>
              <w:rPr>
                <w:color w:val="1A1A1A"/>
                <w:sz w:val="18"/>
              </w:rPr>
              <w:t>Rotación 30-40% anual en drivers genera costo operativo + reputacional; cultura familiar limita profesionalización</w:t>
            </w:r>
          </w:p>
        </w:tc>
      </w:tr>
      <w:tr>
        <w:tc>
          <w:tcPr>
            <w:tcW w:type="dxa" w:w="3022"/>
            <w:shd w:val="clear" w:color="auto" w:fill="EBF3FA"/>
          </w:tcPr>
          <w:p>
            <w:pPr>
              <w:spacing w:before="40" w:after="40"/>
            </w:pPr>
            <w:r>
              <w:rPr>
                <w:color w:val="1A1A1A"/>
                <w:sz w:val="18"/>
              </w:rPr>
              <w:t>Tecnológico</w:t>
            </w:r>
          </w:p>
        </w:tc>
        <w:tc>
          <w:tcPr>
            <w:tcW w:type="dxa" w:w="3022"/>
            <w:shd w:val="clear" w:color="auto" w:fill="EBF3FA"/>
          </w:tcPr>
          <w:p>
            <w:pPr>
              <w:spacing w:before="40" w:after="40"/>
            </w:pPr>
            <w:r>
              <w:rPr>
                <w:color w:val="1A1A1A"/>
                <w:sz w:val="18"/>
              </w:rPr>
              <w:t>Early-adopter window de IA aduanal 18-30 meses abierta; LLMs commoditizados bajan costo de adopción</w:t>
            </w:r>
          </w:p>
        </w:tc>
        <w:tc>
          <w:tcPr>
            <w:tcW w:type="dxa" w:w="3022"/>
            <w:shd w:val="clear" w:color="auto" w:fill="EBF3FA"/>
          </w:tcPr>
          <w:p>
            <w:pPr>
              <w:spacing w:before="40" w:after="40"/>
            </w:pPr>
            <w:r>
              <w:rPr>
                <w:color w:val="1A1A1A"/>
                <w:sz w:val="18"/>
              </w:rPr>
              <w:t>Tech-enabled forwarders (Nuvocargo, Flexport) con USD 100M+ funding pueden absorber clientes mid-market</w:t>
            </w:r>
          </w:p>
        </w:tc>
      </w:tr>
      <w:tr>
        <w:tc>
          <w:tcPr>
            <w:tcW w:type="dxa" w:w="3022"/>
            <w:shd w:val="clear" w:color="auto" w:fill="FFFFFF"/>
          </w:tcPr>
          <w:p>
            <w:pPr>
              <w:spacing w:before="40" w:after="40"/>
            </w:pPr>
            <w:r>
              <w:rPr>
                <w:color w:val="1A1A1A"/>
                <w:sz w:val="18"/>
              </w:rPr>
              <w:t>Ecológico</w:t>
            </w:r>
          </w:p>
        </w:tc>
        <w:tc>
          <w:tcPr>
            <w:tcW w:type="dxa" w:w="3022"/>
            <w:shd w:val="clear" w:color="auto" w:fill="FFFFFF"/>
          </w:tcPr>
          <w:p>
            <w:pPr>
              <w:spacing w:before="40" w:after="40"/>
            </w:pPr>
            <w:r>
              <w:rPr>
                <w:color w:val="1A1A1A"/>
                <w:sz w:val="18"/>
              </w:rPr>
              <w:t>Cumplimiento ESG creciente entre clientes; oportunidad de diferenciar con métricas de emisiones por envío</w:t>
            </w:r>
          </w:p>
        </w:tc>
        <w:tc>
          <w:tcPr>
            <w:tcW w:type="dxa" w:w="3022"/>
            <w:shd w:val="clear" w:color="auto" w:fill="FFFFFF"/>
          </w:tcPr>
          <w:p>
            <w:pPr>
              <w:spacing w:before="40" w:after="40"/>
            </w:pPr>
            <w:r>
              <w:rPr>
                <w:color w:val="1A1A1A"/>
                <w:sz w:val="18"/>
              </w:rPr>
              <w:t>Regulación de emisiones US (CARB en California afecta drayage CA-MX) eleva costo de flota</w:t>
            </w:r>
          </w:p>
        </w:tc>
      </w:tr>
      <w:tr>
        <w:tc>
          <w:tcPr>
            <w:tcW w:type="dxa" w:w="3022"/>
            <w:shd w:val="clear" w:color="auto" w:fill="EBF3FA"/>
          </w:tcPr>
          <w:p>
            <w:pPr>
              <w:spacing w:before="40" w:after="40"/>
            </w:pPr>
            <w:r>
              <w:rPr>
                <w:color w:val="1A1A1A"/>
                <w:sz w:val="18"/>
              </w:rPr>
              <w:t>Legal</w:t>
            </w:r>
          </w:p>
        </w:tc>
        <w:tc>
          <w:tcPr>
            <w:tcW w:type="dxa" w:w="3022"/>
            <w:shd w:val="clear" w:color="auto" w:fill="EBF3FA"/>
          </w:tcPr>
          <w:p>
            <w:pPr>
              <w:spacing w:before="40" w:after="40"/>
            </w:pPr>
            <w:r>
              <w:rPr>
                <w:color w:val="1A1A1A"/>
                <w:sz w:val="18"/>
              </w:rPr>
              <w:t>Reforma Ley Aduanera 2026 favorece a quien adopte tech de compliance temprano</w:t>
            </w:r>
          </w:p>
        </w:tc>
        <w:tc>
          <w:tcPr>
            <w:tcW w:type="dxa" w:w="3022"/>
            <w:shd w:val="clear" w:color="auto" w:fill="EBF3FA"/>
          </w:tcPr>
          <w:p>
            <w:pPr>
              <w:spacing w:before="40" w:after="40"/>
            </w:pPr>
            <w:r>
              <w:rPr>
                <w:color w:val="1A1A1A"/>
                <w:sz w:val="18"/>
              </w:rPr>
              <w:t>Responsabilidad solidaria del agente aumenta exposición legal; multas Carta Porte $850-$53,650 MXN</w:t>
            </w:r>
          </w:p>
        </w:tc>
      </w:tr>
    </w:tbl>
    <w:p/>
    <w:p>
      <w:pPr>
        <w:spacing w:before="40" w:after="40"/>
      </w:pPr>
    </w:p>
    <w:p>
      <w:pPr>
        <w:spacing w:before="280" w:after="60"/>
        <w:pBdr>
          <w:bottom w:val="single" w:sz="4" w:space="1" w:color="0EA5E9"/>
        </w:pBdr>
      </w:pPr>
      <w:r>
        <w:rPr>
          <w:b/>
          <w:color w:val="0EA5E9"/>
          <w:sz w:val="28"/>
        </w:rPr>
        <w:t>9. MADUREZ DIGITAL DEL SECTOR</w:t>
      </w:r>
    </w:p>
    <w:p>
      <w:pPr>
        <w:spacing w:before="80" w:after="40"/>
      </w:pPr>
      <w:r>
        <w:rPr>
          <w:b/>
          <w:color w:val="0C1A2E"/>
          <w:sz w:val="20"/>
        </w:rPr>
        <w:t>Calificación general del sector: 2 / 5</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0C1A2E"/>
          </w:tcPr>
          <w:p>
            <w:pPr>
              <w:spacing w:before="40" w:after="40"/>
            </w:pPr>
            <w:r>
              <w:rPr>
                <w:b/>
                <w:color w:val="FFFFFF"/>
                <w:sz w:val="18"/>
              </w:rPr>
              <w:t>Nivel</w:t>
            </w:r>
          </w:p>
        </w:tc>
        <w:tc>
          <w:tcPr>
            <w:tcW w:type="dxa" w:w="3022"/>
            <w:shd w:val="clear" w:color="auto" w:fill="0C1A2E"/>
          </w:tcPr>
          <w:p>
            <w:pPr>
              <w:spacing w:before="40" w:after="40"/>
            </w:pPr>
            <w:r>
              <w:rPr>
                <w:b/>
                <w:color w:val="FFFFFF"/>
                <w:sz w:val="18"/>
              </w:rPr>
              <w:t>Descripción</w:t>
            </w:r>
          </w:p>
        </w:tc>
        <w:tc>
          <w:tcPr>
            <w:tcW w:type="dxa" w:w="3022"/>
            <w:shd w:val="clear" w:color="auto" w:fill="0C1A2E"/>
          </w:tcPr>
          <w:p>
            <w:pPr>
              <w:spacing w:before="40" w:after="40"/>
            </w:pPr>
            <w:r>
              <w:rPr>
                <w:b/>
                <w:color w:val="FFFFFF"/>
                <w:sz w:val="18"/>
              </w:rPr>
              <w:t>Posición típica del sector</w:t>
            </w:r>
          </w:p>
        </w:tc>
      </w:tr>
      <w:tr>
        <w:tc>
          <w:tcPr>
            <w:tcW w:type="dxa" w:w="3022"/>
            <w:shd w:val="clear" w:color="auto" w:fill="FFFFFF"/>
          </w:tcPr>
          <w:p>
            <w:pPr>
              <w:spacing w:before="40" w:after="40"/>
            </w:pPr>
            <w:r>
              <w:rPr>
                <w:color w:val="1A1A1A"/>
                <w:sz w:val="18"/>
              </w:rPr>
              <w:t>1</w:t>
            </w:r>
          </w:p>
        </w:tc>
        <w:tc>
          <w:tcPr>
            <w:tcW w:type="dxa" w:w="3022"/>
            <w:shd w:val="clear" w:color="auto" w:fill="FFFFFF"/>
          </w:tcPr>
          <w:p>
            <w:pPr>
              <w:spacing w:before="40" w:after="40"/>
            </w:pPr>
            <w:r>
              <w:rPr>
                <w:color w:val="1A1A1A"/>
                <w:sz w:val="18"/>
              </w:rPr>
              <w:t>Operaciones manuales, sin sistemas integrados</w:t>
            </w:r>
          </w:p>
        </w:tc>
        <w:tc>
          <w:tcPr>
            <w:tcW w:type="dxa" w:w="3022"/>
            <w:shd w:val="clear" w:color="auto" w:fill="FFFFFF"/>
          </w:tcPr>
          <w:p>
            <w:pPr>
              <w:spacing w:before="40" w:after="40"/>
            </w:pPr>
            <w:r>
              <w:rPr>
                <w:color w:val="1A1A1A"/>
                <w:sz w:val="18"/>
              </w:rPr>
              <w:t>~15% de agencias / forwarders MX (micro PyMEs)</w:t>
            </w:r>
          </w:p>
        </w:tc>
      </w:tr>
      <w:tr>
        <w:tc>
          <w:tcPr>
            <w:tcW w:type="dxa" w:w="3022"/>
            <w:shd w:val="clear" w:color="auto" w:fill="EBF3FA"/>
          </w:tcPr>
          <w:p>
            <w:pPr>
              <w:spacing w:before="40" w:after="40"/>
            </w:pPr>
            <w:r>
              <w:rPr>
                <w:color w:val="1A1A1A"/>
                <w:sz w:val="18"/>
              </w:rPr>
              <w:t>2</w:t>
            </w:r>
          </w:p>
        </w:tc>
        <w:tc>
          <w:tcPr>
            <w:tcW w:type="dxa" w:w="3022"/>
            <w:shd w:val="clear" w:color="auto" w:fill="EBF3FA"/>
          </w:tcPr>
          <w:p>
            <w:pPr>
              <w:spacing w:before="40" w:after="40"/>
            </w:pPr>
            <w:r>
              <w:rPr>
                <w:color w:val="1A1A1A"/>
                <w:sz w:val="18"/>
              </w:rPr>
              <w:t>Sistemas básicos (ERP/CRM básico), baja digitalización</w:t>
            </w:r>
          </w:p>
        </w:tc>
        <w:tc>
          <w:tcPr>
            <w:tcW w:type="dxa" w:w="3022"/>
            <w:shd w:val="clear" w:color="auto" w:fill="EBF3FA"/>
          </w:tcPr>
          <w:p>
            <w:pPr>
              <w:spacing w:before="40" w:after="40"/>
            </w:pPr>
            <w:r>
              <w:rPr>
                <w:color w:val="1A1A1A"/>
                <w:sz w:val="18"/>
              </w:rPr>
              <w:t>~55% del sector — moda del cluster ⭐</w:t>
            </w:r>
          </w:p>
        </w:tc>
      </w:tr>
      <w:tr>
        <w:tc>
          <w:tcPr>
            <w:tcW w:type="dxa" w:w="3022"/>
            <w:shd w:val="clear" w:color="auto" w:fill="FFFFFF"/>
          </w:tcPr>
          <w:p>
            <w:pPr>
              <w:spacing w:before="40" w:after="40"/>
            </w:pPr>
            <w:r>
              <w:rPr>
                <w:color w:val="1A1A1A"/>
                <w:sz w:val="18"/>
              </w:rPr>
              <w:t>3</w:t>
            </w:r>
          </w:p>
        </w:tc>
        <w:tc>
          <w:tcPr>
            <w:tcW w:type="dxa" w:w="3022"/>
            <w:shd w:val="clear" w:color="auto" w:fill="FFFFFF"/>
          </w:tcPr>
          <w:p>
            <w:pPr>
              <w:spacing w:before="40" w:after="40"/>
            </w:pPr>
            <w:r>
              <w:rPr>
                <w:color w:val="1A1A1A"/>
                <w:sz w:val="18"/>
              </w:rPr>
              <w:t>Digitalización parcial, algunos procesos automatizados, datos disponibles pero no explotados</w:t>
            </w:r>
          </w:p>
        </w:tc>
        <w:tc>
          <w:tcPr>
            <w:tcW w:type="dxa" w:w="3022"/>
            <w:shd w:val="clear" w:color="auto" w:fill="FFFFFF"/>
          </w:tcPr>
          <w:p>
            <w:pPr>
              <w:spacing w:before="40" w:after="40"/>
            </w:pPr>
            <w:r>
              <w:rPr>
                <w:color w:val="1A1A1A"/>
                <w:sz w:val="18"/>
              </w:rPr>
              <w:t>~20% del sector</w:t>
            </w:r>
          </w:p>
        </w:tc>
      </w:tr>
      <w:tr>
        <w:tc>
          <w:tcPr>
            <w:tcW w:type="dxa" w:w="3022"/>
            <w:shd w:val="clear" w:color="auto" w:fill="EBF3FA"/>
          </w:tcPr>
          <w:p>
            <w:pPr>
              <w:spacing w:before="40" w:after="40"/>
            </w:pPr>
            <w:r>
              <w:rPr>
                <w:color w:val="1A1A1A"/>
                <w:sz w:val="18"/>
              </w:rPr>
              <w:t>4</w:t>
            </w:r>
          </w:p>
        </w:tc>
        <w:tc>
          <w:tcPr>
            <w:tcW w:type="dxa" w:w="3022"/>
            <w:shd w:val="clear" w:color="auto" w:fill="EBF3FA"/>
          </w:tcPr>
          <w:p>
            <w:pPr>
              <w:spacing w:before="40" w:after="40"/>
            </w:pPr>
            <w:r>
              <w:rPr>
                <w:color w:val="1A1A1A"/>
                <w:sz w:val="18"/>
              </w:rPr>
              <w:t>Alta integración de sistemas, datos centralizados, experimentación con IA</w:t>
            </w:r>
          </w:p>
        </w:tc>
        <w:tc>
          <w:tcPr>
            <w:tcW w:type="dxa" w:w="3022"/>
            <w:shd w:val="clear" w:color="auto" w:fill="EBF3FA"/>
          </w:tcPr>
          <w:p>
            <w:pPr>
              <w:spacing w:before="40" w:after="40"/>
            </w:pPr>
            <w:r>
              <w:rPr>
                <w:color w:val="1A1A1A"/>
                <w:sz w:val="18"/>
              </w:rPr>
              <w:t>~8% del sector (mid-corporativo + tech-enabled)</w:t>
            </w:r>
          </w:p>
        </w:tc>
      </w:tr>
      <w:tr>
        <w:tc>
          <w:tcPr>
            <w:tcW w:type="dxa" w:w="3022"/>
            <w:shd w:val="clear" w:color="auto" w:fill="FFFFFF"/>
          </w:tcPr>
          <w:p>
            <w:pPr>
              <w:spacing w:before="40" w:after="40"/>
            </w:pPr>
            <w:r>
              <w:rPr>
                <w:color w:val="1A1A1A"/>
                <w:sz w:val="18"/>
              </w:rPr>
              <w:t>5</w:t>
            </w:r>
          </w:p>
        </w:tc>
        <w:tc>
          <w:tcPr>
            <w:tcW w:type="dxa" w:w="3022"/>
            <w:shd w:val="clear" w:color="auto" w:fill="FFFFFF"/>
          </w:tcPr>
          <w:p>
            <w:pPr>
              <w:spacing w:before="40" w:after="40"/>
            </w:pPr>
            <w:r>
              <w:rPr>
                <w:color w:val="1A1A1A"/>
                <w:sz w:val="18"/>
              </w:rPr>
              <w:t>IA como core del negocio, decisiones en tiempo real</w:t>
            </w:r>
          </w:p>
        </w:tc>
        <w:tc>
          <w:tcPr>
            <w:tcW w:type="dxa" w:w="3022"/>
            <w:shd w:val="clear" w:color="auto" w:fill="FFFFFF"/>
          </w:tcPr>
          <w:p>
            <w:pPr>
              <w:spacing w:before="40" w:after="40"/>
            </w:pPr>
            <w:r>
              <w:rPr>
                <w:color w:val="1A1A1A"/>
                <w:sz w:val="18"/>
              </w:rPr>
              <w:t>~2% del sector (Nuvocargo, Flexport-MX, AduanApp como herramienta)</w:t>
            </w:r>
          </w:p>
        </w:tc>
      </w:tr>
    </w:tbl>
    <w:p/>
    <w:p>
      <w:pPr>
        <w:spacing w:before="160" w:after="40"/>
      </w:pPr>
      <w:r>
        <w:rPr>
          <w:b/>
          <w:color w:val="6B7280"/>
          <w:sz w:val="22"/>
        </w:rPr>
        <w:t>Justificación</w:t>
      </w:r>
    </w:p>
    <w:p>
      <w:pPr>
        <w:pStyle w:val="ListBullet"/>
        <w:spacing w:before="0" w:after="40"/>
      </w:pPr>
      <w:r>
        <w:rPr>
          <w:color w:val="1A1A1A"/>
          <w:sz w:val="20"/>
        </w:rPr>
        <w:t xml:space="preserve">La moda del sector es </w:t>
      </w:r>
      <w:r>
        <w:rPr>
          <w:b/>
          <w:color w:val="1A1A1A"/>
          <w:sz w:val="20"/>
        </w:rPr>
        <w:t>nivel 2/5</w:t>
      </w:r>
      <w:r>
        <w:rPr>
          <w:color w:val="1A1A1A"/>
          <w:sz w:val="20"/>
        </w:rPr>
        <w:t xml:space="preserve"> porque la mayoría de operadores tiene presencia digital básica (sitio web, ERP heredado, WhatsApp como canal) sin integración real entre sistemas.</w:t>
      </w:r>
    </w:p>
    <w:p>
      <w:pPr>
        <w:pStyle w:val="ListBullet"/>
        <w:spacing w:before="0" w:after="40"/>
      </w:pPr>
      <w:r>
        <w:rPr>
          <w:color w:val="1A1A1A"/>
          <w:sz w:val="20"/>
        </w:rPr>
        <w:t>Solo el tope (~10%) ha llegado a nivel 4-5; son los tech-enabled forwarders financiados con venture capital + algunas adopciones tempranas de IA en agencias específicas.</w:t>
      </w:r>
    </w:p>
    <w:p>
      <w:pPr>
        <w:pStyle w:val="ListBullet"/>
        <w:spacing w:before="0" w:after="40"/>
      </w:pPr>
      <w:r>
        <w:rPr>
          <w:color w:val="1A1A1A"/>
          <w:sz w:val="20"/>
        </w:rPr>
        <w:t>La distancia entre nivel 2 (la moda) y nivel 4 es donde Nexostrat puede ofrecer máximo valor con Quick Wins de IA específicos.</w:t>
      </w:r>
    </w:p>
    <w:p>
      <w:pPr>
        <w:spacing w:before="160" w:after="40"/>
      </w:pPr>
      <w:r>
        <w:rPr>
          <w:b/>
          <w:color w:val="6B7280"/>
          <w:sz w:val="22"/>
        </w:rPr>
        <w:t>Qué hace que avance o retroceda</w:t>
      </w:r>
    </w:p>
    <w:p>
      <w:pPr>
        <w:spacing w:before="80" w:after="40"/>
      </w:pPr>
      <w:r>
        <w:rPr>
          <w:b/>
          <w:color w:val="0C1A2E"/>
          <w:sz w:val="20"/>
        </w:rPr>
        <w:t>Acelera:</w:t>
      </w:r>
    </w:p>
    <w:p>
      <w:pPr>
        <w:pStyle w:val="ListBullet"/>
        <w:spacing w:before="0" w:after="40"/>
      </w:pPr>
      <w:r>
        <w:rPr>
          <w:color w:val="1A1A1A"/>
          <w:sz w:val="20"/>
        </w:rPr>
        <w:t>Adopción cliente final de visibility (push de retail → llega al B2B).</w:t>
      </w:r>
    </w:p>
    <w:p>
      <w:pPr>
        <w:pStyle w:val="ListBullet"/>
        <w:spacing w:before="0" w:after="40"/>
      </w:pPr>
      <w:r>
        <w:rPr>
          <w:color w:val="1A1A1A"/>
          <w:sz w:val="20"/>
        </w:rPr>
        <w:t>Commoditización de LLMs (bajó costo de implementación 5-10x en últimos 2 años).</w:t>
      </w:r>
    </w:p>
    <w:p>
      <w:pPr>
        <w:pStyle w:val="ListBullet"/>
        <w:spacing w:before="0" w:after="40"/>
      </w:pPr>
      <w:r>
        <w:rPr>
          <w:color w:val="1A1A1A"/>
          <w:sz w:val="20"/>
        </w:rPr>
        <w:t>Reforma Ley Aduanera fuerza modernización del compliance.</w:t>
      </w:r>
    </w:p>
    <w:p>
      <w:pPr>
        <w:pStyle w:val="ListBullet"/>
        <w:spacing w:before="0" w:after="40"/>
      </w:pPr>
      <w:r>
        <w:rPr>
          <w:color w:val="1A1A1A"/>
          <w:sz w:val="20"/>
        </w:rPr>
        <w:t>Disponibilidad de IA mexicana (AduanApp, Taxer, Moco) baja barrera de "tener que importar tech".</w:t>
      </w:r>
    </w:p>
    <w:p>
      <w:pPr>
        <w:spacing w:before="80" w:after="40"/>
      </w:pPr>
      <w:r>
        <w:rPr>
          <w:b/>
          <w:color w:val="0C1A2E"/>
          <w:sz w:val="20"/>
        </w:rPr>
        <w:t>Retrasa:</w:t>
      </w:r>
    </w:p>
    <w:p>
      <w:pPr>
        <w:pStyle w:val="ListBullet"/>
        <w:spacing w:before="0" w:after="40"/>
      </w:pPr>
      <w:r>
        <w:rPr>
          <w:color w:val="1A1A1A"/>
          <w:sz w:val="20"/>
        </w:rPr>
        <w:t>Cultura relacional + familiar del sector logístico mexicano.</w:t>
      </w:r>
    </w:p>
    <w:p>
      <w:pPr>
        <w:pStyle w:val="ListBullet"/>
        <w:spacing w:before="0" w:after="40"/>
      </w:pPr>
      <w:r>
        <w:rPr>
          <w:color w:val="1A1A1A"/>
          <w:sz w:val="20"/>
        </w:rPr>
        <w:t>Talento técnico escaso (driver de adopción más limitante que el dinero).</w:t>
      </w:r>
    </w:p>
    <w:p>
      <w:pPr>
        <w:pStyle w:val="ListBullet"/>
        <w:spacing w:before="0" w:after="40"/>
      </w:pPr>
      <w:r>
        <w:rPr>
          <w:color w:val="1A1A1A"/>
          <w:sz w:val="20"/>
        </w:rPr>
        <w:t>ROI percibido como "futuro" más que "presente".</w:t>
      </w:r>
    </w:p>
    <w:p>
      <w:pPr>
        <w:pStyle w:val="ListBullet"/>
        <w:spacing w:before="0" w:after="40"/>
      </w:pPr>
      <w:r>
        <w:rPr>
          <w:color w:val="1A1A1A"/>
          <w:sz w:val="20"/>
        </w:rPr>
        <w:t>Inestabilidad regulatoria post-2025 que hace que dueños posterguen inversión.</w:t>
      </w:r>
    </w:p>
    <w:p>
      <w:pPr>
        <w:spacing w:before="40" w:after="40"/>
      </w:pPr>
    </w:p>
    <w:p>
      <w:pPr>
        <w:spacing w:before="280" w:after="60"/>
        <w:pBdr>
          <w:bottom w:val="single" w:sz="4" w:space="1" w:color="0EA5E9"/>
        </w:pBdr>
      </w:pPr>
      <w:r>
        <w:rPr>
          <w:b/>
          <w:color w:val="0EA5E9"/>
          <w:sz w:val="28"/>
        </w:rPr>
        <w:t>10. SEÑALES DE OPORTUNIDAD PARA CONSULTORÍA DE IA</w:t>
      </w:r>
    </w:p>
    <w:p>
      <w:pPr>
        <w:spacing w:before="160" w:after="40"/>
      </w:pPr>
      <w:r>
        <w:rPr>
          <w:b/>
          <w:color w:val="6B7280"/>
          <w:sz w:val="22"/>
        </w:rPr>
        <w:t>Procesos repetitivos y costosos típicos del sector</w:t>
      </w:r>
    </w:p>
    <w:p>
      <w:pPr>
        <w:pStyle w:val="ListNumber"/>
        <w:spacing w:before="0" w:after="40"/>
      </w:pPr>
      <w:r>
        <w:rPr>
          <w:b/>
          <w:color w:val="1A1A1A"/>
          <w:sz w:val="20"/>
        </w:rPr>
        <w:t>Clasificación arancelaria de fracciones TIGIE/HS</w:t>
      </w:r>
      <w:r>
        <w:rPr>
          <w:color w:val="1A1A1A"/>
          <w:sz w:val="20"/>
        </w:rPr>
        <w:t xml:space="preserve"> — el cuello de botella histórico. Cada operación consume 15-90 minutos de un clasificador experto. IA lo lleva a 7-13 segundos.</w:t>
      </w:r>
    </w:p>
    <w:p>
      <w:pPr>
        <w:pStyle w:val="ListNumber"/>
        <w:spacing w:before="0" w:after="40"/>
      </w:pPr>
      <w:r>
        <w:rPr>
          <w:b/>
          <w:color w:val="1A1A1A"/>
          <w:sz w:val="20"/>
        </w:rPr>
        <w:t>Captura manual de pedimentos, BOLs, packing lists, cartas porte</w:t>
      </w:r>
      <w:r>
        <w:rPr>
          <w:color w:val="1A1A1A"/>
          <w:sz w:val="20"/>
        </w:rPr>
        <w:t xml:space="preserve"> — OCR + NER reduce 60-80% del tiempo. Beneficio adicional: detección de inconsistencias antes de enviar a aduanas.</w:t>
      </w:r>
    </w:p>
    <w:p>
      <w:pPr>
        <w:pStyle w:val="ListNumber"/>
        <w:spacing w:before="0" w:after="40"/>
      </w:pPr>
      <w:r>
        <w:rPr>
          <w:b/>
          <w:color w:val="1A1A1A"/>
          <w:sz w:val="20"/>
        </w:rPr>
        <w:t>Atención a inquiries de tracking ("¿dónde está mi envío?")</w:t>
      </w:r>
      <w:r>
        <w:rPr>
          <w:color w:val="1A1A1A"/>
          <w:sz w:val="20"/>
        </w:rPr>
        <w:t xml:space="preserve"> — entre 20-40% del tiempo de operaciones. Portales de tracking + alertas push lo reducen a 5-15%.</w:t>
      </w:r>
    </w:p>
    <w:p>
      <w:pPr>
        <w:pStyle w:val="ListNumber"/>
        <w:spacing w:before="0" w:after="40"/>
      </w:pPr>
      <w:r>
        <w:rPr>
          <w:b/>
          <w:color w:val="1A1A1A"/>
          <w:sz w:val="20"/>
        </w:rPr>
        <w:t>Cotización manual de RFQs recurrentes</w:t>
      </w:r>
      <w:r>
        <w:rPr>
          <w:color w:val="1A1A1A"/>
          <w:sz w:val="20"/>
        </w:rPr>
        <w:t xml:space="preserve"> — un operador puede tardar 30 min a 2 horas por cotización. Rate engines + APIs reducen a minutos.</w:t>
      </w:r>
    </w:p>
    <w:p>
      <w:pPr>
        <w:pStyle w:val="ListNumber"/>
        <w:spacing w:before="0" w:after="40"/>
      </w:pPr>
      <w:r>
        <w:rPr>
          <w:b/>
          <w:color w:val="1A1A1A"/>
          <w:sz w:val="20"/>
        </w:rPr>
        <w:t>Onboarding de nuevos clientes y captura de datos</w:t>
      </w:r>
      <w:r>
        <w:rPr>
          <w:color w:val="1A1A1A"/>
          <w:sz w:val="20"/>
        </w:rPr>
        <w:t xml:space="preserve"> — formularios manuales + verificación de RFC + creación en sistema. Automatizable con IA + OCR + validación SAT API.</w:t>
      </w:r>
    </w:p>
    <w:p>
      <w:pPr>
        <w:pStyle w:val="ListNumber"/>
        <w:spacing w:before="0" w:after="40"/>
      </w:pPr>
      <w:r>
        <w:rPr>
          <w:b/>
          <w:color w:val="1A1A1A"/>
          <w:sz w:val="20"/>
        </w:rPr>
        <w:t>Compliance check de Carta Porte / CFDI antes de timbrar</w:t>
      </w:r>
      <w:r>
        <w:rPr>
          <w:color w:val="1A1A1A"/>
          <w:sz w:val="20"/>
        </w:rPr>
        <w:t xml:space="preserve"> — verificación visual de campos críticos. IA puede detectar errores con 99%+ precisión.</w:t>
      </w:r>
    </w:p>
    <w:p>
      <w:pPr>
        <w:spacing w:before="160" w:after="40"/>
      </w:pPr>
      <w:r>
        <w:rPr>
          <w:b/>
          <w:color w:val="6B7280"/>
          <w:sz w:val="22"/>
        </w:rPr>
        <w:t>Quick Wins más replicables (válidos para cualquier prospecto del sector)</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Quick Win</w:t>
            </w:r>
          </w:p>
        </w:tc>
        <w:tc>
          <w:tcPr>
            <w:tcW w:type="dxa" w:w="2266"/>
            <w:shd w:val="clear" w:color="auto" w:fill="0C1A2E"/>
          </w:tcPr>
          <w:p>
            <w:pPr>
              <w:spacing w:before="40" w:after="40"/>
            </w:pPr>
            <w:r>
              <w:rPr>
                <w:b/>
                <w:color w:val="FFFFFF"/>
                <w:sz w:val="18"/>
              </w:rPr>
              <w:t>Proceso que reemplaza</w:t>
            </w:r>
          </w:p>
        </w:tc>
        <w:tc>
          <w:tcPr>
            <w:tcW w:type="dxa" w:w="2266"/>
            <w:shd w:val="clear" w:color="auto" w:fill="0C1A2E"/>
          </w:tcPr>
          <w:p>
            <w:pPr>
              <w:spacing w:before="40" w:after="40"/>
            </w:pPr>
            <w:r>
              <w:rPr>
                <w:b/>
                <w:color w:val="FFFFFF"/>
                <w:sz w:val="18"/>
              </w:rPr>
              <w:t>Herramienta sugerida</w:t>
            </w:r>
          </w:p>
        </w:tc>
        <w:tc>
          <w:tcPr>
            <w:tcW w:type="dxa" w:w="2266"/>
            <w:shd w:val="clear" w:color="auto" w:fill="0C1A2E"/>
          </w:tcPr>
          <w:p>
            <w:pPr>
              <w:spacing w:before="40" w:after="40"/>
            </w:pPr>
            <w:r>
              <w:rPr>
                <w:b/>
                <w:color w:val="FFFFFF"/>
                <w:sz w:val="18"/>
              </w:rPr>
              <w:t>Impacto esperado</w:t>
            </w:r>
          </w:p>
        </w:tc>
      </w:tr>
      <w:tr>
        <w:tc>
          <w:tcPr>
            <w:tcW w:type="dxa" w:w="2266"/>
            <w:shd w:val="clear" w:color="auto" w:fill="FFFFFF"/>
          </w:tcPr>
          <w:p>
            <w:pPr>
              <w:spacing w:before="40" w:after="40"/>
            </w:pPr>
            <w:r>
              <w:rPr>
                <w:color w:val="1A1A1A"/>
                <w:sz w:val="18"/>
              </w:rPr>
              <w:t>QW-Sector 1: Clasificación arancelaria asistida</w:t>
            </w:r>
          </w:p>
        </w:tc>
        <w:tc>
          <w:tcPr>
            <w:tcW w:type="dxa" w:w="2266"/>
            <w:shd w:val="clear" w:color="auto" w:fill="FFFFFF"/>
          </w:tcPr>
          <w:p>
            <w:pPr>
              <w:spacing w:before="40" w:after="40"/>
            </w:pPr>
            <w:r>
              <w:rPr>
                <w:color w:val="1A1A1A"/>
                <w:sz w:val="18"/>
              </w:rPr>
              <w:t>Operador manual clasificando 15-90 min por op</w:t>
            </w:r>
          </w:p>
        </w:tc>
        <w:tc>
          <w:tcPr>
            <w:tcW w:type="dxa" w:w="2266"/>
            <w:shd w:val="clear" w:color="auto" w:fill="FFFFFF"/>
          </w:tcPr>
          <w:p>
            <w:pPr>
              <w:spacing w:before="40" w:after="40"/>
            </w:pPr>
            <w:r>
              <w:rPr>
                <w:color w:val="1A1A1A"/>
                <w:sz w:val="18"/>
              </w:rPr>
              <w:t>AduanApp / Camtom / Moco AI o LLM custom sobre TIGIE</w:t>
            </w:r>
          </w:p>
        </w:tc>
        <w:tc>
          <w:tcPr>
            <w:tcW w:type="dxa" w:w="2266"/>
            <w:shd w:val="clear" w:color="auto" w:fill="FFFFFF"/>
          </w:tcPr>
          <w:p>
            <w:pPr>
              <w:spacing w:before="40" w:after="40"/>
            </w:pPr>
            <w:r>
              <w:rPr>
                <w:color w:val="1A1A1A"/>
                <w:sz w:val="18"/>
              </w:rPr>
              <w:t>80-95% reducción de tiempo; 30-50% reducción de errores</w:t>
            </w:r>
          </w:p>
        </w:tc>
      </w:tr>
      <w:tr>
        <w:tc>
          <w:tcPr>
            <w:tcW w:type="dxa" w:w="2266"/>
            <w:shd w:val="clear" w:color="auto" w:fill="EBF3FA"/>
          </w:tcPr>
          <w:p>
            <w:pPr>
              <w:spacing w:before="40" w:after="40"/>
            </w:pPr>
            <w:r>
              <w:rPr>
                <w:color w:val="1A1A1A"/>
                <w:sz w:val="18"/>
              </w:rPr>
              <w:t>QW-Sector 2: WhatsApp Business + bot inteligente</w:t>
            </w:r>
          </w:p>
        </w:tc>
        <w:tc>
          <w:tcPr>
            <w:tcW w:type="dxa" w:w="2266"/>
            <w:shd w:val="clear" w:color="auto" w:fill="EBF3FA"/>
          </w:tcPr>
          <w:p>
            <w:pPr>
              <w:spacing w:before="40" w:after="40"/>
            </w:pPr>
            <w:r>
              <w:rPr>
                <w:color w:val="1A1A1A"/>
                <w:sz w:val="18"/>
              </w:rPr>
              <w:t>Atención humana 24/7 sin estructura</w:t>
            </w:r>
          </w:p>
        </w:tc>
        <w:tc>
          <w:tcPr>
            <w:tcW w:type="dxa" w:w="2266"/>
            <w:shd w:val="clear" w:color="auto" w:fill="EBF3FA"/>
          </w:tcPr>
          <w:p>
            <w:pPr>
              <w:spacing w:before="40" w:after="40"/>
            </w:pPr>
            <w:r>
              <w:rPr>
                <w:color w:val="1A1A1A"/>
                <w:sz w:val="18"/>
              </w:rPr>
              <w:t>WhatsApp Business API + LLM con RAG sobre FAQ + derivación humana</w:t>
            </w:r>
          </w:p>
        </w:tc>
        <w:tc>
          <w:tcPr>
            <w:tcW w:type="dxa" w:w="2266"/>
            <w:shd w:val="clear" w:color="auto" w:fill="EBF3FA"/>
          </w:tcPr>
          <w:p>
            <w:pPr>
              <w:spacing w:before="40" w:after="40"/>
            </w:pPr>
            <w:r>
              <w:rPr>
                <w:color w:val="1A1A1A"/>
                <w:sz w:val="18"/>
              </w:rPr>
              <w:t>Captura 24/7; 40-60% reducción de carga del equipo</w:t>
            </w:r>
          </w:p>
        </w:tc>
      </w:tr>
      <w:tr>
        <w:tc>
          <w:tcPr>
            <w:tcW w:type="dxa" w:w="2266"/>
            <w:shd w:val="clear" w:color="auto" w:fill="FFFFFF"/>
          </w:tcPr>
          <w:p>
            <w:pPr>
              <w:spacing w:before="40" w:after="40"/>
            </w:pPr>
            <w:r>
              <w:rPr>
                <w:color w:val="1A1A1A"/>
                <w:sz w:val="18"/>
              </w:rPr>
              <w:t>QW-Sector 3: OCR documental aduanal</w:t>
            </w:r>
          </w:p>
        </w:tc>
        <w:tc>
          <w:tcPr>
            <w:tcW w:type="dxa" w:w="2266"/>
            <w:shd w:val="clear" w:color="auto" w:fill="FFFFFF"/>
          </w:tcPr>
          <w:p>
            <w:pPr>
              <w:spacing w:before="40" w:after="40"/>
            </w:pPr>
            <w:r>
              <w:rPr>
                <w:color w:val="1A1A1A"/>
                <w:sz w:val="18"/>
              </w:rPr>
              <w:t>Captura manual de pedimentos/BOLs/cartas porte</w:t>
            </w:r>
          </w:p>
        </w:tc>
        <w:tc>
          <w:tcPr>
            <w:tcW w:type="dxa" w:w="2266"/>
            <w:shd w:val="clear" w:color="auto" w:fill="FFFFFF"/>
          </w:tcPr>
          <w:p>
            <w:pPr>
              <w:spacing w:before="40" w:after="40"/>
            </w:pPr>
            <w:r>
              <w:rPr>
                <w:color w:val="1A1A1A"/>
                <w:sz w:val="18"/>
              </w:rPr>
              <w:t>OCR + NER + reglas SAT (custom o vía proveedor especializado)</w:t>
            </w:r>
          </w:p>
        </w:tc>
        <w:tc>
          <w:tcPr>
            <w:tcW w:type="dxa" w:w="2266"/>
            <w:shd w:val="clear" w:color="auto" w:fill="FFFFFF"/>
          </w:tcPr>
          <w:p>
            <w:pPr>
              <w:spacing w:before="40" w:after="40"/>
            </w:pPr>
            <w:r>
              <w:rPr>
                <w:color w:val="1A1A1A"/>
                <w:sz w:val="18"/>
              </w:rPr>
              <w:t>60-80% reducción de tiempo + prevención de multas</w:t>
            </w:r>
          </w:p>
        </w:tc>
      </w:tr>
      <w:tr>
        <w:tc>
          <w:tcPr>
            <w:tcW w:type="dxa" w:w="2266"/>
            <w:shd w:val="clear" w:color="auto" w:fill="EBF3FA"/>
          </w:tcPr>
          <w:p>
            <w:pPr>
              <w:spacing w:before="40" w:after="40"/>
            </w:pPr>
            <w:r>
              <w:rPr>
                <w:color w:val="1A1A1A"/>
                <w:sz w:val="18"/>
              </w:rPr>
              <w:t>QW-Sector 4: Portal cliente con tracking + ETA</w:t>
            </w:r>
          </w:p>
        </w:tc>
        <w:tc>
          <w:tcPr>
            <w:tcW w:type="dxa" w:w="2266"/>
            <w:shd w:val="clear" w:color="auto" w:fill="EBF3FA"/>
          </w:tcPr>
          <w:p>
            <w:pPr>
              <w:spacing w:before="40" w:after="40"/>
            </w:pPr>
            <w:r>
              <w:rPr>
                <w:color w:val="1A1A1A"/>
                <w:sz w:val="18"/>
              </w:rPr>
              <w:t>Llamadas/WhatsApps "¿dónde está mi envío?"</w:t>
            </w:r>
          </w:p>
        </w:tc>
        <w:tc>
          <w:tcPr>
            <w:tcW w:type="dxa" w:w="2266"/>
            <w:shd w:val="clear" w:color="auto" w:fill="EBF3FA"/>
          </w:tcPr>
          <w:p>
            <w:pPr>
              <w:spacing w:before="40" w:after="40"/>
            </w:pPr>
            <w:r>
              <w:rPr>
                <w:color w:val="1A1A1A"/>
                <w:sz w:val="18"/>
              </w:rPr>
              <w:t>White-label tracking SaaS o custom + integración GPS/APIs navieras</w:t>
            </w:r>
          </w:p>
        </w:tc>
        <w:tc>
          <w:tcPr>
            <w:tcW w:type="dxa" w:w="2266"/>
            <w:shd w:val="clear" w:color="auto" w:fill="EBF3FA"/>
          </w:tcPr>
          <w:p>
            <w:pPr>
              <w:spacing w:before="40" w:after="40"/>
            </w:pPr>
            <w:r>
              <w:rPr>
                <w:color w:val="1A1A1A"/>
                <w:sz w:val="18"/>
              </w:rPr>
              <w:t>30-50% reducción de inquiries; mejora retention</w:t>
            </w:r>
          </w:p>
        </w:tc>
      </w:tr>
      <w:tr>
        <w:tc>
          <w:tcPr>
            <w:tcW w:type="dxa" w:w="2266"/>
            <w:shd w:val="clear" w:color="auto" w:fill="FFFFFF"/>
          </w:tcPr>
          <w:p>
            <w:pPr>
              <w:spacing w:before="40" w:after="40"/>
            </w:pPr>
            <w:r>
              <w:rPr>
                <w:color w:val="1A1A1A"/>
                <w:sz w:val="18"/>
              </w:rPr>
              <w:t>QW-Sector 5: Compliance pre-check Carta Porte</w:t>
            </w:r>
          </w:p>
        </w:tc>
        <w:tc>
          <w:tcPr>
            <w:tcW w:type="dxa" w:w="2266"/>
            <w:shd w:val="clear" w:color="auto" w:fill="FFFFFF"/>
          </w:tcPr>
          <w:p>
            <w:pPr>
              <w:spacing w:before="40" w:after="40"/>
            </w:pPr>
            <w:r>
              <w:rPr>
                <w:color w:val="1A1A1A"/>
                <w:sz w:val="18"/>
              </w:rPr>
              <w:t>Verificación humana antes de timbrar CFDI</w:t>
            </w:r>
          </w:p>
        </w:tc>
        <w:tc>
          <w:tcPr>
            <w:tcW w:type="dxa" w:w="2266"/>
            <w:shd w:val="clear" w:color="auto" w:fill="FFFFFF"/>
          </w:tcPr>
          <w:p>
            <w:pPr>
              <w:spacing w:before="40" w:after="40"/>
            </w:pPr>
            <w:r>
              <w:rPr>
                <w:color w:val="1A1A1A"/>
                <w:sz w:val="18"/>
              </w:rPr>
              <w:t>Reglas de validación + LLM revisor + alertas</w:t>
            </w:r>
          </w:p>
        </w:tc>
        <w:tc>
          <w:tcPr>
            <w:tcW w:type="dxa" w:w="2266"/>
            <w:shd w:val="clear" w:color="auto" w:fill="FFFFFF"/>
          </w:tcPr>
          <w:p>
            <w:pPr>
              <w:spacing w:before="40" w:after="40"/>
            </w:pPr>
            <w:r>
              <w:rPr>
                <w:color w:val="1A1A1A"/>
                <w:sz w:val="18"/>
              </w:rPr>
              <w:t>Prevención de 90%+ de multas por error formal</w:t>
            </w:r>
          </w:p>
        </w:tc>
      </w:tr>
    </w:tbl>
    <w:p/>
    <w:p>
      <w:pPr>
        <w:spacing w:before="160" w:after="40"/>
      </w:pPr>
      <w:r>
        <w:rPr>
          <w:b/>
          <w:color w:val="6B7280"/>
          <w:sz w:val="22"/>
        </w:rPr>
        <w:t>Casos de éxito de IA en el sector referenciables</w:t>
      </w:r>
    </w:p>
    <w:p>
      <w:pPr>
        <w:pStyle w:val="ListBullet"/>
        <w:spacing w:before="0" w:after="40"/>
      </w:pPr>
      <w:r>
        <w:rPr>
          <w:b/>
          <w:color w:val="1A1A1A"/>
          <w:sz w:val="20"/>
        </w:rPr>
        <w:t>AduanApp en clientes anónimos:</w:t>
      </w:r>
      <w:r>
        <w:rPr>
          <w:color w:val="1A1A1A"/>
          <w:sz w:val="20"/>
        </w:rPr>
        <w:t xml:space="preserve"> </w:t>
      </w:r>
      <w:r>
        <w:rPr>
          <w:b/>
          <w:color w:val="1A1A1A"/>
          <w:sz w:val="20"/>
        </w:rPr>
        <w:t>95% precisión en clasificación arancelaria</w:t>
      </w:r>
      <w:r>
        <w:rPr>
          <w:color w:val="1A1A1A"/>
          <w:sz w:val="20"/>
        </w:rPr>
        <w:t xml:space="preserve"> con tiempos de 7-13 segundos por operación (fuente: aduaeasy.com, neuronbusinessmedia.mx).</w:t>
      </w:r>
    </w:p>
    <w:p>
      <w:pPr>
        <w:pStyle w:val="ListBullet"/>
        <w:spacing w:before="0" w:after="40"/>
      </w:pPr>
      <w:r>
        <w:rPr>
          <w:b/>
          <w:color w:val="1A1A1A"/>
          <w:sz w:val="20"/>
        </w:rPr>
        <w:t>Taxer:</w:t>
      </w:r>
      <w:r>
        <w:rPr>
          <w:color w:val="1A1A1A"/>
          <w:sz w:val="20"/>
        </w:rPr>
        <w:t xml:space="preserve"> </w:t>
      </w:r>
      <w:r>
        <w:rPr>
          <w:b/>
          <w:color w:val="1A1A1A"/>
          <w:sz w:val="20"/>
        </w:rPr>
        <w:t>56% reducción en tiempos de flujo</w:t>
      </w:r>
      <w:r>
        <w:rPr>
          <w:color w:val="1A1A1A"/>
          <w:sz w:val="20"/>
        </w:rPr>
        <w:t xml:space="preserve"> (fuente: caso público compartido por la propia plataforma).</w:t>
      </w:r>
    </w:p>
    <w:p>
      <w:pPr>
        <w:pStyle w:val="ListBullet"/>
        <w:spacing w:before="0" w:after="40"/>
      </w:pPr>
      <w:r>
        <w:rPr>
          <w:b/>
          <w:color w:val="1A1A1A"/>
          <w:sz w:val="20"/>
        </w:rPr>
        <w:t>AAADAM (Asociación de Agentes Aduanales de Aduanas Metropolitanas)</w:t>
      </w:r>
      <w:r>
        <w:rPr>
          <w:color w:val="1A1A1A"/>
          <w:sz w:val="20"/>
        </w:rPr>
        <w:t xml:space="preserve"> — primer concurso de proveedores de clasificación arancelaria NO HUMANA, noviembre 2024. Señal de que la industria reconoce el cambio.</w:t>
      </w:r>
    </w:p>
    <w:p>
      <w:pPr>
        <w:pStyle w:val="ListBullet"/>
        <w:spacing w:before="0" w:after="40"/>
      </w:pPr>
      <w:r>
        <w:rPr>
          <w:b/>
          <w:color w:val="1A1A1A"/>
          <w:sz w:val="20"/>
        </w:rPr>
        <w:t>Nuvocargo expansion 2024:</w:t>
      </w:r>
      <w:r>
        <w:rPr>
          <w:color w:val="1A1A1A"/>
          <w:sz w:val="20"/>
        </w:rPr>
        <w:t xml:space="preserve"> después de Series B de USD 36.5M, expandió de 1 cruce principal a TODOS los cruces principales US-MX en menos de un año. Indica que la tracción del modelo tech-enabled en el corredor es real y escalable.</w:t>
      </w:r>
    </w:p>
    <w:p>
      <w:pPr>
        <w:spacing w:before="160" w:after="40"/>
      </w:pPr>
      <w:r>
        <w:rPr>
          <w:b/>
          <w:color w:val="6B7280"/>
          <w:sz w:val="22"/>
        </w:rPr>
        <w:t>Perfil del decisor típico en este sector</w:t>
      </w:r>
    </w:p>
    <w:p>
      <w:pPr>
        <w:spacing w:before="80" w:after="40"/>
      </w:pPr>
      <w:r>
        <w:rPr>
          <w:b/>
          <w:color w:val="0C1A2E"/>
          <w:sz w:val="20"/>
        </w:rPr>
        <w:t>Hay dos arquetipos principales:</w:t>
      </w:r>
    </w:p>
    <w:p>
      <w:pPr>
        <w:spacing w:before="80" w:after="40"/>
      </w:pPr>
      <w:r>
        <w:rPr>
          <w:b/>
          <w:color w:val="0C1A2E"/>
          <w:sz w:val="20"/>
        </w:rPr>
        <w:t>Arquetipo A: Dueño-operador de PyME logística (40-60 años, perfil más común en Tijuana).</w:t>
      </w:r>
    </w:p>
    <w:p>
      <w:pPr>
        <w:pStyle w:val="ListBullet"/>
        <w:spacing w:before="0" w:after="40"/>
      </w:pPr>
      <w:r>
        <w:rPr>
          <w:color w:val="1A1A1A"/>
          <w:sz w:val="20"/>
        </w:rPr>
        <w:t>Cargo: Director General / Owner.</w:t>
      </w:r>
    </w:p>
    <w:p>
      <w:pPr>
        <w:pStyle w:val="ListBullet"/>
        <w:spacing w:before="0" w:after="40"/>
      </w:pPr>
      <w:r>
        <w:rPr>
          <w:color w:val="1A1A1A"/>
          <w:sz w:val="20"/>
        </w:rPr>
        <w:t xml:space="preserve">Conocimiento técnico: </w:t>
      </w:r>
      <w:r>
        <w:rPr>
          <w:b/>
          <w:color w:val="1A1A1A"/>
          <w:sz w:val="20"/>
        </w:rPr>
        <w:t>bajo a medio</w:t>
      </w:r>
      <w:r>
        <w:rPr>
          <w:color w:val="1A1A1A"/>
          <w:sz w:val="20"/>
        </w:rPr>
        <w:t xml:space="preserve"> en IA; alto en aduanal/operativo.</w:t>
      </w:r>
    </w:p>
    <w:p>
      <w:pPr>
        <w:pStyle w:val="ListBullet"/>
        <w:spacing w:before="0" w:after="40"/>
      </w:pPr>
      <w:r>
        <w:rPr>
          <w:color w:val="1A1A1A"/>
          <w:sz w:val="20"/>
        </w:rPr>
        <w:t>Principales preocupaciones: continuidad operativa, cash flow, no perder clientes a competidores.</w:t>
      </w:r>
    </w:p>
    <w:p>
      <w:pPr>
        <w:pStyle w:val="ListBullet"/>
        <w:spacing w:before="0" w:after="40"/>
      </w:pPr>
      <w:r>
        <w:rPr>
          <w:color w:val="1A1A1A"/>
          <w:sz w:val="20"/>
        </w:rPr>
        <w:t xml:space="preserve">Cómo compra consultoría: </w:t>
      </w:r>
      <w:r>
        <w:rPr>
          <w:b/>
          <w:color w:val="1A1A1A"/>
          <w:sz w:val="20"/>
        </w:rPr>
        <w:t>referencia personal &gt; frialdad outbound</w:t>
      </w:r>
      <w:r>
        <w:rPr>
          <w:color w:val="1A1A1A"/>
          <w:sz w:val="20"/>
        </w:rPr>
        <w:t>. Confía en quien le habla en su idioma operativo, no en jerga tech.</w:t>
      </w:r>
    </w:p>
    <w:p>
      <w:pPr>
        <w:pStyle w:val="ListBullet"/>
        <w:spacing w:before="0" w:after="40"/>
      </w:pPr>
      <w:r>
        <w:rPr>
          <w:color w:val="1A1A1A"/>
          <w:sz w:val="20"/>
        </w:rPr>
        <w:t>Tiempo de ciclo de compra: 4-12 semanas.</w:t>
      </w:r>
    </w:p>
    <w:p>
      <w:pPr>
        <w:pStyle w:val="ListBullet"/>
        <w:spacing w:before="0" w:after="40"/>
      </w:pPr>
      <w:r>
        <w:rPr>
          <w:color w:val="1A1A1A"/>
          <w:sz w:val="20"/>
        </w:rPr>
        <w:t>Presupuesto disponible: USD 5K-50K por proyecto inicial; retainer USD 2-8K/mes si demuestra valor.</w:t>
      </w:r>
    </w:p>
    <w:p>
      <w:pPr>
        <w:spacing w:before="80" w:after="40"/>
      </w:pPr>
      <w:r>
        <w:rPr>
          <w:b/>
          <w:color w:val="0C1A2E"/>
          <w:sz w:val="20"/>
        </w:rPr>
        <w:t>Arquetipo B: VP/Director de Operaciones de mid-corporativo (35-50 años).</w:t>
      </w:r>
    </w:p>
    <w:p>
      <w:pPr>
        <w:pStyle w:val="ListBullet"/>
        <w:spacing w:before="0" w:after="40"/>
      </w:pPr>
      <w:r>
        <w:rPr>
          <w:color w:val="1A1A1A"/>
          <w:sz w:val="20"/>
        </w:rPr>
        <w:t>Cargo: VP Operations / Director de Logística / Director de Comercio Exterior.</w:t>
      </w:r>
    </w:p>
    <w:p>
      <w:pPr>
        <w:pStyle w:val="ListBullet"/>
        <w:spacing w:before="0" w:after="40"/>
      </w:pPr>
      <w:r>
        <w:rPr>
          <w:color w:val="1A1A1A"/>
          <w:sz w:val="20"/>
        </w:rPr>
        <w:t xml:space="preserve">Conocimiento técnico: </w:t>
      </w:r>
      <w:r>
        <w:rPr>
          <w:b/>
          <w:color w:val="1A1A1A"/>
          <w:sz w:val="20"/>
        </w:rPr>
        <w:t>medio a alto</w:t>
      </w:r>
      <w:r>
        <w:rPr>
          <w:color w:val="1A1A1A"/>
          <w:sz w:val="20"/>
        </w:rPr>
        <w:t xml:space="preserve"> en IA; alto en logística.</w:t>
      </w:r>
    </w:p>
    <w:p>
      <w:pPr>
        <w:pStyle w:val="ListBullet"/>
        <w:spacing w:before="0" w:after="40"/>
      </w:pPr>
      <w:r>
        <w:rPr>
          <w:color w:val="1A1A1A"/>
          <w:sz w:val="20"/>
        </w:rPr>
        <w:t>Principales preocupaciones: cumplir KPIs operativos, compliance, escalabilidad.</w:t>
      </w:r>
    </w:p>
    <w:p>
      <w:pPr>
        <w:pStyle w:val="ListBullet"/>
        <w:spacing w:before="0" w:after="40"/>
      </w:pPr>
      <w:r>
        <w:rPr>
          <w:color w:val="1A1A1A"/>
          <w:sz w:val="20"/>
        </w:rPr>
        <w:t xml:space="preserve">Cómo compra consultoría: </w:t>
      </w:r>
      <w:r>
        <w:rPr>
          <w:b/>
          <w:color w:val="1A1A1A"/>
          <w:sz w:val="20"/>
        </w:rPr>
        <w:t>RFQ estructurado + referencias + PoC</w:t>
      </w:r>
      <w:r>
        <w:rPr>
          <w:color w:val="1A1A1A"/>
          <w:sz w:val="20"/>
        </w:rPr>
        <w:t>.</w:t>
      </w:r>
    </w:p>
    <w:p>
      <w:pPr>
        <w:pStyle w:val="ListBullet"/>
        <w:spacing w:before="0" w:after="40"/>
      </w:pPr>
      <w:r>
        <w:rPr>
          <w:color w:val="1A1A1A"/>
          <w:sz w:val="20"/>
        </w:rPr>
        <w:t>Tiempo de ciclo de compra: 3-9 meses.</w:t>
      </w:r>
    </w:p>
    <w:p>
      <w:pPr>
        <w:pStyle w:val="ListBullet"/>
        <w:spacing w:before="0" w:after="40"/>
      </w:pPr>
      <w:r>
        <w:rPr>
          <w:color w:val="1A1A1A"/>
          <w:sz w:val="20"/>
        </w:rPr>
        <w:t>Presupuesto disponible: USD 50K-300K por proyecto; retainer USD 10-30K/mes.</w:t>
      </w:r>
    </w:p>
    <w:p>
      <w:pPr>
        <w:spacing w:before="20" w:after="60"/>
      </w:pPr>
      <w:r>
        <w:rPr>
          <w:color w:val="1A1A1A"/>
          <w:sz w:val="20"/>
        </w:rPr>
        <w:t xml:space="preserve">&gt; 🔍 </w:t>
      </w:r>
      <w:r>
        <w:rPr>
          <w:b/>
          <w:color w:val="1A1A1A"/>
          <w:sz w:val="20"/>
        </w:rPr>
        <w:t>Análisis:</w:t>
      </w:r>
      <w:r>
        <w:rPr>
          <w:color w:val="1A1A1A"/>
          <w:sz w:val="20"/>
        </w:rPr>
        <w:t xml:space="preserve"> El cliente Trixx es claramente Arquetipo A (dueño-operador en Tijuana). Nexostrat debe presentarse en el lenguaje operativo del dueño, no en jerga tech corporate.</w:t>
      </w:r>
    </w:p>
    <w:p>
      <w:pPr>
        <w:spacing w:before="160" w:after="40"/>
      </w:pPr>
      <w:r>
        <w:rPr>
          <w:b/>
          <w:color w:val="6B7280"/>
          <w:sz w:val="22"/>
        </w:rPr>
        <w:t>Señales de alerta (empresas del sector donde la venta será difícil)</w:t>
      </w:r>
    </w:p>
    <w:p>
      <w:pPr>
        <w:pStyle w:val="ListBullet"/>
        <w:spacing w:before="0" w:after="40"/>
      </w:pPr>
      <w:r>
        <w:rPr>
          <w:color w:val="1A1A1A"/>
          <w:sz w:val="20"/>
        </w:rPr>
        <w:t xml:space="preserve">⚠️ </w:t>
      </w:r>
      <w:r>
        <w:rPr>
          <w:b/>
          <w:color w:val="1A1A1A"/>
          <w:sz w:val="20"/>
        </w:rPr>
        <w:t>Empresa con menos de 5 años de operación:</w:t>
      </w:r>
      <w:r>
        <w:rPr>
          <w:color w:val="1A1A1A"/>
          <w:sz w:val="20"/>
        </w:rPr>
        <w:t xml:space="preserve"> probablemente no tiene volumen para justificar inversión en IA + cultura no consolidada para adoptar.</w:t>
      </w:r>
    </w:p>
    <w:p>
      <w:pPr>
        <w:pStyle w:val="ListBullet"/>
        <w:spacing w:before="0" w:after="40"/>
      </w:pPr>
      <w:r>
        <w:rPr>
          <w:color w:val="1A1A1A"/>
          <w:sz w:val="20"/>
        </w:rPr>
        <w:t xml:space="preserve">⚠️ </w:t>
      </w:r>
      <w:r>
        <w:rPr>
          <w:b/>
          <w:color w:val="1A1A1A"/>
          <w:sz w:val="20"/>
        </w:rPr>
        <w:t>Patente aduanal en proceso de cancelación o sin renovar:</w:t>
      </w:r>
      <w:r>
        <w:rPr>
          <w:color w:val="1A1A1A"/>
          <w:sz w:val="20"/>
        </w:rPr>
        <w:t xml:space="preserve"> litigio o sanción regulatoria → no compran proyectos nuevos.</w:t>
      </w:r>
    </w:p>
    <w:p>
      <w:pPr>
        <w:pStyle w:val="ListBullet"/>
        <w:spacing w:before="0" w:after="40"/>
      </w:pPr>
      <w:r>
        <w:rPr>
          <w:color w:val="1A1A1A"/>
          <w:sz w:val="20"/>
        </w:rPr>
        <w:t xml:space="preserve">⚠️ </w:t>
      </w:r>
      <w:r>
        <w:rPr>
          <w:b/>
          <w:color w:val="1A1A1A"/>
          <w:sz w:val="20"/>
        </w:rPr>
        <w:t>Dueño con perfil 100% comercial sin involvement operativo:</w:t>
      </w:r>
      <w:r>
        <w:rPr>
          <w:color w:val="1A1A1A"/>
          <w:sz w:val="20"/>
        </w:rPr>
        <w:t xml:space="preserve"> decisiones de tech requieren involvement del operativo; el dueño puramente comercial pospone.</w:t>
      </w:r>
    </w:p>
    <w:p>
      <w:pPr>
        <w:pStyle w:val="ListBullet"/>
        <w:spacing w:before="0" w:after="40"/>
      </w:pPr>
      <w:r>
        <w:rPr>
          <w:color w:val="1A1A1A"/>
          <w:sz w:val="20"/>
        </w:rPr>
        <w:t xml:space="preserve">⚠️ </w:t>
      </w:r>
      <w:r>
        <w:rPr>
          <w:b/>
          <w:color w:val="1A1A1A"/>
          <w:sz w:val="20"/>
        </w:rPr>
        <w:t>Empresa con TI in-house grande y soberbio:</w:t>
      </w:r>
      <w:r>
        <w:rPr>
          <w:color w:val="1A1A1A"/>
          <w:sz w:val="20"/>
        </w:rPr>
        <w:t xml:space="preserve"> "ya tenemos eso adentro" — resistencia política a consultoría externa.</w:t>
      </w:r>
    </w:p>
    <w:p>
      <w:pPr>
        <w:pStyle w:val="ListBullet"/>
        <w:spacing w:before="0" w:after="40"/>
      </w:pPr>
      <w:r>
        <w:rPr>
          <w:color w:val="1A1A1A"/>
          <w:sz w:val="20"/>
        </w:rPr>
        <w:t xml:space="preserve">⚠️ </w:t>
      </w:r>
      <w:r>
        <w:rPr>
          <w:b/>
          <w:color w:val="1A1A1A"/>
          <w:sz w:val="20"/>
        </w:rPr>
        <w:t>PyME con flujo de caja apretado en 6 meses:</w:t>
      </w:r>
      <w:r>
        <w:rPr>
          <w:color w:val="1A1A1A"/>
          <w:sz w:val="20"/>
        </w:rPr>
        <w:t xml:space="preserve"> la decisión se posterga indefinidamente.</w:t>
      </w:r>
    </w:p>
    <w:p>
      <w:pPr>
        <w:spacing w:before="40" w:after="40"/>
      </w:pPr>
    </w:p>
    <w:p>
      <w:pPr>
        <w:spacing w:before="280" w:after="60"/>
        <w:pBdr>
          <w:bottom w:val="single" w:sz="4" w:space="1" w:color="0EA5E9"/>
        </w:pBdr>
      </w:pPr>
      <w:r>
        <w:rPr>
          <w:b/>
          <w:color w:val="0EA5E9"/>
          <w:sz w:val="28"/>
        </w:rPr>
        <w:t>FUENTES CONSULTADAS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0C1A2E"/>
          </w:tcPr>
          <w:p>
            <w:pPr>
              <w:spacing w:before="40" w:after="40"/>
            </w:pPr>
            <w:r>
              <w:rPr>
                <w:b/>
                <w:color w:val="FFFFFF"/>
                <w:sz w:val="18"/>
              </w:rPr>
              <w:t>Fuente</w:t>
            </w:r>
          </w:p>
        </w:tc>
        <w:tc>
          <w:tcPr>
            <w:tcW w:type="dxa" w:w="2266"/>
            <w:shd w:val="clear" w:color="auto" w:fill="0C1A2E"/>
          </w:tcPr>
          <w:p>
            <w:pPr>
              <w:spacing w:before="40" w:after="40"/>
            </w:pPr>
            <w:r>
              <w:rPr>
                <w:b/>
                <w:color w:val="FFFFFF"/>
                <w:sz w:val="18"/>
              </w:rPr>
              <w:t>URL</w:t>
            </w:r>
          </w:p>
        </w:tc>
        <w:tc>
          <w:tcPr>
            <w:tcW w:type="dxa" w:w="2266"/>
            <w:shd w:val="clear" w:color="auto" w:fill="0C1A2E"/>
          </w:tcPr>
          <w:p>
            <w:pPr>
              <w:spacing w:before="40" w:after="40"/>
            </w:pPr>
            <w:r>
              <w:rPr>
                <w:b/>
                <w:color w:val="FFFFFF"/>
                <w:sz w:val="18"/>
              </w:rPr>
              <w:t>Fecha consulta</w:t>
            </w:r>
          </w:p>
        </w:tc>
        <w:tc>
          <w:tcPr>
            <w:tcW w:type="dxa" w:w="2266"/>
            <w:shd w:val="clear" w:color="auto" w:fill="0C1A2E"/>
          </w:tcPr>
          <w:p>
            <w:pPr>
              <w:spacing w:before="40" w:after="40"/>
            </w:pPr>
            <w:r>
              <w:rPr>
                <w:b/>
                <w:color w:val="FFFFFF"/>
                <w:sz w:val="18"/>
              </w:rPr>
              <w:t>Información obtenida</w:t>
            </w:r>
          </w:p>
        </w:tc>
      </w:tr>
      <w:tr>
        <w:tc>
          <w:tcPr>
            <w:tcW w:type="dxa" w:w="2266"/>
            <w:shd w:val="clear" w:color="auto" w:fill="FFFFFF"/>
          </w:tcPr>
          <w:p>
            <w:pPr>
              <w:spacing w:before="40" w:after="40"/>
            </w:pPr>
            <w:r>
              <w:rPr>
                <w:color w:val="1A1A1A"/>
                <w:sz w:val="18"/>
              </w:rPr>
              <w:t>INEGI EAT 2024</w:t>
            </w:r>
          </w:p>
        </w:tc>
        <w:tc>
          <w:tcPr>
            <w:tcW w:type="dxa" w:w="2266"/>
            <w:shd w:val="clear" w:color="auto" w:fill="FFFFFF"/>
          </w:tcPr>
          <w:p>
            <w:pPr>
              <w:spacing w:before="40" w:after="40"/>
            </w:pPr>
            <w:r>
              <w:rPr>
                <w:color w:val="1A1A1A"/>
                <w:sz w:val="18"/>
              </w:rPr>
              <w:t>inegi.org.mx/contenidos/saladeprensa/boletines/2025/eat/EAT2024_CP.pdf</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PIB sectorial, volumen tonelaje</w:t>
            </w:r>
          </w:p>
        </w:tc>
      </w:tr>
      <w:tr>
        <w:tc>
          <w:tcPr>
            <w:tcW w:type="dxa" w:w="2266"/>
            <w:shd w:val="clear" w:color="auto" w:fill="EBF3FA"/>
          </w:tcPr>
          <w:p>
            <w:pPr>
              <w:spacing w:before="40" w:after="40"/>
            </w:pPr>
            <w:r>
              <w:rPr>
                <w:color w:val="1A1A1A"/>
                <w:sz w:val="18"/>
              </w:rPr>
              <w:t>Revista TyT (Transporte y Turismo)</w:t>
            </w:r>
          </w:p>
        </w:tc>
        <w:tc>
          <w:tcPr>
            <w:tcW w:type="dxa" w:w="2266"/>
            <w:shd w:val="clear" w:color="auto" w:fill="EBF3FA"/>
          </w:tcPr>
          <w:p>
            <w:pPr>
              <w:spacing w:before="40" w:after="40"/>
            </w:pPr>
            <w:r>
              <w:rPr>
                <w:color w:val="1A1A1A"/>
                <w:sz w:val="18"/>
              </w:rPr>
              <w:t>tyt.com.mx</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Cifras PIB 2024-2025, panorama crecimiento</w:t>
            </w:r>
          </w:p>
        </w:tc>
      </w:tr>
      <w:tr>
        <w:tc>
          <w:tcPr>
            <w:tcW w:type="dxa" w:w="2266"/>
            <w:shd w:val="clear" w:color="auto" w:fill="FFFFFF"/>
          </w:tcPr>
          <w:p>
            <w:pPr>
              <w:spacing w:before="40" w:after="40"/>
            </w:pPr>
            <w:r>
              <w:rPr>
                <w:color w:val="1A1A1A"/>
                <w:sz w:val="18"/>
              </w:rPr>
              <w:t>Nación Transporte</w:t>
            </w:r>
          </w:p>
        </w:tc>
        <w:tc>
          <w:tcPr>
            <w:tcW w:type="dxa" w:w="2266"/>
            <w:shd w:val="clear" w:color="auto" w:fill="FFFFFF"/>
          </w:tcPr>
          <w:p>
            <w:pPr>
              <w:spacing w:before="40" w:after="40"/>
            </w:pPr>
            <w:r>
              <w:rPr>
                <w:color w:val="1A1A1A"/>
                <w:sz w:val="18"/>
              </w:rPr>
              <w:t>naciontransporte.com</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4% PIB nacional autotransporte</w:t>
            </w:r>
          </w:p>
        </w:tc>
      </w:tr>
      <w:tr>
        <w:tc>
          <w:tcPr>
            <w:tcW w:type="dxa" w:w="2266"/>
            <w:shd w:val="clear" w:color="auto" w:fill="EBF3FA"/>
          </w:tcPr>
          <w:p>
            <w:pPr>
              <w:spacing w:before="40" w:after="40"/>
            </w:pPr>
            <w:r>
              <w:rPr>
                <w:color w:val="1A1A1A"/>
                <w:sz w:val="18"/>
              </w:rPr>
              <w:t>Autocosmos México</w:t>
            </w:r>
          </w:p>
        </w:tc>
        <w:tc>
          <w:tcPr>
            <w:tcW w:type="dxa" w:w="2266"/>
            <w:shd w:val="clear" w:color="auto" w:fill="EBF3FA"/>
          </w:tcPr>
          <w:p>
            <w:pPr>
              <w:spacing w:before="40" w:after="40"/>
            </w:pPr>
            <w:r>
              <w:rPr>
                <w:color w:val="1A1A1A"/>
                <w:sz w:val="18"/>
              </w:rPr>
              <w:t>noticias.autocosmos.com.mx</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430M toneladas, 4% PIB nacional</w:t>
            </w:r>
          </w:p>
        </w:tc>
      </w:tr>
      <w:tr>
        <w:tc>
          <w:tcPr>
            <w:tcW w:type="dxa" w:w="2266"/>
            <w:shd w:val="clear" w:color="auto" w:fill="FFFFFF"/>
          </w:tcPr>
          <w:p>
            <w:pPr>
              <w:spacing w:before="40" w:after="40"/>
            </w:pPr>
            <w:r>
              <w:rPr>
                <w:color w:val="1A1A1A"/>
                <w:sz w:val="18"/>
              </w:rPr>
              <w:t>ANTP (Asociación Nacional Transporte Privado)</w:t>
            </w:r>
          </w:p>
        </w:tc>
        <w:tc>
          <w:tcPr>
            <w:tcW w:type="dxa" w:w="2266"/>
            <w:shd w:val="clear" w:color="auto" w:fill="FFFFFF"/>
          </w:tcPr>
          <w:p>
            <w:pPr>
              <w:spacing w:before="40" w:after="40"/>
            </w:pPr>
            <w:r>
              <w:rPr>
                <w:color w:val="1A1A1A"/>
                <w:sz w:val="18"/>
              </w:rPr>
              <w:t>antp.org.mx/archivos/indicadores/abril2024/</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Indicadores ANTP abril 2024</w:t>
            </w:r>
          </w:p>
        </w:tc>
      </w:tr>
      <w:tr>
        <w:tc>
          <w:tcPr>
            <w:tcW w:type="dxa" w:w="2266"/>
            <w:shd w:val="clear" w:color="auto" w:fill="EBF3FA"/>
          </w:tcPr>
          <w:p>
            <w:pPr>
              <w:spacing w:before="40" w:after="40"/>
            </w:pPr>
            <w:r>
              <w:rPr>
                <w:color w:val="1A1A1A"/>
                <w:sz w:val="18"/>
              </w:rPr>
              <w:t>T21</w:t>
            </w:r>
          </w:p>
        </w:tc>
        <w:tc>
          <w:tcPr>
            <w:tcW w:type="dxa" w:w="2266"/>
            <w:shd w:val="clear" w:color="auto" w:fill="EBF3FA"/>
          </w:tcPr>
          <w:p>
            <w:pPr>
              <w:spacing w:before="40" w:after="40"/>
            </w:pPr>
            <w:r>
              <w:rPr>
                <w:color w:val="1A1A1A"/>
                <w:sz w:val="18"/>
              </w:rPr>
              <w:t>t21.com.mx</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Distintivo CANACAR, autotransporte especializado</w:t>
            </w:r>
          </w:p>
        </w:tc>
      </w:tr>
      <w:tr>
        <w:tc>
          <w:tcPr>
            <w:tcW w:type="dxa" w:w="2266"/>
            <w:shd w:val="clear" w:color="auto" w:fill="FFFFFF"/>
          </w:tcPr>
          <w:p>
            <w:pPr>
              <w:spacing w:before="40" w:after="40"/>
            </w:pPr>
            <w:r>
              <w:rPr>
                <w:color w:val="1A1A1A"/>
                <w:sz w:val="18"/>
              </w:rPr>
              <w:t>The Logistics World</w:t>
            </w:r>
          </w:p>
        </w:tc>
        <w:tc>
          <w:tcPr>
            <w:tcW w:type="dxa" w:w="2266"/>
            <w:shd w:val="clear" w:color="auto" w:fill="FFFFFF"/>
          </w:tcPr>
          <w:p>
            <w:pPr>
              <w:spacing w:before="40" w:after="40"/>
            </w:pPr>
            <w:r>
              <w:rPr>
                <w:color w:val="1A1A1A"/>
                <w:sz w:val="18"/>
              </w:rPr>
              <w:t>thelogisticsworld.com</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Tijuana, nearshoring, Contecon Manzanillo, retos PyME</w:t>
            </w:r>
          </w:p>
        </w:tc>
      </w:tr>
      <w:tr>
        <w:tc>
          <w:tcPr>
            <w:tcW w:type="dxa" w:w="2266"/>
            <w:shd w:val="clear" w:color="auto" w:fill="EBF3FA"/>
          </w:tcPr>
          <w:p>
            <w:pPr>
              <w:spacing w:before="40" w:after="40"/>
            </w:pPr>
            <w:r>
              <w:rPr>
                <w:color w:val="1A1A1A"/>
                <w:sz w:val="18"/>
              </w:rPr>
              <w:t>Mexico Business News</w:t>
            </w:r>
          </w:p>
        </w:tc>
        <w:tc>
          <w:tcPr>
            <w:tcW w:type="dxa" w:w="2266"/>
            <w:shd w:val="clear" w:color="auto" w:fill="EBF3FA"/>
          </w:tcPr>
          <w:p>
            <w:pPr>
              <w:spacing w:before="40" w:after="40"/>
            </w:pPr>
            <w:r>
              <w:rPr>
                <w:color w:val="1A1A1A"/>
                <w:sz w:val="18"/>
              </w:rPr>
              <w:t>mexicobusiness.news</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Supply chains, USMCA tariffs, nearshoring</w:t>
            </w:r>
          </w:p>
        </w:tc>
      </w:tr>
      <w:tr>
        <w:tc>
          <w:tcPr>
            <w:tcW w:type="dxa" w:w="2266"/>
            <w:shd w:val="clear" w:color="auto" w:fill="FFFFFF"/>
          </w:tcPr>
          <w:p>
            <w:pPr>
              <w:spacing w:before="40" w:after="40"/>
            </w:pPr>
            <w:r>
              <w:rPr>
                <w:color w:val="1A1A1A"/>
                <w:sz w:val="18"/>
              </w:rPr>
              <w:t>Cello Square</w:t>
            </w:r>
          </w:p>
        </w:tc>
        <w:tc>
          <w:tcPr>
            <w:tcW w:type="dxa" w:w="2266"/>
            <w:shd w:val="clear" w:color="auto" w:fill="FFFFFF"/>
          </w:tcPr>
          <w:p>
            <w:pPr>
              <w:spacing w:before="40" w:after="40"/>
            </w:pPr>
            <w:r>
              <w:rPr>
                <w:color w:val="1A1A1A"/>
                <w:sz w:val="18"/>
              </w:rPr>
              <w:t>cello-square.com/en/marketupdates/view-2213.do</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USMCA 2026 timing + aranceles</w:t>
            </w:r>
          </w:p>
        </w:tc>
      </w:tr>
      <w:tr>
        <w:tc>
          <w:tcPr>
            <w:tcW w:type="dxa" w:w="2266"/>
            <w:shd w:val="clear" w:color="auto" w:fill="EBF3FA"/>
          </w:tcPr>
          <w:p>
            <w:pPr>
              <w:spacing w:before="40" w:after="40"/>
            </w:pPr>
            <w:r>
              <w:rPr>
                <w:color w:val="1A1A1A"/>
                <w:sz w:val="18"/>
              </w:rPr>
              <w:t>Trade.gov</w:t>
            </w:r>
          </w:p>
        </w:tc>
        <w:tc>
          <w:tcPr>
            <w:tcW w:type="dxa" w:w="2266"/>
            <w:shd w:val="clear" w:color="auto" w:fill="EBF3FA"/>
          </w:tcPr>
          <w:p>
            <w:pPr>
              <w:spacing w:before="40" w:after="40"/>
            </w:pPr>
            <w:r>
              <w:rPr>
                <w:color w:val="1A1A1A"/>
                <w:sz w:val="18"/>
              </w:rPr>
              <w:t>trade.gov/market-intelligence/mexico-customs-law-reform</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Reforma Ley Aduanera</w:t>
            </w:r>
          </w:p>
        </w:tc>
      </w:tr>
      <w:tr>
        <w:tc>
          <w:tcPr>
            <w:tcW w:type="dxa" w:w="2266"/>
            <w:shd w:val="clear" w:color="auto" w:fill="FFFFFF"/>
          </w:tcPr>
          <w:p>
            <w:pPr>
              <w:spacing w:before="40" w:after="40"/>
            </w:pPr>
            <w:r>
              <w:rPr>
                <w:color w:val="1A1A1A"/>
                <w:sz w:val="18"/>
              </w:rPr>
              <w:t>RethinkTrade USMCA 2026</w:t>
            </w:r>
          </w:p>
        </w:tc>
        <w:tc>
          <w:tcPr>
            <w:tcW w:type="dxa" w:w="2266"/>
            <w:shd w:val="clear" w:color="auto" w:fill="FFFFFF"/>
          </w:tcPr>
          <w:p>
            <w:pPr>
              <w:spacing w:before="40" w:after="40"/>
            </w:pPr>
            <w:r>
              <w:rPr>
                <w:color w:val="1A1A1A"/>
                <w:sz w:val="18"/>
              </w:rPr>
              <w:t>rethinktrade.org/trackingusmca2026/</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Cronograma review</w:t>
            </w:r>
          </w:p>
        </w:tc>
      </w:tr>
      <w:tr>
        <w:tc>
          <w:tcPr>
            <w:tcW w:type="dxa" w:w="2266"/>
            <w:shd w:val="clear" w:color="auto" w:fill="EBF3FA"/>
          </w:tcPr>
          <w:p>
            <w:pPr>
              <w:spacing w:before="40" w:after="40"/>
            </w:pPr>
            <w:r>
              <w:rPr>
                <w:color w:val="1A1A1A"/>
                <w:sz w:val="18"/>
              </w:rPr>
              <w:t>White &amp; Case LLP</w:t>
            </w:r>
          </w:p>
        </w:tc>
        <w:tc>
          <w:tcPr>
            <w:tcW w:type="dxa" w:w="2266"/>
            <w:shd w:val="clear" w:color="auto" w:fill="EBF3FA"/>
          </w:tcPr>
          <w:p>
            <w:pPr>
              <w:spacing w:before="40" w:after="40"/>
            </w:pPr>
            <w:r>
              <w:rPr>
                <w:color w:val="1A1A1A"/>
                <w:sz w:val="18"/>
              </w:rPr>
              <w:t>whitecase.com/insight-our-thinking/latin-america-focus-2025/usmca-review-mexican-industry</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Impacto industria mexicana</w:t>
            </w:r>
          </w:p>
        </w:tc>
      </w:tr>
      <w:tr>
        <w:tc>
          <w:tcPr>
            <w:tcW w:type="dxa" w:w="2266"/>
            <w:shd w:val="clear" w:color="auto" w:fill="FFFFFF"/>
          </w:tcPr>
          <w:p>
            <w:pPr>
              <w:spacing w:before="40" w:after="40"/>
            </w:pPr>
            <w:r>
              <w:rPr>
                <w:color w:val="1A1A1A"/>
                <w:sz w:val="18"/>
              </w:rPr>
              <w:t>Atlantic Council</w:t>
            </w:r>
          </w:p>
        </w:tc>
        <w:tc>
          <w:tcPr>
            <w:tcW w:type="dxa" w:w="2266"/>
            <w:shd w:val="clear" w:color="auto" w:fill="FFFFFF"/>
          </w:tcPr>
          <w:p>
            <w:pPr>
              <w:spacing w:before="40" w:after="40"/>
            </w:pPr>
            <w:r>
              <w:rPr>
                <w:color w:val="1A1A1A"/>
                <w:sz w:val="18"/>
              </w:rPr>
              <w:t>atlanticcouncil.org/in-depth-research-reports/issue-brief/using-the-usmca-review-to-strengthen-regional-integration/</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Integración regional</w:t>
            </w:r>
          </w:p>
        </w:tc>
      </w:tr>
      <w:tr>
        <w:tc>
          <w:tcPr>
            <w:tcW w:type="dxa" w:w="2266"/>
            <w:shd w:val="clear" w:color="auto" w:fill="EBF3FA"/>
          </w:tcPr>
          <w:p>
            <w:pPr>
              <w:spacing w:before="40" w:after="40"/>
            </w:pPr>
            <w:r>
              <w:rPr>
                <w:color w:val="1A1A1A"/>
                <w:sz w:val="18"/>
              </w:rPr>
              <w:t>CSIS USMCA</w:t>
            </w:r>
          </w:p>
        </w:tc>
        <w:tc>
          <w:tcPr>
            <w:tcW w:type="dxa" w:w="2266"/>
            <w:shd w:val="clear" w:color="auto" w:fill="EBF3FA"/>
          </w:tcPr>
          <w:p>
            <w:pPr>
              <w:spacing w:before="40" w:after="40"/>
            </w:pPr>
            <w:r>
              <w:rPr>
                <w:color w:val="1A1A1A"/>
                <w:sz w:val="18"/>
              </w:rPr>
              <w:t>csis.org/analysis/usmca-review-2026</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Análisis estratégico</w:t>
            </w:r>
          </w:p>
        </w:tc>
      </w:tr>
      <w:tr>
        <w:tc>
          <w:tcPr>
            <w:tcW w:type="dxa" w:w="2266"/>
            <w:shd w:val="clear" w:color="auto" w:fill="FFFFFF"/>
          </w:tcPr>
          <w:p>
            <w:pPr>
              <w:spacing w:before="40" w:after="40"/>
            </w:pPr>
            <w:r>
              <w:rPr>
                <w:color w:val="1A1A1A"/>
                <w:sz w:val="18"/>
              </w:rPr>
              <w:t>BBVA Educación Financiera</w:t>
            </w:r>
          </w:p>
        </w:tc>
        <w:tc>
          <w:tcPr>
            <w:tcW w:type="dxa" w:w="2266"/>
            <w:shd w:val="clear" w:color="auto" w:fill="FFFFFF"/>
          </w:tcPr>
          <w:p>
            <w:pPr>
              <w:spacing w:before="40" w:after="40"/>
            </w:pPr>
            <w:r>
              <w:rPr>
                <w:color w:val="1A1A1A"/>
                <w:sz w:val="18"/>
              </w:rPr>
              <w:t>bbva.mx/educacion-financiera/empresa/oportunidades-de-nearshoring-y-smartshoring.html</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Nearshoring + smartshoring</w:t>
            </w:r>
          </w:p>
        </w:tc>
      </w:tr>
      <w:tr>
        <w:tc>
          <w:tcPr>
            <w:tcW w:type="dxa" w:w="2266"/>
            <w:shd w:val="clear" w:color="auto" w:fill="EBF3FA"/>
          </w:tcPr>
          <w:p>
            <w:pPr>
              <w:spacing w:before="40" w:after="40"/>
            </w:pPr>
            <w:r>
              <w:rPr>
                <w:color w:val="1A1A1A"/>
                <w:sz w:val="18"/>
              </w:rPr>
              <w:t>Proyectos México</w:t>
            </w:r>
          </w:p>
        </w:tc>
        <w:tc>
          <w:tcPr>
            <w:tcW w:type="dxa" w:w="2266"/>
            <w:shd w:val="clear" w:color="auto" w:fill="EBF3FA"/>
          </w:tcPr>
          <w:p>
            <w:pPr>
              <w:spacing w:before="40" w:after="40"/>
            </w:pPr>
            <w:r>
              <w:rPr>
                <w:color w:val="1A1A1A"/>
                <w:sz w:val="18"/>
              </w:rPr>
              <w:t>proyectosmexico.gob.mx/en/library/nearshoring-in-mexico/</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Nearshoring gobierno MX</w:t>
            </w:r>
          </w:p>
        </w:tc>
      </w:tr>
      <w:tr>
        <w:tc>
          <w:tcPr>
            <w:tcW w:type="dxa" w:w="2266"/>
            <w:shd w:val="clear" w:color="auto" w:fill="FFFFFF"/>
          </w:tcPr>
          <w:p>
            <w:pPr>
              <w:spacing w:before="40" w:after="40"/>
            </w:pPr>
            <w:r>
              <w:rPr>
                <w:color w:val="1A1A1A"/>
                <w:sz w:val="18"/>
              </w:rPr>
              <w:t>El Financiero</w:t>
            </w:r>
          </w:p>
        </w:tc>
        <w:tc>
          <w:tcPr>
            <w:tcW w:type="dxa" w:w="2266"/>
            <w:shd w:val="clear" w:color="auto" w:fill="FFFFFF"/>
          </w:tcPr>
          <w:p>
            <w:pPr>
              <w:spacing w:before="40" w:after="40"/>
            </w:pPr>
            <w:r>
              <w:rPr>
                <w:color w:val="1A1A1A"/>
                <w:sz w:val="18"/>
              </w:rPr>
              <w:t>elfinanciero.com.mx/economia/2024/03/15/mexico-la-ruta-que-china-usa-para-llegar-al-mercado-de-eu/</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China-MX-USA ruta</w:t>
            </w:r>
          </w:p>
        </w:tc>
      </w:tr>
      <w:tr>
        <w:tc>
          <w:tcPr>
            <w:tcW w:type="dxa" w:w="2266"/>
            <w:shd w:val="clear" w:color="auto" w:fill="EBF3FA"/>
          </w:tcPr>
          <w:p>
            <w:pPr>
              <w:spacing w:before="40" w:after="40"/>
            </w:pPr>
            <w:r>
              <w:rPr>
                <w:color w:val="1A1A1A"/>
                <w:sz w:val="18"/>
              </w:rPr>
              <w:t>La Jornada</w:t>
            </w:r>
          </w:p>
        </w:tc>
        <w:tc>
          <w:tcPr>
            <w:tcW w:type="dxa" w:w="2266"/>
            <w:shd w:val="clear" w:color="auto" w:fill="EBF3FA"/>
          </w:tcPr>
          <w:p>
            <w:pPr>
              <w:spacing w:before="40" w:after="40"/>
            </w:pPr>
            <w:r>
              <w:rPr>
                <w:color w:val="1A1A1A"/>
                <w:sz w:val="18"/>
              </w:rPr>
              <w:t>jornada.com.mx</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Importaciones chinas en México</w:t>
            </w:r>
          </w:p>
        </w:tc>
      </w:tr>
      <w:tr>
        <w:tc>
          <w:tcPr>
            <w:tcW w:type="dxa" w:w="2266"/>
            <w:shd w:val="clear" w:color="auto" w:fill="FFFFFF"/>
          </w:tcPr>
          <w:p>
            <w:pPr>
              <w:spacing w:before="40" w:after="40"/>
            </w:pPr>
            <w:r>
              <w:rPr>
                <w:color w:val="1A1A1A"/>
                <w:sz w:val="18"/>
              </w:rPr>
              <w:t>El Imparcial</w:t>
            </w:r>
          </w:p>
        </w:tc>
        <w:tc>
          <w:tcPr>
            <w:tcW w:type="dxa" w:w="2266"/>
            <w:shd w:val="clear" w:color="auto" w:fill="FFFFFF"/>
          </w:tcPr>
          <w:p>
            <w:pPr>
              <w:spacing w:before="40" w:after="40"/>
            </w:pPr>
            <w:r>
              <w:rPr>
                <w:color w:val="1A1A1A"/>
                <w:sz w:val="18"/>
              </w:rPr>
              <w:t>elimparcial.com/dinero/2026/05/18/las-importaciones-desde-taiwan/</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Taiwán +400%</w:t>
            </w:r>
          </w:p>
        </w:tc>
      </w:tr>
      <w:tr>
        <w:tc>
          <w:tcPr>
            <w:tcW w:type="dxa" w:w="2266"/>
            <w:shd w:val="clear" w:color="auto" w:fill="EBF3FA"/>
          </w:tcPr>
          <w:p>
            <w:pPr>
              <w:spacing w:before="40" w:after="40"/>
            </w:pPr>
            <w:r>
              <w:rPr>
                <w:color w:val="1A1A1A"/>
                <w:sz w:val="18"/>
              </w:rPr>
              <w:t>Data México (Secretaría de Economía)</w:t>
            </w:r>
          </w:p>
        </w:tc>
        <w:tc>
          <w:tcPr>
            <w:tcW w:type="dxa" w:w="2266"/>
            <w:shd w:val="clear" w:color="auto" w:fill="EBF3FA"/>
          </w:tcPr>
          <w:p>
            <w:pPr>
              <w:spacing w:before="40" w:after="40"/>
            </w:pPr>
            <w:r>
              <w:rPr>
                <w:color w:val="1A1A1A"/>
                <w:sz w:val="18"/>
              </w:rPr>
              <w:t>economia.gob.mx/datamexico/es/profile/country/china-chn</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Comercio bilateral MX-China</w:t>
            </w:r>
          </w:p>
        </w:tc>
      </w:tr>
      <w:tr>
        <w:tc>
          <w:tcPr>
            <w:tcW w:type="dxa" w:w="2266"/>
            <w:shd w:val="clear" w:color="auto" w:fill="FFFFFF"/>
          </w:tcPr>
          <w:p>
            <w:pPr>
              <w:spacing w:before="40" w:after="40"/>
            </w:pPr>
            <w:r>
              <w:rPr>
                <w:color w:val="1A1A1A"/>
                <w:sz w:val="18"/>
              </w:rPr>
              <w:t>Embamex SRE (Embajada MX en China)</w:t>
            </w:r>
          </w:p>
        </w:tc>
        <w:tc>
          <w:tcPr>
            <w:tcW w:type="dxa" w:w="2266"/>
            <w:shd w:val="clear" w:color="auto" w:fill="FFFFFF"/>
          </w:tcPr>
          <w:p>
            <w:pPr>
              <w:spacing w:before="40" w:after="40"/>
            </w:pPr>
            <w:r>
              <w:rPr>
                <w:color w:val="1A1A1A"/>
                <w:sz w:val="18"/>
              </w:rPr>
              <w:t>embamex.sre.gob.mx/china</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Relación económica</w:t>
            </w:r>
          </w:p>
        </w:tc>
      </w:tr>
      <w:tr>
        <w:tc>
          <w:tcPr>
            <w:tcW w:type="dxa" w:w="2266"/>
            <w:shd w:val="clear" w:color="auto" w:fill="EBF3FA"/>
          </w:tcPr>
          <w:p>
            <w:pPr>
              <w:spacing w:before="40" w:after="40"/>
            </w:pPr>
            <w:r>
              <w:rPr>
                <w:color w:val="1A1A1A"/>
                <w:sz w:val="18"/>
              </w:rPr>
              <w:t>SAT — Carta Porte</w:t>
            </w:r>
          </w:p>
        </w:tc>
        <w:tc>
          <w:tcPr>
            <w:tcW w:type="dxa" w:w="2266"/>
            <w:shd w:val="clear" w:color="auto" w:fill="EBF3FA"/>
          </w:tcPr>
          <w:p>
            <w:pPr>
              <w:spacing w:before="40" w:after="40"/>
            </w:pPr>
            <w:r>
              <w:rPr>
                <w:color w:val="1A1A1A"/>
                <w:sz w:val="18"/>
              </w:rPr>
              <w:t>sat.gob.mx/consultas/68823/complemento-carta-porte-</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Marco oficial Carta Porte</w:t>
            </w:r>
          </w:p>
        </w:tc>
      </w:tr>
      <w:tr>
        <w:tc>
          <w:tcPr>
            <w:tcW w:type="dxa" w:w="2266"/>
            <w:shd w:val="clear" w:color="auto" w:fill="FFFFFF"/>
          </w:tcPr>
          <w:p>
            <w:pPr>
              <w:spacing w:before="40" w:after="40"/>
            </w:pPr>
            <w:r>
              <w:rPr>
                <w:color w:val="1A1A1A"/>
                <w:sz w:val="18"/>
              </w:rPr>
              <w:t>Fiscal Cloud</w:t>
            </w:r>
          </w:p>
        </w:tc>
        <w:tc>
          <w:tcPr>
            <w:tcW w:type="dxa" w:w="2266"/>
            <w:shd w:val="clear" w:color="auto" w:fill="FFFFFF"/>
          </w:tcPr>
          <w:p>
            <w:pPr>
              <w:spacing w:before="40" w:after="40"/>
            </w:pPr>
            <w:r>
              <w:rPr>
                <w:color w:val="1A1A1A"/>
                <w:sz w:val="18"/>
              </w:rPr>
              <w:t>fiscalcloud.mx</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Carta Porte 3.1 obligaciones</w:t>
            </w:r>
          </w:p>
        </w:tc>
      </w:tr>
      <w:tr>
        <w:tc>
          <w:tcPr>
            <w:tcW w:type="dxa" w:w="2266"/>
            <w:shd w:val="clear" w:color="auto" w:fill="EBF3FA"/>
          </w:tcPr>
          <w:p>
            <w:pPr>
              <w:spacing w:before="40" w:after="40"/>
            </w:pPr>
            <w:r>
              <w:rPr>
                <w:color w:val="1A1A1A"/>
                <w:sz w:val="18"/>
              </w:rPr>
              <w:t>Aspel / Siigo</w:t>
            </w:r>
          </w:p>
        </w:tc>
        <w:tc>
          <w:tcPr>
            <w:tcW w:type="dxa" w:w="2266"/>
            <w:shd w:val="clear" w:color="auto" w:fill="EBF3FA"/>
          </w:tcPr>
          <w:p>
            <w:pPr>
              <w:spacing w:before="40" w:after="40"/>
            </w:pPr>
            <w:r>
              <w:rPr>
                <w:color w:val="1A1A1A"/>
                <w:sz w:val="18"/>
              </w:rPr>
              <w:t>siigo.com/mx/blog/obligaciones-fiscales/complemento-carta-porte/</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Multas + obligaciones</w:t>
            </w:r>
          </w:p>
        </w:tc>
      </w:tr>
      <w:tr>
        <w:tc>
          <w:tcPr>
            <w:tcW w:type="dxa" w:w="2266"/>
            <w:shd w:val="clear" w:color="auto" w:fill="FFFFFF"/>
          </w:tcPr>
          <w:p>
            <w:pPr>
              <w:spacing w:before="40" w:after="40"/>
            </w:pPr>
            <w:r>
              <w:rPr>
                <w:color w:val="1A1A1A"/>
                <w:sz w:val="18"/>
              </w:rPr>
              <w:t>PwC México</w:t>
            </w:r>
          </w:p>
        </w:tc>
        <w:tc>
          <w:tcPr>
            <w:tcW w:type="dxa" w:w="2266"/>
            <w:shd w:val="clear" w:color="auto" w:fill="FFFFFF"/>
          </w:tcPr>
          <w:p>
            <w:pPr>
              <w:spacing w:before="40" w:after="40"/>
            </w:pPr>
            <w:r>
              <w:rPr>
                <w:color w:val="1A1A1A"/>
                <w:sz w:val="18"/>
              </w:rPr>
              <w:t>pwc.com/mx/es/impuestos/novedades-fiscales/decreto-reforma-diversas-disposiciones-ley-aduanera.html</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Reforma aduanera 2025</w:t>
            </w:r>
          </w:p>
        </w:tc>
      </w:tr>
      <w:tr>
        <w:tc>
          <w:tcPr>
            <w:tcW w:type="dxa" w:w="2266"/>
            <w:shd w:val="clear" w:color="auto" w:fill="EBF3FA"/>
          </w:tcPr>
          <w:p>
            <w:pPr>
              <w:spacing w:before="40" w:after="40"/>
            </w:pPr>
            <w:r>
              <w:rPr>
                <w:color w:val="1A1A1A"/>
                <w:sz w:val="18"/>
              </w:rPr>
              <w:t>Grant Thornton MX</w:t>
            </w:r>
          </w:p>
        </w:tc>
        <w:tc>
          <w:tcPr>
            <w:tcW w:type="dxa" w:w="2266"/>
            <w:shd w:val="clear" w:color="auto" w:fill="EBF3FA"/>
          </w:tcPr>
          <w:p>
            <w:pPr>
              <w:spacing w:before="40" w:after="40"/>
            </w:pPr>
            <w:r>
              <w:rPr>
                <w:color w:val="1A1A1A"/>
                <w:sz w:val="18"/>
              </w:rPr>
              <w:t>grantthornton.mx/AlertasGT/alerta39.2025/</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Detalle reforma Ley Aduanera</w:t>
            </w:r>
          </w:p>
        </w:tc>
      </w:tr>
      <w:tr>
        <w:tc>
          <w:tcPr>
            <w:tcW w:type="dxa" w:w="2266"/>
            <w:shd w:val="clear" w:color="auto" w:fill="FFFFFF"/>
          </w:tcPr>
          <w:p>
            <w:pPr>
              <w:spacing w:before="40" w:after="40"/>
            </w:pPr>
            <w:r>
              <w:rPr>
                <w:color w:val="1A1A1A"/>
                <w:sz w:val="18"/>
              </w:rPr>
              <w:t>KPMG México</w:t>
            </w:r>
          </w:p>
        </w:tc>
        <w:tc>
          <w:tcPr>
            <w:tcW w:type="dxa" w:w="2266"/>
            <w:shd w:val="clear" w:color="auto" w:fill="FFFFFF"/>
          </w:tcPr>
          <w:p>
            <w:pPr>
              <w:spacing w:before="40" w:after="40"/>
            </w:pPr>
            <w:r>
              <w:rPr>
                <w:color w:val="1A1A1A"/>
                <w:sz w:val="18"/>
              </w:rPr>
              <w:t>kpmg.com/mx/es/tendencias/2025/11/flash-reformas-a-la-ley-aduanera.html</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Reformas aduanera</w:t>
            </w:r>
          </w:p>
        </w:tc>
      </w:tr>
      <w:tr>
        <w:tc>
          <w:tcPr>
            <w:tcW w:type="dxa" w:w="2266"/>
            <w:shd w:val="clear" w:color="auto" w:fill="EBF3FA"/>
          </w:tcPr>
          <w:p>
            <w:pPr>
              <w:spacing w:before="40" w:after="40"/>
            </w:pPr>
            <w:r>
              <w:rPr>
                <w:color w:val="1A1A1A"/>
                <w:sz w:val="18"/>
              </w:rPr>
              <w:t>Justia México Blog</w:t>
            </w:r>
          </w:p>
        </w:tc>
        <w:tc>
          <w:tcPr>
            <w:tcW w:type="dxa" w:w="2266"/>
            <w:shd w:val="clear" w:color="auto" w:fill="EBF3FA"/>
          </w:tcPr>
          <w:p>
            <w:pPr>
              <w:spacing w:before="40" w:after="40"/>
            </w:pPr>
            <w:r>
              <w:rPr>
                <w:color w:val="1A1A1A"/>
                <w:sz w:val="18"/>
              </w:rPr>
              <w:t>mexico.justia.com/blog/reforma-a-la-ley-aduanera-los-cambios-propuestos-al-sistema-aduanero-en-mexico/</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Cambios sistema aduanero</w:t>
            </w:r>
          </w:p>
        </w:tc>
      </w:tr>
      <w:tr>
        <w:tc>
          <w:tcPr>
            <w:tcW w:type="dxa" w:w="2266"/>
            <w:shd w:val="clear" w:color="auto" w:fill="FFFFFF"/>
          </w:tcPr>
          <w:p>
            <w:pPr>
              <w:spacing w:before="40" w:after="40"/>
            </w:pPr>
            <w:r>
              <w:rPr>
                <w:color w:val="1A1A1A"/>
                <w:sz w:val="18"/>
              </w:rPr>
              <w:t>CAAAREM</w:t>
            </w:r>
          </w:p>
        </w:tc>
        <w:tc>
          <w:tcPr>
            <w:tcW w:type="dxa" w:w="2266"/>
            <w:shd w:val="clear" w:color="auto" w:fill="FFFFFF"/>
          </w:tcPr>
          <w:p>
            <w:pPr>
              <w:spacing w:before="40" w:after="40"/>
            </w:pPr>
            <w:r>
              <w:rPr>
                <w:color w:val="1A1A1A"/>
                <w:sz w:val="18"/>
              </w:rPr>
              <w:t>caaarem.mx</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Confederación agentes aduanales, 99% representatividad</w:t>
            </w:r>
          </w:p>
        </w:tc>
      </w:tr>
      <w:tr>
        <w:tc>
          <w:tcPr>
            <w:tcW w:type="dxa" w:w="2266"/>
            <w:shd w:val="clear" w:color="auto" w:fill="EBF3FA"/>
          </w:tcPr>
          <w:p>
            <w:pPr>
              <w:spacing w:before="40" w:after="40"/>
            </w:pPr>
            <w:r>
              <w:rPr>
                <w:color w:val="1A1A1A"/>
                <w:sz w:val="18"/>
              </w:rPr>
              <w:t>CAAAREM Directorio</w:t>
            </w:r>
          </w:p>
        </w:tc>
        <w:tc>
          <w:tcPr>
            <w:tcW w:type="dxa" w:w="2266"/>
            <w:shd w:val="clear" w:color="auto" w:fill="EBF3FA"/>
          </w:tcPr>
          <w:p>
            <w:pPr>
              <w:spacing w:before="40" w:after="40"/>
            </w:pPr>
            <w:r>
              <w:rPr>
                <w:color w:val="1A1A1A"/>
                <w:sz w:val="18"/>
              </w:rPr>
              <w:t>caaarem.mx/directorio.html</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Patentes activas</w:t>
            </w:r>
          </w:p>
        </w:tc>
      </w:tr>
      <w:tr>
        <w:tc>
          <w:tcPr>
            <w:tcW w:type="dxa" w:w="2266"/>
            <w:shd w:val="clear" w:color="auto" w:fill="FFFFFF"/>
          </w:tcPr>
          <w:p>
            <w:pPr>
              <w:spacing w:before="40" w:after="40"/>
            </w:pPr>
            <w:r>
              <w:rPr>
                <w:color w:val="1A1A1A"/>
                <w:sz w:val="18"/>
              </w:rPr>
              <w:t>Revista Aduanas CAAAREM</w:t>
            </w:r>
          </w:p>
        </w:tc>
        <w:tc>
          <w:tcPr>
            <w:tcW w:type="dxa" w:w="2266"/>
            <w:shd w:val="clear" w:color="auto" w:fill="FFFFFF"/>
          </w:tcPr>
          <w:p>
            <w:pPr>
              <w:spacing w:before="40" w:after="40"/>
            </w:pPr>
            <w:r>
              <w:rPr>
                <w:color w:val="1A1A1A"/>
                <w:sz w:val="18"/>
              </w:rPr>
              <w:t>caaarem.mx/assets/pdf/Revista-Aduanas-2024.pdf</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Edición Q3 2024</w:t>
            </w:r>
          </w:p>
        </w:tc>
      </w:tr>
      <w:tr>
        <w:tc>
          <w:tcPr>
            <w:tcW w:type="dxa" w:w="2266"/>
            <w:shd w:val="clear" w:color="auto" w:fill="EBF3FA"/>
          </w:tcPr>
          <w:p>
            <w:pPr>
              <w:spacing w:before="40" w:after="40"/>
            </w:pPr>
            <w:r>
              <w:rPr>
                <w:color w:val="1A1A1A"/>
                <w:sz w:val="18"/>
              </w:rPr>
              <w:t>ANAM</w:t>
            </w:r>
          </w:p>
        </w:tc>
        <w:tc>
          <w:tcPr>
            <w:tcW w:type="dxa" w:w="2266"/>
            <w:shd w:val="clear" w:color="auto" w:fill="EBF3FA"/>
          </w:tcPr>
          <w:p>
            <w:pPr>
              <w:spacing w:before="40" w:after="40"/>
            </w:pPr>
            <w:r>
              <w:rPr>
                <w:color w:val="1A1A1A"/>
                <w:sz w:val="18"/>
              </w:rPr>
              <w:t>anam.gob.mx</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Aduana Tijuana + agentes aduanales</w:t>
            </w:r>
          </w:p>
        </w:tc>
      </w:tr>
      <w:tr>
        <w:tc>
          <w:tcPr>
            <w:tcW w:type="dxa" w:w="2266"/>
            <w:shd w:val="clear" w:color="auto" w:fill="FFFFFF"/>
          </w:tcPr>
          <w:p>
            <w:pPr>
              <w:spacing w:before="40" w:after="40"/>
            </w:pPr>
            <w:r>
              <w:rPr>
                <w:color w:val="1A1A1A"/>
                <w:sz w:val="18"/>
              </w:rPr>
              <w:t>Asociación Agentes Aduanales Tijuana y Tecate</w:t>
            </w:r>
          </w:p>
        </w:tc>
        <w:tc>
          <w:tcPr>
            <w:tcW w:type="dxa" w:w="2266"/>
            <w:shd w:val="clear" w:color="auto" w:fill="FFFFFF"/>
          </w:tcPr>
          <w:p>
            <w:pPr>
              <w:spacing w:before="40" w:after="40"/>
            </w:pPr>
            <w:r>
              <w:rPr>
                <w:color w:val="1A1A1A"/>
                <w:sz w:val="18"/>
              </w:rPr>
              <w:t>agentesaduanales.org.mx</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Asociación local</w:t>
            </w:r>
          </w:p>
        </w:tc>
      </w:tr>
      <w:tr>
        <w:tc>
          <w:tcPr>
            <w:tcW w:type="dxa" w:w="2266"/>
            <w:shd w:val="clear" w:color="auto" w:fill="EBF3FA"/>
          </w:tcPr>
          <w:p>
            <w:pPr>
              <w:spacing w:before="40" w:after="40"/>
            </w:pPr>
            <w:r>
              <w:rPr>
                <w:color w:val="1A1A1A"/>
                <w:sz w:val="18"/>
              </w:rPr>
              <w:t>AduaEasy</w:t>
            </w:r>
          </w:p>
        </w:tc>
        <w:tc>
          <w:tcPr>
            <w:tcW w:type="dxa" w:w="2266"/>
            <w:shd w:val="clear" w:color="auto" w:fill="EBF3FA"/>
          </w:tcPr>
          <w:p>
            <w:pPr>
              <w:spacing w:before="40" w:after="40"/>
            </w:pPr>
            <w:r>
              <w:rPr>
                <w:color w:val="1A1A1A"/>
                <w:sz w:val="18"/>
              </w:rPr>
              <w:t>aduaeasy.com/blog/puede-la-ia-transformar-las-aduanas-de-m%C3%A9xico-sin-perder-el-toque-humano</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IA en aduanas MX</w:t>
            </w:r>
          </w:p>
        </w:tc>
      </w:tr>
      <w:tr>
        <w:tc>
          <w:tcPr>
            <w:tcW w:type="dxa" w:w="2266"/>
            <w:shd w:val="clear" w:color="auto" w:fill="FFFFFF"/>
          </w:tcPr>
          <w:p>
            <w:pPr>
              <w:spacing w:before="40" w:after="40"/>
            </w:pPr>
            <w:r>
              <w:rPr>
                <w:color w:val="1A1A1A"/>
                <w:sz w:val="18"/>
              </w:rPr>
              <w:t>AduanApp</w:t>
            </w:r>
          </w:p>
        </w:tc>
        <w:tc>
          <w:tcPr>
            <w:tcW w:type="dxa" w:w="2266"/>
            <w:shd w:val="clear" w:color="auto" w:fill="FFFFFF"/>
          </w:tcPr>
          <w:p>
            <w:pPr>
              <w:spacing w:before="40" w:after="40"/>
            </w:pPr>
            <w:r>
              <w:rPr>
                <w:color w:val="1A1A1A"/>
                <w:sz w:val="18"/>
              </w:rPr>
              <w:t>neuronbusinessmedia.mx/aduanapp-digitalizando-las-aduanas-mexicanas-con-inteligencia-y-velocidad/</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Métricas AduanApp 7-13s/95%</w:t>
            </w:r>
          </w:p>
        </w:tc>
      </w:tr>
      <w:tr>
        <w:tc>
          <w:tcPr>
            <w:tcW w:type="dxa" w:w="2266"/>
            <w:shd w:val="clear" w:color="auto" w:fill="EBF3FA"/>
          </w:tcPr>
          <w:p>
            <w:pPr>
              <w:spacing w:before="40" w:after="40"/>
            </w:pPr>
            <w:r>
              <w:rPr>
                <w:color w:val="1A1A1A"/>
                <w:sz w:val="18"/>
              </w:rPr>
              <w:t>AMITI</w:t>
            </w:r>
          </w:p>
        </w:tc>
        <w:tc>
          <w:tcPr>
            <w:tcW w:type="dxa" w:w="2266"/>
            <w:shd w:val="clear" w:color="auto" w:fill="EBF3FA"/>
          </w:tcPr>
          <w:p>
            <w:pPr>
              <w:spacing w:before="40" w:after="40"/>
            </w:pPr>
            <w:r>
              <w:rPr>
                <w:color w:val="1A1A1A"/>
                <w:sz w:val="18"/>
              </w:rPr>
              <w:t>amiti.org.mx/en/11311/los-avances-tecnologicos-no-esperan-a-nadie-las-agencias-aduanales-se-reinventan-en-la-era-de-la-inteligencia-artificial/</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Agencias aduanales + IA</w:t>
            </w:r>
          </w:p>
        </w:tc>
      </w:tr>
      <w:tr>
        <w:tc>
          <w:tcPr>
            <w:tcW w:type="dxa" w:w="2266"/>
            <w:shd w:val="clear" w:color="auto" w:fill="FFFFFF"/>
          </w:tcPr>
          <w:p>
            <w:pPr>
              <w:spacing w:before="40" w:after="40"/>
            </w:pPr>
            <w:r>
              <w:rPr>
                <w:color w:val="1A1A1A"/>
                <w:sz w:val="18"/>
              </w:rPr>
              <w:t>Camtom Blog</w:t>
            </w:r>
          </w:p>
        </w:tc>
        <w:tc>
          <w:tcPr>
            <w:tcW w:type="dxa" w:w="2266"/>
            <w:shd w:val="clear" w:color="auto" w:fill="FFFFFF"/>
          </w:tcPr>
          <w:p>
            <w:pPr>
              <w:spacing w:before="40" w:after="40"/>
            </w:pPr>
            <w:r>
              <w:rPr>
                <w:color w:val="1A1A1A"/>
                <w:sz w:val="18"/>
              </w:rPr>
              <w:t>camtomx.com/en/blog/el-papel-de-la-inteligencia-artificial-en-la-clasificacion-arancelaria-y-el-comercio-internacional</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IA en clasificación</w:t>
            </w:r>
          </w:p>
        </w:tc>
      </w:tr>
      <w:tr>
        <w:tc>
          <w:tcPr>
            <w:tcW w:type="dxa" w:w="2266"/>
            <w:shd w:val="clear" w:color="auto" w:fill="EBF3FA"/>
          </w:tcPr>
          <w:p>
            <w:pPr>
              <w:spacing w:before="40" w:after="40"/>
            </w:pPr>
            <w:r>
              <w:rPr>
                <w:color w:val="1A1A1A"/>
                <w:sz w:val="18"/>
              </w:rPr>
              <w:t>T21 Concurso Clasificación</w:t>
            </w:r>
          </w:p>
        </w:tc>
        <w:tc>
          <w:tcPr>
            <w:tcW w:type="dxa" w:w="2266"/>
            <w:shd w:val="clear" w:color="auto" w:fill="EBF3FA"/>
          </w:tcPr>
          <w:p>
            <w:pPr>
              <w:spacing w:before="40" w:after="40"/>
            </w:pPr>
            <w:r>
              <w:rPr>
                <w:color w:val="1A1A1A"/>
                <w:sz w:val="18"/>
              </w:rPr>
              <w:t>t21.com.mx/proveedores-usan-inteligencia-artificial-en-competencia-de-clasificacion-arancelaria/</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Primer concurso AAADAM nov 2024</w:t>
            </w:r>
          </w:p>
        </w:tc>
      </w:tr>
      <w:tr>
        <w:tc>
          <w:tcPr>
            <w:tcW w:type="dxa" w:w="2266"/>
            <w:shd w:val="clear" w:color="auto" w:fill="FFFFFF"/>
          </w:tcPr>
          <w:p>
            <w:pPr>
              <w:spacing w:before="40" w:after="40"/>
            </w:pPr>
            <w:r>
              <w:rPr>
                <w:color w:val="1A1A1A"/>
                <w:sz w:val="18"/>
              </w:rPr>
              <w:t>Moco AI</w:t>
            </w:r>
          </w:p>
        </w:tc>
        <w:tc>
          <w:tcPr>
            <w:tcW w:type="dxa" w:w="2266"/>
            <w:shd w:val="clear" w:color="auto" w:fill="FFFFFF"/>
          </w:tcPr>
          <w:p>
            <w:pPr>
              <w:spacing w:before="40" w:after="40"/>
            </w:pPr>
            <w:r>
              <w:rPr>
                <w:color w:val="1A1A1A"/>
                <w:sz w:val="18"/>
              </w:rPr>
              <w:t>moco.mx/blog/agentes-aduanales-en-mexico-2025/</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Agentes aduanales 2025</w:t>
            </w:r>
          </w:p>
        </w:tc>
      </w:tr>
      <w:tr>
        <w:tc>
          <w:tcPr>
            <w:tcW w:type="dxa" w:w="2266"/>
            <w:shd w:val="clear" w:color="auto" w:fill="EBF3FA"/>
          </w:tcPr>
          <w:p>
            <w:pPr>
              <w:spacing w:before="40" w:after="40"/>
            </w:pPr>
            <w:r>
              <w:rPr>
                <w:color w:val="1A1A1A"/>
                <w:sz w:val="18"/>
              </w:rPr>
              <w:t>Estrategia Aduanera</w:t>
            </w:r>
          </w:p>
        </w:tc>
        <w:tc>
          <w:tcPr>
            <w:tcW w:type="dxa" w:w="2266"/>
            <w:shd w:val="clear" w:color="auto" w:fill="EBF3FA"/>
          </w:tcPr>
          <w:p>
            <w:pPr>
              <w:spacing w:before="40" w:after="40"/>
            </w:pPr>
            <w:r>
              <w:rPr>
                <w:color w:val="1A1A1A"/>
                <w:sz w:val="18"/>
              </w:rPr>
              <w:t>estrategiaaduanera.mx/inteligencia-artificial-y-la-clasificacion-arancelaria/</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IA y clasificación</w:t>
            </w:r>
          </w:p>
        </w:tc>
      </w:tr>
      <w:tr>
        <w:tc>
          <w:tcPr>
            <w:tcW w:type="dxa" w:w="2266"/>
            <w:shd w:val="clear" w:color="auto" w:fill="FFFFFF"/>
          </w:tcPr>
          <w:p>
            <w:pPr>
              <w:spacing w:before="40" w:after="40"/>
            </w:pPr>
            <w:r>
              <w:rPr>
                <w:color w:val="1A1A1A"/>
                <w:sz w:val="18"/>
              </w:rPr>
              <w:t>Nuvocargo</w:t>
            </w:r>
          </w:p>
        </w:tc>
        <w:tc>
          <w:tcPr>
            <w:tcW w:type="dxa" w:w="2266"/>
            <w:shd w:val="clear" w:color="auto" w:fill="FFFFFF"/>
          </w:tcPr>
          <w:p>
            <w:pPr>
              <w:spacing w:before="40" w:after="40"/>
            </w:pPr>
            <w:r>
              <w:rPr>
                <w:color w:val="1A1A1A"/>
                <w:sz w:val="18"/>
              </w:rPr>
              <w:t>nuvocargo.com</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Plataforma AI freight US-MX</w:t>
            </w:r>
          </w:p>
        </w:tc>
      </w:tr>
      <w:tr>
        <w:tc>
          <w:tcPr>
            <w:tcW w:type="dxa" w:w="2266"/>
            <w:shd w:val="clear" w:color="auto" w:fill="EBF3FA"/>
          </w:tcPr>
          <w:p>
            <w:pPr>
              <w:spacing w:before="40" w:after="40"/>
            </w:pPr>
            <w:r>
              <w:rPr>
                <w:color w:val="1A1A1A"/>
                <w:sz w:val="18"/>
              </w:rPr>
              <w:t>Contrary Research Nuvocargo</w:t>
            </w:r>
          </w:p>
        </w:tc>
        <w:tc>
          <w:tcPr>
            <w:tcW w:type="dxa" w:w="2266"/>
            <w:shd w:val="clear" w:color="auto" w:fill="EBF3FA"/>
          </w:tcPr>
          <w:p>
            <w:pPr>
              <w:spacing w:before="40" w:after="40"/>
            </w:pPr>
            <w:r>
              <w:rPr>
                <w:color w:val="1A1A1A"/>
                <w:sz w:val="18"/>
              </w:rPr>
              <w:t>research.contrary.com/company/nuvocargo</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Funding rounds + business breakdown</w:t>
            </w:r>
          </w:p>
        </w:tc>
      </w:tr>
      <w:tr>
        <w:tc>
          <w:tcPr>
            <w:tcW w:type="dxa" w:w="2266"/>
            <w:shd w:val="clear" w:color="auto" w:fill="FFFFFF"/>
          </w:tcPr>
          <w:p>
            <w:pPr>
              <w:spacing w:before="40" w:after="40"/>
            </w:pPr>
            <w:r>
              <w:rPr>
                <w:color w:val="1A1A1A"/>
                <w:sz w:val="18"/>
              </w:rPr>
              <w:t>TechCrunch</w:t>
            </w:r>
          </w:p>
        </w:tc>
        <w:tc>
          <w:tcPr>
            <w:tcW w:type="dxa" w:w="2266"/>
            <w:shd w:val="clear" w:color="auto" w:fill="FFFFFF"/>
          </w:tcPr>
          <w:p>
            <w:pPr>
              <w:spacing w:before="40" w:after="40"/>
            </w:pPr>
            <w:r>
              <w:rPr>
                <w:color w:val="1A1A1A"/>
                <w:sz w:val="18"/>
              </w:rPr>
              <w:t>techcrunch.com/2021/12/10/nuvocargo-raises-20-5m-at-a-180m-valuation-to-bolster-trade-between-the-us-and-mexico/</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Funding history</w:t>
            </w:r>
          </w:p>
        </w:tc>
      </w:tr>
      <w:tr>
        <w:tc>
          <w:tcPr>
            <w:tcW w:type="dxa" w:w="2266"/>
            <w:shd w:val="clear" w:color="auto" w:fill="EBF3FA"/>
          </w:tcPr>
          <w:p>
            <w:pPr>
              <w:spacing w:before="40" w:after="40"/>
            </w:pPr>
            <w:r>
              <w:rPr>
                <w:color w:val="1A1A1A"/>
                <w:sz w:val="18"/>
              </w:rPr>
              <w:t>FreightWaves</w:t>
            </w:r>
          </w:p>
        </w:tc>
        <w:tc>
          <w:tcPr>
            <w:tcW w:type="dxa" w:w="2266"/>
            <w:shd w:val="clear" w:color="auto" w:fill="EBF3FA"/>
          </w:tcPr>
          <w:p>
            <w:pPr>
              <w:spacing w:before="40" w:after="40"/>
            </w:pPr>
            <w:r>
              <w:rPr>
                <w:color w:val="1A1A1A"/>
                <w:sz w:val="18"/>
              </w:rPr>
              <w:t>freightwaves.com/news/nuvocargo-raises-20-5m-to-boost-trade-between-us-and-mexico</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Cobertura Nuvocargo</w:t>
            </w:r>
          </w:p>
        </w:tc>
      </w:tr>
      <w:tr>
        <w:tc>
          <w:tcPr>
            <w:tcW w:type="dxa" w:w="2266"/>
            <w:shd w:val="clear" w:color="auto" w:fill="FFFFFF"/>
          </w:tcPr>
          <w:p>
            <w:pPr>
              <w:spacing w:before="40" w:after="40"/>
            </w:pPr>
            <w:r>
              <w:rPr>
                <w:color w:val="1A1A1A"/>
                <w:sz w:val="18"/>
              </w:rPr>
              <w:t>McKinsey (Logistics Disruptors)</w:t>
            </w:r>
          </w:p>
        </w:tc>
        <w:tc>
          <w:tcPr>
            <w:tcW w:type="dxa" w:w="2266"/>
            <w:shd w:val="clear" w:color="auto" w:fill="FFFFFF"/>
          </w:tcPr>
          <w:p>
            <w:pPr>
              <w:spacing w:before="40" w:after="40"/>
            </w:pPr>
            <w:r>
              <w:rPr>
                <w:color w:val="1A1A1A"/>
                <w:sz w:val="18"/>
              </w:rPr>
              <w:t>mckinsey.com/industries/logistics/our-insights/logistics-disruptors-a-shared-digital-platform-for-us-mexico-logistics</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Entrevista Nuvocargo founder</w:t>
            </w:r>
          </w:p>
        </w:tc>
      </w:tr>
      <w:tr>
        <w:tc>
          <w:tcPr>
            <w:tcW w:type="dxa" w:w="2266"/>
            <w:shd w:val="clear" w:color="auto" w:fill="EBF3FA"/>
          </w:tcPr>
          <w:p>
            <w:pPr>
              <w:spacing w:before="40" w:after="40"/>
            </w:pPr>
            <w:r>
              <w:rPr>
                <w:color w:val="1A1A1A"/>
                <w:sz w:val="18"/>
              </w:rPr>
              <w:t>Tetakawi Insights</w:t>
            </w:r>
          </w:p>
        </w:tc>
        <w:tc>
          <w:tcPr>
            <w:tcW w:type="dxa" w:w="2266"/>
            <w:shd w:val="clear" w:color="auto" w:fill="EBF3FA"/>
          </w:tcPr>
          <w:p>
            <w:pPr>
              <w:spacing w:before="40" w:after="40"/>
            </w:pPr>
            <w:r>
              <w:rPr>
                <w:color w:val="1A1A1A"/>
                <w:sz w:val="18"/>
              </w:rPr>
              <w:t>insights.tetakawi.com/mexico-tariffs-2026-what-manufacturers-actually-need-to-know</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Aranceles 2026 manufactura</w:t>
            </w:r>
          </w:p>
        </w:tc>
      </w:tr>
      <w:tr>
        <w:tc>
          <w:tcPr>
            <w:tcW w:type="dxa" w:w="2266"/>
            <w:shd w:val="clear" w:color="auto" w:fill="FFFFFF"/>
          </w:tcPr>
          <w:p>
            <w:pPr>
              <w:spacing w:before="40" w:after="40"/>
            </w:pPr>
            <w:r>
              <w:rPr>
                <w:color w:val="1A1A1A"/>
                <w:sz w:val="18"/>
              </w:rPr>
              <w:t>Crown XT</w:t>
            </w:r>
          </w:p>
        </w:tc>
        <w:tc>
          <w:tcPr>
            <w:tcW w:type="dxa" w:w="2266"/>
            <w:shd w:val="clear" w:color="auto" w:fill="FFFFFF"/>
          </w:tcPr>
          <w:p>
            <w:pPr>
              <w:spacing w:before="40" w:after="40"/>
            </w:pPr>
            <w:r>
              <w:rPr>
                <w:color w:val="1A1A1A"/>
                <w:sz w:val="18"/>
              </w:rPr>
              <w:t>crownxt.com/nearshoring-drayage-cross-border-logistics/</w:t>
            </w:r>
          </w:p>
        </w:tc>
        <w:tc>
          <w:tcPr>
            <w:tcW w:type="dxa" w:w="2266"/>
            <w:shd w:val="clear" w:color="auto" w:fill="FFFFFF"/>
          </w:tcPr>
          <w:p>
            <w:pPr>
              <w:spacing w:before="40" w:after="40"/>
            </w:pPr>
            <w:r>
              <w:rPr>
                <w:color w:val="1A1A1A"/>
                <w:sz w:val="18"/>
              </w:rPr>
              <w:t>2026-05-18</w:t>
            </w:r>
          </w:p>
        </w:tc>
        <w:tc>
          <w:tcPr>
            <w:tcW w:type="dxa" w:w="2266"/>
            <w:shd w:val="clear" w:color="auto" w:fill="FFFFFF"/>
          </w:tcPr>
          <w:p>
            <w:pPr>
              <w:spacing w:before="40" w:after="40"/>
            </w:pPr>
            <w:r>
              <w:rPr>
                <w:color w:val="1A1A1A"/>
                <w:sz w:val="18"/>
              </w:rPr>
              <w:t>Nearshoring + drayage</w:t>
            </w:r>
          </w:p>
        </w:tc>
      </w:tr>
      <w:tr>
        <w:tc>
          <w:tcPr>
            <w:tcW w:type="dxa" w:w="2266"/>
            <w:shd w:val="clear" w:color="auto" w:fill="EBF3FA"/>
          </w:tcPr>
          <w:p>
            <w:pPr>
              <w:spacing w:before="40" w:after="40"/>
            </w:pPr>
            <w:r>
              <w:rPr>
                <w:color w:val="1A1A1A"/>
                <w:sz w:val="18"/>
              </w:rPr>
              <w:t>Trixx company report</w:t>
            </w:r>
          </w:p>
        </w:tc>
        <w:tc>
          <w:tcPr>
            <w:tcW w:type="dxa" w:w="2266"/>
            <w:shd w:val="clear" w:color="auto" w:fill="EBF3FA"/>
          </w:tcPr>
          <w:p>
            <w:pPr>
              <w:spacing w:before="40" w:after="40"/>
            </w:pPr>
            <w:r>
              <w:rPr>
                <w:color w:val="1A1A1A"/>
                <w:sz w:val="18"/>
              </w:rPr>
              <w:t>pipeline/clients/trixx-logistics/01_company_analysis/runs/2026-05-18_mode-a/final_report.md</w:t>
            </w:r>
          </w:p>
        </w:tc>
        <w:tc>
          <w:tcPr>
            <w:tcW w:type="dxa" w:w="2266"/>
            <w:shd w:val="clear" w:color="auto" w:fill="EBF3FA"/>
          </w:tcPr>
          <w:p>
            <w:pPr>
              <w:spacing w:before="40" w:after="40"/>
            </w:pPr>
            <w:r>
              <w:rPr>
                <w:color w:val="1A1A1A"/>
                <w:sz w:val="18"/>
              </w:rPr>
              <w:t>2026-05-18</w:t>
            </w:r>
          </w:p>
        </w:tc>
        <w:tc>
          <w:tcPr>
            <w:tcW w:type="dxa" w:w="2266"/>
            <w:shd w:val="clear" w:color="auto" w:fill="EBF3FA"/>
          </w:tcPr>
          <w:p>
            <w:pPr>
              <w:spacing w:before="40" w:after="40"/>
            </w:pPr>
            <w:r>
              <w:rPr>
                <w:color w:val="1A1A1A"/>
                <w:sz w:val="18"/>
              </w:rPr>
              <w:t>Input específico de la compañía</w:t>
            </w:r>
          </w:p>
        </w:tc>
      </w:tr>
    </w:tbl>
    <w:p/>
    <w:p>
      <w:pPr>
        <w:spacing w:before="40" w:after="40"/>
      </w:pPr>
    </w:p>
    <w:p>
      <w:pPr>
        <w:spacing w:before="20" w:after="60"/>
      </w:pPr>
      <w:r>
        <w:rPr>
          <w:color w:val="1A1A1A"/>
          <w:sz w:val="20"/>
        </w:rPr>
        <w:t>Reporte generado por skill industry-analyst v1 — Nexostrat</w:t>
      </w:r>
    </w:p>
    <w:p>
      <w:pPr>
        <w:spacing w:before="20" w:after="60"/>
      </w:pPr>
      <w:r>
        <w:rPr>
          <w:color w:val="1A1A1A"/>
          <w:sz w:val="20"/>
        </w:rPr>
        <w:t>Para uso interno exclusivo. Reutilizable para todos los prospectos del sector logística cross-border MX-USA + agencia aduanal hasta ~diciembre 2026.</w:t>
      </w:r>
    </w:p>
    <w:p>
      <w:pPr>
        <w:spacing w:before="20" w:after="60"/>
      </w:pPr>
      <w:r>
        <w:rPr>
          <w:color w:val="1A1A1A"/>
          <w:sz w:val="20"/>
        </w:rPr>
        <w:t>Fecha: 2026-05-18</w:t>
      </w:r>
    </w:p>
    <w:sectPr w:rsidR="00FC693F" w:rsidRPr="0006063C" w:rsidSect="00034616">
      <w:headerReference w:type="default" r:id="rId10"/>
      <w:footerReference w:type="default" r:id="rId11"/>
      <w:pgSz w:w="12240" w:h="15840"/>
      <w:pgMar w:top="1417" w:right="1587" w:bottom="1417"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8"/>
      </w:rPr>
      <w:t xml:space="preserve">nexostrat.com  ·  Pág. </w:t>
    </w:r>
    <w:r>
      <w:rPr>
        <w:rFonts w:ascii="Calibri" w:hAnsi="Calibri"/>
        <w:color w:val="6B7280"/>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0EA5E9"/>
      </w:pBdr>
    </w:pPr>
    <w:r>
      <w:rPr>
        <w:rFonts w:ascii="Calibri" w:hAnsi="Calibri"/>
        <w:b/>
        <w:color w:val="0C1A2E"/>
        <w:sz w:val="22"/>
      </w:rPr>
      <w:t>NEXOSTRAT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