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720"/>
        <w:jc w:val="center"/>
      </w:pPr>
      <w:r>
        <w:drawing>
          <wp:inline xmlns:a="http://schemas.openxmlformats.org/drawingml/2006/main" xmlns:pic="http://schemas.openxmlformats.org/drawingml/2006/picture">
            <wp:extent cx="3474720" cy="768874"/>
            <wp:docPr id="1" name="Picture 1"/>
            <wp:cNvGraphicFramePr>
              <a:graphicFrameLocks noChangeAspect="1"/>
            </wp:cNvGraphicFramePr>
            <a:graphic>
              <a:graphicData uri="http://schemas.openxmlformats.org/drawingml/2006/picture">
                <pic:pic>
                  <pic:nvPicPr>
                    <pic:cNvPr id="0" name="Nexostrat_Logo_Fondo_Arctic_Transparente.png"/>
                    <pic:cNvPicPr/>
                  </pic:nvPicPr>
                  <pic:blipFill>
                    <a:blip r:embed="rId9"/>
                    <a:stretch>
                      <a:fillRect/>
                    </a:stretch>
                  </pic:blipFill>
                  <pic:spPr>
                    <a:xfrm>
                      <a:off x="0" y="0"/>
                      <a:ext cx="3474720" cy="768874"/>
                    </a:xfrm>
                    <a:prstGeom prst="rect"/>
                  </pic:spPr>
                </pic:pic>
              </a:graphicData>
            </a:graphic>
          </wp:inline>
        </w:drawing>
      </w:r>
    </w:p>
    <w:p>
      <w:pPr>
        <w:spacing w:before="240" w:after="120"/>
        <w:jc w:val="center"/>
      </w:pPr>
      <w:r>
        <w:rPr>
          <w:b/>
          <w:color w:val="0C1A2E"/>
          <w:sz w:val="56"/>
        </w:rPr>
        <w:t>Análisis de Industria: LOGÍSTICA CROSS-BORDER + AGENCIA ADUANAL</w:t>
      </w:r>
    </w:p>
    <w:p>
      <w:pPr>
        <w:spacing w:after="80"/>
        <w:jc w:val="center"/>
      </w:pPr>
      <w:r>
        <w:rPr>
          <w:color w:val="6B7280"/>
          <w:sz w:val="26"/>
        </w:rPr>
        <w:t>Colombia</w:t>
      </w:r>
    </w:p>
    <w:p>
      <w:pPr>
        <w:jc w:val="center"/>
      </w:pPr>
      <w:r>
        <w:rPr>
          <w:i/>
          <w:color w:val="6B7280"/>
          <w:sz w:val="20"/>
        </w:rPr>
        <w:t>Nexostrat — Uso Interno  ·  26 May 2026</w:t>
      </w:r>
    </w:p>
    <w:p>
      <w:r>
        <w:br w:type="page"/>
      </w:r>
    </w:p>
    <w:p>
      <w:pPr>
        <w:spacing w:before="20" w:after="60"/>
      </w:pPr>
      <w:r>
        <w:rPr>
          <w:b/>
          <w:color w:val="1A1A1A"/>
          <w:sz w:val="20"/>
        </w:rPr>
        <w:t>México · Mayo 2026</w:t>
      </w:r>
      <w:r>
        <w:rPr>
          <w:color w:val="1A1A1A"/>
          <w:sz w:val="20"/>
        </w:rPr>
        <w:t xml:space="preserve"> (refresh 2026-05-26)</w:t>
      </w:r>
    </w:p>
    <w:p>
      <w:pPr>
        <w:spacing w:before="20" w:after="60"/>
      </w:pPr>
      <w:r>
        <w:rPr>
          <w:b/>
          <w:color w:val="1A1A1A"/>
          <w:sz w:val="20"/>
        </w:rPr>
        <w:t>Preparado por:</w:t>
      </w:r>
      <w:r>
        <w:rPr>
          <w:color w:val="1A1A1A"/>
          <w:sz w:val="20"/>
        </w:rPr>
        <w:t xml:space="preserve"> Nexostrat — Uso Interno</w:t>
      </w:r>
    </w:p>
    <w:p>
      <w:pPr>
        <w:spacing w:before="20" w:after="60"/>
      </w:pPr>
      <w:r>
        <w:rPr>
          <w:b/>
          <w:color w:val="1A1A1A"/>
          <w:sz w:val="20"/>
        </w:rPr>
        <w:t>Reutilizable para prospectos del sector hasta:</w:t>
      </w:r>
      <w:r>
        <w:rPr>
          <w:color w:val="1A1A1A"/>
          <w:sz w:val="20"/>
        </w:rPr>
        <w:t xml:space="preserve"> Dic 2026 (revisión semestral recomendada por la rápida evolución regulatoria 2025-2026)</w:t>
      </w:r>
    </w:p>
    <w:p>
      <w:pPr>
        <w:spacing w:before="20" w:after="60"/>
      </w:pPr>
      <w:r>
        <w:rPr>
          <w:color w:val="1A1A1A"/>
          <w:sz w:val="20"/>
        </w:rPr>
        <w:t xml:space="preserve">&gt; </w:t>
      </w:r>
      <w:r>
        <w:rPr>
          <w:b/>
          <w:color w:val="1A1A1A"/>
          <w:sz w:val="20"/>
        </w:rPr>
        <w:t>Contexto del trigger:</w:t>
      </w:r>
      <w:r>
        <w:rPr>
          <w:color w:val="1A1A1A"/>
          <w:sz w:val="20"/>
        </w:rPr>
        <w:t xml:space="preserve"> Este reporte se generó originalmente 2026-05-18 a partir del análisis de la compañía Trix Importaciones Comerciales S. de R.L. de C.V. / Grupo Trixx / Trixx Logistics Corp (pipeline trixx-logistics, sede Tijuana B.C., +24 años, flota propia + 5 sedes MX-USA, USDOT 2045279). El sector se define en función de su nicho real: </w:t>
      </w:r>
      <w:r>
        <w:rPr>
          <w:b/>
          <w:color w:val="1A1A1A"/>
          <w:sz w:val="20"/>
        </w:rPr>
        <w:t>logística cross-border México-Estados Unidos con agencia aduanal mexicana + flota terrestre + warehousing multi-sede + import-as-a-service</w:t>
      </w:r>
      <w:r>
        <w:rPr>
          <w:color w:val="1A1A1A"/>
          <w:sz w:val="20"/>
        </w:rPr>
        <w:t>. Reutilizable para futuros prospectos en SCIAN 484 (autotransporte de carga) + 488510 (agencias aduanales) + 493 (almacenamiento) operando en el corredor MX-USA.</w:t>
      </w:r>
    </w:p>
    <w:p>
      <w:pPr>
        <w:spacing w:before="40" w:after="40"/>
      </w:pPr>
    </w:p>
    <w:p>
      <w:pPr>
        <w:spacing w:before="280" w:after="60"/>
        <w:pBdr>
          <w:bottom w:val="single" w:sz="4" w:space="1" w:color="0EA5E9"/>
        </w:pBdr>
      </w:pPr>
      <w:r>
        <w:rPr>
          <w:b/>
          <w:color w:val="0EA5E9"/>
          <w:sz w:val="28"/>
        </w:rPr>
        <w:t>⚡ Update 2026-05-26 — Validación sectorial vía evidencia Trixx</w:t>
      </w:r>
    </w:p>
    <w:p>
      <w:pPr>
        <w:spacing w:before="20" w:after="60"/>
      </w:pPr>
      <w:r>
        <w:rPr>
          <w:color w:val="1A1A1A"/>
          <w:sz w:val="20"/>
        </w:rPr>
        <w:t xml:space="preserve">&gt; </w:t>
      </w:r>
      <w:r>
        <w:rPr>
          <w:b/>
          <w:color w:val="1A1A1A"/>
          <w:sz w:val="20"/>
        </w:rPr>
        <w:t>Estado del reporte:</w:t>
      </w:r>
      <w:r>
        <w:rPr>
          <w:color w:val="1A1A1A"/>
          <w:sz w:val="20"/>
        </w:rPr>
        <w:t xml:space="preserve"> sustancia sectorial intacta (vigente — sin cambios materiales en 8 días). Esta nota refresca el contexto con evidencia directa de la conversación 2026-05-26 con Trixx Logistics que </w:t>
      </w:r>
      <w:r>
        <w:rPr>
          <w:b/>
          <w:color w:val="1A1A1A"/>
          <w:sz w:val="20"/>
        </w:rPr>
        <w:t>valida</w:t>
      </w:r>
      <w:r>
        <w:rPr>
          <w:color w:val="1A1A1A"/>
          <w:sz w:val="20"/>
        </w:rPr>
        <w:t xml:space="preserve"> patrones sectoriales descritos abajo. No modifica las conclusiones agregadas.</w:t>
      </w:r>
    </w:p>
    <w:p>
      <w:pPr>
        <w:spacing w:before="80" w:after="40"/>
      </w:pPr>
      <w:r>
        <w:rPr>
          <w:b/>
          <w:color w:val="0C1A2E"/>
          <w:sz w:val="20"/>
        </w:rPr>
        <w:t>Evidencia nueva que corrobora el reporte:</w:t>
      </w:r>
    </w:p>
    <w:p>
      <w:pPr>
        <w:pStyle w:val="ListNumber"/>
        <w:spacing w:before="0" w:after="40"/>
      </w:pPr>
      <w:r>
        <w:rPr>
          <w:b/>
          <w:color w:val="1A1A1A"/>
          <w:sz w:val="20"/>
        </w:rPr>
        <w:t>Capital chino entrando al corredor MX-USA — caso vivo confirmado.</w:t>
      </w:r>
      <w:r>
        <w:rPr>
          <w:color w:val="1A1A1A"/>
          <w:sz w:val="20"/>
        </w:rPr>
        <w:t xml:space="preserve"> Trixx Logistics acaba de recibir </w:t>
      </w:r>
      <w:r>
        <w:rPr>
          <w:b/>
          <w:color w:val="1A1A1A"/>
          <w:sz w:val="20"/>
        </w:rPr>
        <w:t>USD 1M+ de inversionistas chinos</w:t>
      </w:r>
      <w:r>
        <w:rPr>
          <w:color w:val="1A1A1A"/>
          <w:sz w:val="20"/>
        </w:rPr>
        <w:t xml:space="preserve"> para compra de 10 camiones (~80% expansión de flota: 12 → 22 trucks). Esto es </w:t>
      </w:r>
      <w:r>
        <w:rPr>
          <w:b/>
          <w:color w:val="1A1A1A"/>
          <w:sz w:val="20"/>
        </w:rPr>
        <w:t>evidencia directa</w:t>
      </w:r>
      <w:r>
        <w:rPr>
          <w:color w:val="1A1A1A"/>
          <w:sz w:val="20"/>
        </w:rPr>
        <w:t xml:space="preserve"> del patrón descrito en §3 (Tendencias) — flujos de capital internacional (China en particular) están alimentando expansión de capacidad logística cross-border en Tijuana, no solo migración manufacturera. La señal es macro, no idiosincrática: cualquier prospecto en este corredor con presencia ZH-CN puede estar viviendo el mismo flujo.</w:t>
      </w:r>
    </w:p>
    <w:p>
      <w:pPr>
        <w:pStyle w:val="ListNumber"/>
        <w:spacing w:before="0" w:after="40"/>
      </w:pPr>
      <w:r>
        <w:rPr>
          <w:b/>
          <w:color w:val="1A1A1A"/>
          <w:sz w:val="20"/>
        </w:rPr>
        <w:t>Madurez digital operativa interna confirmada como ≤2/5 en empresas legacy con 20+ años.</w:t>
      </w:r>
      <w:r>
        <w:rPr>
          <w:color w:val="1A1A1A"/>
          <w:sz w:val="20"/>
        </w:rPr>
        <w:t xml:space="preserve"> Andrea Chávez (Trixx) mostró </w:t>
      </w:r>
      <w:r>
        <w:rPr>
          <w:b/>
          <w:color w:val="1A1A1A"/>
          <w:sz w:val="20"/>
        </w:rPr>
        <w:t>en pantalla</w:t>
      </w:r>
      <w:r>
        <w:rPr>
          <w:color w:val="1A1A1A"/>
          <w:sz w:val="20"/>
        </w:rPr>
        <w:t xml:space="preserve"> un proceso crítico hecho a mano: Excel → PDF imprimible para CBP, </w:t>
      </w:r>
      <w:r>
        <w:rPr>
          <w:b/>
          <w:color w:val="1A1A1A"/>
          <w:sz w:val="20"/>
        </w:rPr>
        <w:t>exacto al segundo</w:t>
      </w:r>
      <w:r>
        <w:rPr>
          <w:color w:val="1A1A1A"/>
          <w:sz w:val="20"/>
        </w:rPr>
        <w:t xml:space="preserve">. Esto valida §9 (Madurez Digital del Sector) — la fachada digital (sitio bilingüe + WhatsApp) </w:t>
      </w:r>
      <w:r>
        <w:rPr>
          <w:b/>
          <w:color w:val="1A1A1A"/>
          <w:sz w:val="20"/>
        </w:rPr>
        <w:t>no refleja</w:t>
      </w:r>
      <w:r>
        <w:rPr>
          <w:color w:val="1A1A1A"/>
          <w:sz w:val="20"/>
        </w:rPr>
        <w:t xml:space="preserve"> el operativo interno. Para prospectos con perfil similar (PyME mediana, 20+ años, cross-border, sin LinkedIn corporativo), asumir madurez operativa interna en 1.5-2/5, no la fachada que muestran al cliente.</w:t>
      </w:r>
    </w:p>
    <w:p>
      <w:pPr>
        <w:pStyle w:val="ListNumber"/>
        <w:spacing w:before="0" w:after="40"/>
      </w:pPr>
      <w:r>
        <w:rPr>
          <w:b/>
          <w:color w:val="1A1A1A"/>
          <w:sz w:val="20"/>
        </w:rPr>
        <w:t>Presión de comparación cross-side de la frontera — caso vivo.</w:t>
      </w:r>
      <w:r>
        <w:rPr>
          <w:color w:val="1A1A1A"/>
          <w:sz w:val="20"/>
        </w:rPr>
        <w:t xml:space="preserve"> Andrea citó verbalmente que su esposo trabaja en una empresa de logística automatizada en </w:t>
      </w:r>
      <w:r>
        <w:rPr>
          <w:b/>
          <w:color w:val="1A1A1A"/>
          <w:sz w:val="20"/>
        </w:rPr>
        <w:t>San Diego</w:t>
      </w:r>
      <w:r>
        <w:rPr>
          <w:color w:val="1A1A1A"/>
          <w:sz w:val="20"/>
        </w:rPr>
        <w:t xml:space="preserve">, donde "casi todo es hands-off". Esto confirma §3 + §10: los </w:t>
      </w:r>
      <w:r>
        <w:rPr>
          <w:b/>
          <w:color w:val="1A1A1A"/>
          <w:sz w:val="20"/>
        </w:rPr>
        <w:t>empleados y familiares de PyMEs MX cross-border ven a diario el contraste con operaciones US-side automatizadas</w:t>
      </w:r>
      <w:r>
        <w:rPr>
          <w:color w:val="1A1A1A"/>
          <w:sz w:val="20"/>
        </w:rPr>
        <w:t xml:space="preserve">, creando presión interna por modernizar que precede a presión regulatoria o competitiva. </w:t>
      </w:r>
      <w:r>
        <w:rPr>
          <w:b/>
          <w:color w:val="1A1A1A"/>
          <w:sz w:val="20"/>
        </w:rPr>
        <w:t>Implicación táctica:</w:t>
      </w:r>
      <w:r>
        <w:rPr>
          <w:color w:val="1A1A1A"/>
          <w:sz w:val="20"/>
        </w:rPr>
        <w:t xml:space="preserve"> en prospectos del sector, sondear "¿conocen empresas del lado US que ya hayan automatizado X?" puede activar el evento despertador interno antes que el pitch externo.</w:t>
      </w:r>
    </w:p>
    <w:p>
      <w:pPr>
        <w:pStyle w:val="ListNumber"/>
        <w:spacing w:before="0" w:after="40"/>
      </w:pPr>
      <w:r>
        <w:rPr>
          <w:b/>
          <w:color w:val="1A1A1A"/>
          <w:sz w:val="20"/>
        </w:rPr>
        <w:t>Pain point sectorial #1 confirmado en vivo:</w:t>
      </w:r>
      <w:r>
        <w:rPr>
          <w:color w:val="1A1A1A"/>
          <w:sz w:val="20"/>
        </w:rPr>
        <w:t xml:space="preserve"> documentación CBP / cumplimiento fronterizo manual. El proceso Excel→PDF exacto-al-segundo no es idiosincrático a Trixx — es </w:t>
      </w:r>
      <w:r>
        <w:rPr>
          <w:b/>
          <w:color w:val="1A1A1A"/>
          <w:sz w:val="20"/>
        </w:rPr>
        <w:t>típico del sector</w:t>
      </w:r>
      <w:r>
        <w:rPr>
          <w:color w:val="1A1A1A"/>
          <w:sz w:val="20"/>
        </w:rPr>
        <w:t xml:space="preserve"> porque (a) los formatos CBP cambian con frecuencia (no hay export nativo desde ERPs mexicanos), (b) las PyMEs no tienen presupuesto para custom integration, (c) el alto-stakes obliga a un operador humano que valide. </w:t>
      </w:r>
      <w:r>
        <w:rPr>
          <w:b/>
          <w:color w:val="1A1A1A"/>
          <w:sz w:val="20"/>
        </w:rPr>
        <w:t>Quick win sectorial replicable</w:t>
      </w:r>
      <w:r>
        <w:rPr>
          <w:color w:val="1A1A1A"/>
          <w:sz w:val="20"/>
        </w:rPr>
        <w:t xml:space="preserve"> con margen amplio.</w:t>
      </w:r>
    </w:p>
    <w:p>
      <w:pPr>
        <w:spacing w:before="20" w:after="60"/>
      </w:pPr>
      <w:r>
        <w:rPr>
          <w:b/>
          <w:color w:val="1A1A1A"/>
          <w:sz w:val="20"/>
        </w:rPr>
        <w:t>Conclusión:</w:t>
      </w:r>
      <w:r>
        <w:rPr>
          <w:color w:val="1A1A1A"/>
          <w:sz w:val="20"/>
        </w:rPr>
        <w:t xml:space="preserve"> la sustancia sectorial del reporte 2026-05-18 sigue siendo válida y, si acaso, </w:t>
      </w:r>
      <w:r>
        <w:rPr>
          <w:b/>
          <w:color w:val="1A1A1A"/>
          <w:sz w:val="20"/>
        </w:rPr>
        <w:t>subestima</w:t>
      </w:r>
      <w:r>
        <w:rPr>
          <w:color w:val="1A1A1A"/>
          <w:sz w:val="20"/>
        </w:rPr>
        <w:t xml:space="preserve"> la presión de adopción tecnológica (con el caso Trixx el budget signal sectorial sube de MEDIO a MEDIO-ALTO para PyMEs con 20+ años + capital partner extranjero + multi-sede).</w:t>
      </w:r>
    </w:p>
    <w:p>
      <w:pPr>
        <w:spacing w:before="40" w:after="40"/>
      </w:pPr>
    </w:p>
    <w:p>
      <w:pPr>
        <w:spacing w:before="280" w:after="60"/>
        <w:pBdr>
          <w:bottom w:val="single" w:sz="4" w:space="1" w:color="0EA5E9"/>
        </w:pBdr>
      </w:pPr>
      <w:r>
        <w:rPr>
          <w:b/>
          <w:color w:val="0EA5E9"/>
          <w:sz w:val="28"/>
        </w:rPr>
        <w:t>1. CARACTERIZACIÓN DEL SECTOR</w:t>
      </w:r>
    </w:p>
    <w:p>
      <w:pPr>
        <w:spacing w:before="160" w:after="40"/>
      </w:pPr>
      <w:r>
        <w:rPr>
          <w:b/>
          <w:color w:val="6B7280"/>
          <w:sz w:val="22"/>
        </w:rPr>
        <w:t>Definición y alcance</w:t>
      </w:r>
    </w:p>
    <w:p>
      <w:pPr>
        <w:spacing w:before="20" w:after="60"/>
      </w:pPr>
      <w:r>
        <w:rPr>
          <w:color w:val="1A1A1A"/>
          <w:sz w:val="20"/>
        </w:rPr>
        <w:t xml:space="preserve">El sector cubre tres actividades económicas interconectadas, todas codificadas en el </w:t>
      </w:r>
      <w:r>
        <w:rPr>
          <w:b/>
          <w:color w:val="1A1A1A"/>
          <w:sz w:val="20"/>
        </w:rPr>
        <w:t>Sistema de Clasificación Industrial de América del Norte (SCIAN)</w:t>
      </w:r>
      <w:r>
        <w:rPr>
          <w:color w:val="1A1A1A"/>
          <w:sz w:val="20"/>
        </w:rPr>
        <w:t xml:space="preserve"> de INEGI:</w:t>
      </w:r>
    </w:p>
    <w:p>
      <w:pPr>
        <w:pStyle w:val="ListBullet"/>
        <w:spacing w:before="0" w:after="40"/>
      </w:pPr>
      <w:r>
        <w:rPr>
          <w:b/>
          <w:color w:val="1A1A1A"/>
          <w:sz w:val="20"/>
        </w:rPr>
        <w:t>SCIAN 484 — Autotransporte de carga.</w:t>
      </w:r>
      <w:r>
        <w:rPr>
          <w:color w:val="1A1A1A"/>
          <w:sz w:val="20"/>
        </w:rPr>
        <w:t xml:space="preserve"> Servicios de transporte terrestre de mercancías por carretera. Incluye carga general, especializada (peligrosa, frío, sobredimensionada), foránea y local.</w:t>
      </w:r>
    </w:p>
    <w:p>
      <w:pPr>
        <w:pStyle w:val="ListBullet"/>
        <w:spacing w:before="0" w:after="40"/>
      </w:pPr>
      <w:r>
        <w:rPr>
          <w:b/>
          <w:color w:val="1A1A1A"/>
          <w:sz w:val="20"/>
        </w:rPr>
        <w:t>SCIAN 488510 — Servicios de agencias aduanales.</w:t>
      </w:r>
      <w:r>
        <w:rPr>
          <w:color w:val="1A1A1A"/>
          <w:sz w:val="20"/>
        </w:rPr>
        <w:t xml:space="preserve"> Agentes y agencias autorizados por la SHCP/SAT para tramitar despachos aduaneros en nombre de importadores y exportadores.</w:t>
      </w:r>
    </w:p>
    <w:p>
      <w:pPr>
        <w:pStyle w:val="ListBullet"/>
        <w:spacing w:before="0" w:after="40"/>
      </w:pPr>
      <w:r>
        <w:rPr>
          <w:b/>
          <w:color w:val="1A1A1A"/>
          <w:sz w:val="20"/>
        </w:rPr>
        <w:t>SCIAN 493 — Servicios de almacenamiento.</w:t>
      </w:r>
      <w:r>
        <w:rPr>
          <w:color w:val="1A1A1A"/>
          <w:sz w:val="20"/>
        </w:rPr>
        <w:t xml:space="preserve"> Almacenes generales, recintos fiscalizados, depósitos de mercancía en tránsito.</w:t>
      </w:r>
    </w:p>
    <w:p>
      <w:pPr>
        <w:spacing w:before="20" w:after="60"/>
      </w:pPr>
      <w:r>
        <w:rPr>
          <w:color w:val="1A1A1A"/>
          <w:sz w:val="20"/>
        </w:rPr>
        <w:t xml:space="preserve">&gt; 🔍 </w:t>
      </w:r>
      <w:r>
        <w:rPr>
          <w:b/>
          <w:color w:val="1A1A1A"/>
          <w:sz w:val="20"/>
        </w:rPr>
        <w:t>Análisis:</w:t>
      </w:r>
      <w:r>
        <w:rPr>
          <w:color w:val="1A1A1A"/>
          <w:sz w:val="20"/>
        </w:rPr>
        <w:t xml:space="preserve"> Una empresa como Trixx opera simultáneamente en los tres SCIAN — y eso NO es típico. La mayoría de empresas del sector se especializa en uno: o son flota pura (484), o son agente aduanal puro (488510), o son operador de almacén puro (493). La integración vertical es defensible competitivamente pero también compleja operacionalmente.</w:t>
      </w:r>
    </w:p>
    <w:p>
      <w:pPr>
        <w:spacing w:before="20" w:after="60"/>
      </w:pPr>
      <w:r>
        <w:rPr>
          <w:color w:val="1A1A1A"/>
          <w:sz w:val="20"/>
        </w:rPr>
        <w:t>Se EXCLUYE de este análisis: transporte aéreo (SCIAN 481), ferroviario (SCIAN 482), marítimo (SCIAN 483) y por ductos (SCIAN 486). Aunque empresas como Trixx ofrecen freight forwarding multimodal, su core operativo y su ventaja competitiva está en el modo terrestre cross-border + customs.</w:t>
      </w:r>
    </w:p>
    <w:p>
      <w:pPr>
        <w:spacing w:before="160" w:after="40"/>
      </w:pPr>
      <w:r>
        <w:rPr>
          <w:b/>
          <w:color w:val="6B7280"/>
          <w:sz w:val="22"/>
        </w:rPr>
        <w:t>Subsectores principales relevantes a este nicho</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C1A2E"/>
          </w:tcPr>
          <w:p>
            <w:pPr>
              <w:spacing w:before="40" w:after="40"/>
            </w:pPr>
            <w:r>
              <w:rPr>
                <w:b/>
                <w:color w:val="FFFFFF"/>
                <w:sz w:val="18"/>
              </w:rPr>
              <w:t>Subsector</w:t>
            </w:r>
          </w:p>
        </w:tc>
        <w:tc>
          <w:tcPr>
            <w:tcW w:type="dxa" w:w="3022"/>
            <w:shd w:val="clear" w:color="auto" w:fill="0C1A2E"/>
          </w:tcPr>
          <w:p>
            <w:pPr>
              <w:spacing w:before="40" w:after="40"/>
            </w:pPr>
            <w:r>
              <w:rPr>
                <w:b/>
                <w:color w:val="FFFFFF"/>
                <w:sz w:val="18"/>
              </w:rPr>
              <w:t>Descripción</w:t>
            </w:r>
          </w:p>
        </w:tc>
        <w:tc>
          <w:tcPr>
            <w:tcW w:type="dxa" w:w="3022"/>
            <w:shd w:val="clear" w:color="auto" w:fill="0C1A2E"/>
          </w:tcPr>
          <w:p>
            <w:pPr>
              <w:spacing w:before="40" w:after="40"/>
            </w:pPr>
            <w:r>
              <w:rPr>
                <w:b/>
                <w:color w:val="FFFFFF"/>
                <w:sz w:val="18"/>
              </w:rPr>
              <w:t>Tamaño relativo en el cluster</w:t>
            </w:r>
          </w:p>
        </w:tc>
      </w:tr>
      <w:tr>
        <w:tc>
          <w:tcPr>
            <w:tcW w:type="dxa" w:w="3022"/>
            <w:shd w:val="clear" w:color="auto" w:fill="FFFFFF"/>
          </w:tcPr>
          <w:p>
            <w:pPr>
              <w:spacing w:before="40" w:after="40"/>
            </w:pPr>
            <w:r>
              <w:rPr>
                <w:color w:val="1A1A1A"/>
                <w:sz w:val="18"/>
              </w:rPr>
              <w:t>Autotransporte de carga general</w:t>
            </w:r>
          </w:p>
        </w:tc>
        <w:tc>
          <w:tcPr>
            <w:tcW w:type="dxa" w:w="3022"/>
            <w:shd w:val="clear" w:color="auto" w:fill="FFFFFF"/>
          </w:tcPr>
          <w:p>
            <w:pPr>
              <w:spacing w:before="40" w:after="40"/>
            </w:pPr>
            <w:r>
              <w:rPr>
                <w:color w:val="1A1A1A"/>
                <w:sz w:val="18"/>
              </w:rPr>
              <w:t>Carga consolidada, LTL/FTL, distribución</w:t>
            </w:r>
          </w:p>
        </w:tc>
        <w:tc>
          <w:tcPr>
            <w:tcW w:type="dxa" w:w="3022"/>
            <w:shd w:val="clear" w:color="auto" w:fill="FFFFFF"/>
          </w:tcPr>
          <w:p>
            <w:pPr>
              <w:spacing w:before="40" w:after="40"/>
            </w:pPr>
            <w:r>
              <w:rPr>
                <w:color w:val="1A1A1A"/>
                <w:sz w:val="18"/>
              </w:rPr>
              <w:t>Más grande (~50% del PIB de transporte de carga)</w:t>
            </w:r>
          </w:p>
        </w:tc>
      </w:tr>
      <w:tr>
        <w:tc>
          <w:tcPr>
            <w:tcW w:type="dxa" w:w="3022"/>
            <w:shd w:val="clear" w:color="auto" w:fill="EBF3FA"/>
          </w:tcPr>
          <w:p>
            <w:pPr>
              <w:spacing w:before="40" w:after="40"/>
            </w:pPr>
            <w:r>
              <w:rPr>
                <w:color w:val="1A1A1A"/>
                <w:sz w:val="18"/>
              </w:rPr>
              <w:t>Autotransporte especializado</w:t>
            </w:r>
          </w:p>
        </w:tc>
        <w:tc>
          <w:tcPr>
            <w:tcW w:type="dxa" w:w="3022"/>
            <w:shd w:val="clear" w:color="auto" w:fill="EBF3FA"/>
          </w:tcPr>
          <w:p>
            <w:pPr>
              <w:spacing w:before="40" w:after="40"/>
            </w:pPr>
            <w:r>
              <w:rPr>
                <w:color w:val="1A1A1A"/>
                <w:sz w:val="18"/>
              </w:rPr>
              <w:t>Peligrosa, refrigerada, sobredimensionada, automóviles</w:t>
            </w:r>
          </w:p>
        </w:tc>
        <w:tc>
          <w:tcPr>
            <w:tcW w:type="dxa" w:w="3022"/>
            <w:shd w:val="clear" w:color="auto" w:fill="EBF3FA"/>
          </w:tcPr>
          <w:p>
            <w:pPr>
              <w:spacing w:before="40" w:after="40"/>
            </w:pPr>
            <w:r>
              <w:rPr>
                <w:color w:val="1A1A1A"/>
                <w:sz w:val="18"/>
              </w:rPr>
              <w:t>Crecimiento más alto en 2024 (+38.8% YoY)</w:t>
            </w:r>
          </w:p>
        </w:tc>
      </w:tr>
      <w:tr>
        <w:tc>
          <w:tcPr>
            <w:tcW w:type="dxa" w:w="3022"/>
            <w:shd w:val="clear" w:color="auto" w:fill="FFFFFF"/>
          </w:tcPr>
          <w:p>
            <w:pPr>
              <w:spacing w:before="40" w:after="40"/>
            </w:pPr>
            <w:r>
              <w:rPr>
                <w:color w:val="1A1A1A"/>
                <w:sz w:val="18"/>
              </w:rPr>
              <w:t>Agencias aduanales fronterizas</w:t>
            </w:r>
          </w:p>
        </w:tc>
        <w:tc>
          <w:tcPr>
            <w:tcW w:type="dxa" w:w="3022"/>
            <w:shd w:val="clear" w:color="auto" w:fill="FFFFFF"/>
          </w:tcPr>
          <w:p>
            <w:pPr>
              <w:spacing w:before="40" w:after="40"/>
            </w:pPr>
            <w:r>
              <w:rPr>
                <w:color w:val="1A1A1A"/>
                <w:sz w:val="18"/>
              </w:rPr>
              <w:t>Agencias con presencia física en aduanas terrestres (Tijuana, Ciudad Juárez, Nuevo Laredo, Mexicali, Reynosa)</w:t>
            </w:r>
          </w:p>
        </w:tc>
        <w:tc>
          <w:tcPr>
            <w:tcW w:type="dxa" w:w="3022"/>
            <w:shd w:val="clear" w:color="auto" w:fill="FFFFFF"/>
          </w:tcPr>
          <w:p>
            <w:pPr>
              <w:spacing w:before="40" w:after="40"/>
            </w:pPr>
            <w:r>
              <w:rPr>
                <w:color w:val="1A1A1A"/>
                <w:sz w:val="18"/>
              </w:rPr>
              <w:t>Concentrado en frontera norte; alto valor por operación</w:t>
            </w:r>
          </w:p>
        </w:tc>
      </w:tr>
      <w:tr>
        <w:tc>
          <w:tcPr>
            <w:tcW w:type="dxa" w:w="3022"/>
            <w:shd w:val="clear" w:color="auto" w:fill="EBF3FA"/>
          </w:tcPr>
          <w:p>
            <w:pPr>
              <w:spacing w:before="40" w:after="40"/>
            </w:pPr>
            <w:r>
              <w:rPr>
                <w:color w:val="1A1A1A"/>
                <w:sz w:val="18"/>
              </w:rPr>
              <w:t>Almacenamiento fiscal / recintos</w:t>
            </w:r>
          </w:p>
        </w:tc>
        <w:tc>
          <w:tcPr>
            <w:tcW w:type="dxa" w:w="3022"/>
            <w:shd w:val="clear" w:color="auto" w:fill="EBF3FA"/>
          </w:tcPr>
          <w:p>
            <w:pPr>
              <w:spacing w:before="40" w:after="40"/>
            </w:pPr>
            <w:r>
              <w:rPr>
                <w:color w:val="1A1A1A"/>
                <w:sz w:val="18"/>
              </w:rPr>
              <w:t>Depósitos previos al despacho aduanero</w:t>
            </w:r>
          </w:p>
        </w:tc>
        <w:tc>
          <w:tcPr>
            <w:tcW w:type="dxa" w:w="3022"/>
            <w:shd w:val="clear" w:color="auto" w:fill="EBF3FA"/>
          </w:tcPr>
          <w:p>
            <w:pPr>
              <w:spacing w:before="40" w:after="40"/>
            </w:pPr>
            <w:r>
              <w:rPr>
                <w:color w:val="1A1A1A"/>
                <w:sz w:val="18"/>
              </w:rPr>
              <w:t>Crítico para flujos China-MX y nearshoring inverso</w:t>
            </w:r>
          </w:p>
        </w:tc>
      </w:tr>
      <w:tr>
        <w:tc>
          <w:tcPr>
            <w:tcW w:type="dxa" w:w="3022"/>
            <w:shd w:val="clear" w:color="auto" w:fill="FFFFFF"/>
          </w:tcPr>
          <w:p>
            <w:pPr>
              <w:spacing w:before="40" w:after="40"/>
            </w:pPr>
            <w:r>
              <w:rPr>
                <w:color w:val="1A1A1A"/>
                <w:sz w:val="18"/>
              </w:rPr>
              <w:t>Cross-border drayage</w:t>
            </w:r>
          </w:p>
        </w:tc>
        <w:tc>
          <w:tcPr>
            <w:tcW w:type="dxa" w:w="3022"/>
            <w:shd w:val="clear" w:color="auto" w:fill="FFFFFF"/>
          </w:tcPr>
          <w:p>
            <w:pPr>
              <w:spacing w:before="40" w:after="40"/>
            </w:pPr>
            <w:r>
              <w:rPr>
                <w:color w:val="1A1A1A"/>
                <w:sz w:val="18"/>
              </w:rPr>
              <w:t>Trasiego corto entre lado mexicano y estadounidense de la frontera</w:t>
            </w:r>
          </w:p>
        </w:tc>
        <w:tc>
          <w:tcPr>
            <w:tcW w:type="dxa" w:w="3022"/>
            <w:shd w:val="clear" w:color="auto" w:fill="FFFFFF"/>
          </w:tcPr>
          <w:p>
            <w:pPr>
              <w:spacing w:before="40" w:after="40"/>
            </w:pPr>
            <w:r>
              <w:rPr>
                <w:color w:val="1A1A1A"/>
                <w:sz w:val="18"/>
              </w:rPr>
              <w:t>Especializado, alta densidad operacional</w:t>
            </w:r>
          </w:p>
        </w:tc>
      </w:tr>
      <w:tr>
        <w:tc>
          <w:tcPr>
            <w:tcW w:type="dxa" w:w="3022"/>
            <w:shd w:val="clear" w:color="auto" w:fill="EBF3FA"/>
          </w:tcPr>
          <w:p>
            <w:pPr>
              <w:spacing w:before="40" w:after="40"/>
            </w:pPr>
            <w:r>
              <w:rPr>
                <w:color w:val="1A1A1A"/>
                <w:sz w:val="18"/>
              </w:rPr>
              <w:t>Last-mile B2C cross-border</w:t>
            </w:r>
          </w:p>
        </w:tc>
        <w:tc>
          <w:tcPr>
            <w:tcW w:type="dxa" w:w="3022"/>
            <w:shd w:val="clear" w:color="auto" w:fill="EBF3FA"/>
          </w:tcPr>
          <w:p>
            <w:pPr>
              <w:spacing w:before="40" w:after="40"/>
            </w:pPr>
            <w:r>
              <w:rPr>
                <w:color w:val="1A1A1A"/>
                <w:sz w:val="18"/>
              </w:rPr>
              <w:t>Entrega final a consumidor MX después del despacho</w:t>
            </w:r>
          </w:p>
        </w:tc>
        <w:tc>
          <w:tcPr>
            <w:tcW w:type="dxa" w:w="3022"/>
            <w:shd w:val="clear" w:color="auto" w:fill="EBF3FA"/>
          </w:tcPr>
          <w:p>
            <w:pPr>
              <w:spacing w:before="40" w:after="40"/>
            </w:pPr>
            <w:r>
              <w:rPr>
                <w:color w:val="1A1A1A"/>
                <w:sz w:val="18"/>
              </w:rPr>
              <w:t>Crecimiento acelerado por e-commerce</w:t>
            </w:r>
          </w:p>
        </w:tc>
      </w:tr>
    </w:tbl>
    <w:p/>
    <w:p>
      <w:pPr>
        <w:spacing w:before="160" w:after="40"/>
      </w:pPr>
      <w:r>
        <w:rPr>
          <w:b/>
          <w:color w:val="6B7280"/>
          <w:sz w:val="22"/>
        </w:rPr>
        <w:t>Tamaño del mercado en México</w:t>
      </w:r>
    </w:p>
    <w:p>
      <w:pPr>
        <w:pStyle w:val="ListBullet"/>
        <w:spacing w:before="0" w:after="40"/>
      </w:pPr>
      <w:r>
        <w:rPr>
          <w:color w:val="1A1A1A"/>
          <w:sz w:val="20"/>
        </w:rPr>
        <w:t xml:space="preserve">✅ </w:t>
      </w:r>
      <w:r>
        <w:rPr>
          <w:b/>
          <w:color w:val="1A1A1A"/>
          <w:sz w:val="20"/>
        </w:rPr>
        <w:t>PIB sectorial / participación nacional:</w:t>
      </w:r>
      <w:r>
        <w:rPr>
          <w:color w:val="1A1A1A"/>
          <w:sz w:val="20"/>
        </w:rPr>
        <w:t xml:space="preserve"> El autotransporte de carga aportó </w:t>
      </w:r>
      <w:r>
        <w:rPr>
          <w:b/>
          <w:color w:val="1A1A1A"/>
          <w:sz w:val="20"/>
        </w:rPr>
        <w:t>3.8% del PIB nacional</w:t>
      </w:r>
      <w:r>
        <w:rPr>
          <w:color w:val="1A1A1A"/>
          <w:sz w:val="20"/>
        </w:rPr>
        <w:t xml:space="preserve"> en 2025, equivalente al </w:t>
      </w:r>
      <w:r>
        <w:rPr>
          <w:b/>
          <w:color w:val="1A1A1A"/>
          <w:sz w:val="20"/>
        </w:rPr>
        <w:t>50.3% del PIB del sector transportes</w:t>
      </w:r>
      <w:r>
        <w:rPr>
          <w:color w:val="1A1A1A"/>
          <w:sz w:val="20"/>
        </w:rPr>
        <w:t>. Fuente: INEGI (Encuesta Anual de Transportes 2024 + reportes trimestrales del Sistema de Cuentas Nacionales).</w:t>
      </w:r>
    </w:p>
    <w:p>
      <w:pPr>
        <w:pStyle w:val="ListBullet"/>
        <w:spacing w:before="0" w:after="40"/>
      </w:pPr>
      <w:r>
        <w:rPr>
          <w:color w:val="1A1A1A"/>
          <w:sz w:val="20"/>
        </w:rPr>
        <w:t xml:space="preserve">✅ </w:t>
      </w:r>
      <w:r>
        <w:rPr>
          <w:b/>
          <w:color w:val="1A1A1A"/>
          <w:sz w:val="20"/>
        </w:rPr>
        <w:t>Valor del mercado de carga y logística:</w:t>
      </w:r>
      <w:r>
        <w:rPr>
          <w:color w:val="1A1A1A"/>
          <w:sz w:val="20"/>
        </w:rPr>
        <w:t xml:space="preserve"> Se estima en </w:t>
      </w:r>
      <w:r>
        <w:rPr>
          <w:b/>
          <w:color w:val="1A1A1A"/>
          <w:sz w:val="20"/>
        </w:rPr>
        <w:t>USD 92 mil millones en 2025</w:t>
      </w:r>
      <w:r>
        <w:rPr>
          <w:color w:val="1A1A1A"/>
          <w:sz w:val="20"/>
        </w:rPr>
        <w:t xml:space="preserve">, con proyección de </w:t>
      </w:r>
      <w:r>
        <w:rPr>
          <w:b/>
          <w:color w:val="1A1A1A"/>
          <w:sz w:val="20"/>
        </w:rPr>
        <w:t>USD 141 mil millones en 2034</w:t>
      </w:r>
      <w:r>
        <w:rPr>
          <w:color w:val="1A1A1A"/>
          <w:sz w:val="20"/>
        </w:rPr>
        <w:t xml:space="preserve"> (CAGR 4.41%). Fuente: agregados de la industria, reportes de mercado citados en thelogisticsworld.com y revistatyt.com.</w:t>
      </w:r>
    </w:p>
    <w:p>
      <w:pPr>
        <w:pStyle w:val="ListBullet"/>
        <w:spacing w:before="0" w:after="40"/>
      </w:pPr>
      <w:r>
        <w:rPr>
          <w:color w:val="1A1A1A"/>
          <w:sz w:val="20"/>
        </w:rPr>
        <w:t xml:space="preserve">✅ </w:t>
      </w:r>
      <w:r>
        <w:rPr>
          <w:b/>
          <w:color w:val="1A1A1A"/>
          <w:sz w:val="20"/>
        </w:rPr>
        <w:t>Volumen movilizado:</w:t>
      </w:r>
      <w:r>
        <w:rPr>
          <w:color w:val="1A1A1A"/>
          <w:sz w:val="20"/>
        </w:rPr>
        <w:t xml:space="preserve"> 430.3 millones de toneladas movilizadas entre octubre 2024 y junio 2025 (autotransporte de carga, INEGI).</w:t>
      </w:r>
    </w:p>
    <w:p>
      <w:pPr>
        <w:pStyle w:val="ListBullet"/>
        <w:spacing w:before="0" w:after="40"/>
      </w:pPr>
      <w:r>
        <w:rPr>
          <w:color w:val="1A1A1A"/>
          <w:sz w:val="20"/>
        </w:rPr>
        <w:t xml:space="preserve">✅ </w:t>
      </w:r>
      <w:r>
        <w:rPr>
          <w:b/>
          <w:color w:val="1A1A1A"/>
          <w:sz w:val="20"/>
        </w:rPr>
        <w:t>Número de empresas activas:</w:t>
      </w:r>
      <w:r>
        <w:rPr>
          <w:color w:val="1A1A1A"/>
          <w:sz w:val="20"/>
        </w:rPr>
        <w:t xml:space="preserve"> 219,464 permisionarios al cierre del primer semestre 2025, +4.6% vs jun 2024. Fuente: SCT/SICT vía CANACAR.</w:t>
      </w:r>
    </w:p>
    <w:p>
      <w:pPr>
        <w:pStyle w:val="ListBullet"/>
        <w:spacing w:before="0" w:after="40"/>
      </w:pPr>
      <w:r>
        <w:rPr>
          <w:color w:val="1A1A1A"/>
          <w:sz w:val="20"/>
        </w:rPr>
        <w:t xml:space="preserve">⚠️ </w:t>
      </w:r>
      <w:r>
        <w:rPr>
          <w:b/>
          <w:color w:val="1A1A1A"/>
          <w:sz w:val="20"/>
        </w:rPr>
        <w:t>Empleo directo:</w:t>
      </w:r>
      <w:r>
        <w:rPr>
          <w:color w:val="1A1A1A"/>
          <w:sz w:val="20"/>
        </w:rPr>
        <w:t xml:space="preserve"> Estimado en ~2 millones de personas (entre operadores, administrativos, logísticos) — cifra aproximada, no hay reporte oficial centralizado.</w:t>
      </w:r>
    </w:p>
    <w:p>
      <w:pPr>
        <w:pStyle w:val="ListBullet"/>
        <w:spacing w:before="0" w:after="40"/>
      </w:pPr>
      <w:r>
        <w:rPr>
          <w:color w:val="1A1A1A"/>
          <w:sz w:val="20"/>
        </w:rPr>
        <w:t xml:space="preserve">✅ </w:t>
      </w:r>
      <w:r>
        <w:rPr>
          <w:b/>
          <w:color w:val="1A1A1A"/>
          <w:sz w:val="20"/>
        </w:rPr>
        <w:t>Tasa de crecimiento reciente:</w:t>
      </w:r>
      <w:r>
        <w:rPr>
          <w:color w:val="1A1A1A"/>
          <w:sz w:val="20"/>
        </w:rPr>
        <w:t xml:space="preserve"> PIB sectorial creció </w:t>
      </w:r>
      <w:r>
        <w:rPr>
          <w:b/>
          <w:color w:val="1A1A1A"/>
          <w:sz w:val="20"/>
        </w:rPr>
        <w:t>+1.2% en 2024</w:t>
      </w:r>
      <w:r>
        <w:rPr>
          <w:color w:val="1A1A1A"/>
          <w:sz w:val="20"/>
        </w:rPr>
        <w:t xml:space="preserve"> (el menor ritmo en 4 años) y se estancó en </w:t>
      </w:r>
      <w:r>
        <w:rPr>
          <w:b/>
          <w:color w:val="1A1A1A"/>
          <w:sz w:val="20"/>
        </w:rPr>
        <w:t>+0.02% en 2025</w:t>
      </w:r>
      <w:r>
        <w:rPr>
          <w:color w:val="1A1A1A"/>
          <w:sz w:val="20"/>
        </w:rPr>
        <w:t>. Fuente: INEGI vía Revista TyT.</w:t>
      </w:r>
    </w:p>
    <w:p>
      <w:pPr>
        <w:pStyle w:val="ListBullet"/>
        <w:spacing w:before="0" w:after="40"/>
      </w:pPr>
      <w:r>
        <w:rPr>
          <w:color w:val="1A1A1A"/>
          <w:sz w:val="20"/>
        </w:rPr>
        <w:t xml:space="preserve">⚠️ </w:t>
      </w:r>
      <w:r>
        <w:rPr>
          <w:b/>
          <w:color w:val="1A1A1A"/>
          <w:sz w:val="20"/>
        </w:rPr>
        <w:t>Proyección 2024-2026 según CANACAR:</w:t>
      </w:r>
      <w:r>
        <w:rPr>
          <w:color w:val="1A1A1A"/>
          <w:sz w:val="20"/>
        </w:rPr>
        <w:t xml:space="preserve"> crecimiento esperado de hasta </w:t>
      </w:r>
      <w:r>
        <w:rPr>
          <w:b/>
          <w:color w:val="1A1A1A"/>
          <w:sz w:val="20"/>
        </w:rPr>
        <w:t>+20% acumulado</w:t>
      </w:r>
      <w:r>
        <w:rPr>
          <w:color w:val="1A1A1A"/>
          <w:sz w:val="20"/>
        </w:rPr>
        <w:t xml:space="preserve"> por nearshoring.</w:t>
      </w:r>
    </w:p>
    <w:p>
      <w:pPr>
        <w:spacing w:before="160" w:after="40"/>
      </w:pPr>
      <w:r>
        <w:rPr>
          <w:b/>
          <w:color w:val="6B7280"/>
          <w:sz w:val="22"/>
        </w:rPr>
        <w:t>Cifras clave adicionales específicas a Tijuana / frontera norte</w:t>
      </w:r>
    </w:p>
    <w:p>
      <w:pPr>
        <w:pStyle w:val="ListBullet"/>
        <w:spacing w:before="0" w:after="40"/>
      </w:pPr>
      <w:r>
        <w:rPr>
          <w:color w:val="1A1A1A"/>
          <w:sz w:val="20"/>
        </w:rPr>
        <w:t xml:space="preserve">✅ Importaciones México desde China (Baja California como destino): </w:t>
      </w:r>
      <w:r>
        <w:rPr>
          <w:b/>
          <w:color w:val="1A1A1A"/>
          <w:sz w:val="20"/>
        </w:rPr>
        <w:t>USD 13,144 millones en 2024</w:t>
      </w:r>
      <w:r>
        <w:rPr>
          <w:color w:val="1A1A1A"/>
          <w:sz w:val="20"/>
        </w:rPr>
        <w:t>. Fuente: Data México / Secretaría de Economía.</w:t>
      </w:r>
    </w:p>
    <w:p>
      <w:pPr>
        <w:pStyle w:val="ListBullet"/>
        <w:spacing w:before="0" w:after="40"/>
      </w:pPr>
      <w:r>
        <w:rPr>
          <w:color w:val="1A1A1A"/>
          <w:sz w:val="20"/>
        </w:rPr>
        <w:t xml:space="preserve">✅ Tijuana: </w:t>
      </w:r>
      <w:r>
        <w:rPr>
          <w:b/>
          <w:color w:val="1A1A1A"/>
          <w:sz w:val="20"/>
        </w:rPr>
        <w:t>+30 empresas relocalizadas en últimos 18 meses</w:t>
      </w:r>
      <w:r>
        <w:rPr>
          <w:color w:val="1A1A1A"/>
          <w:sz w:val="20"/>
        </w:rPr>
        <w:t xml:space="preserve"> (al cierre 2025). Fuente: thelogisticsworld.com.</w:t>
      </w:r>
    </w:p>
    <w:p>
      <w:pPr>
        <w:pStyle w:val="ListBullet"/>
        <w:spacing w:before="0" w:after="40"/>
      </w:pPr>
      <w:r>
        <w:rPr>
          <w:color w:val="1A1A1A"/>
          <w:sz w:val="20"/>
        </w:rPr>
        <w:t xml:space="preserve">✅ </w:t>
      </w:r>
      <w:r>
        <w:rPr>
          <w:b/>
          <w:color w:val="1A1A1A"/>
          <w:sz w:val="20"/>
        </w:rPr>
        <w:t>+78 millones de pies cuadrados</w:t>
      </w:r>
      <w:r>
        <w:rPr>
          <w:color w:val="1A1A1A"/>
          <w:sz w:val="20"/>
        </w:rPr>
        <w:t xml:space="preserve"> de infraestructura industrial en proceso (BC + Tijuana + Mexicali).</w:t>
      </w:r>
    </w:p>
    <w:p>
      <w:pPr>
        <w:pStyle w:val="ListBullet"/>
        <w:spacing w:before="0" w:after="40"/>
      </w:pPr>
      <w:r>
        <w:rPr>
          <w:color w:val="1A1A1A"/>
          <w:sz w:val="20"/>
        </w:rPr>
        <w:t xml:space="preserve">✅ Cruce Nuevo Laredo manejó </w:t>
      </w:r>
      <w:r>
        <w:rPr>
          <w:b/>
          <w:color w:val="1A1A1A"/>
          <w:sz w:val="20"/>
        </w:rPr>
        <w:t>USD 339 mil millones</w:t>
      </w:r>
      <w:r>
        <w:rPr>
          <w:color w:val="1A1A1A"/>
          <w:sz w:val="20"/>
        </w:rPr>
        <w:t xml:space="preserve"> en 2024 (referencia del crossing más grande del país; Tijuana es segunda plaza).</w:t>
      </w:r>
    </w:p>
    <w:p>
      <w:pPr>
        <w:pStyle w:val="ListBullet"/>
        <w:spacing w:before="0" w:after="40"/>
      </w:pPr>
      <w:r>
        <w:rPr>
          <w:color w:val="1A1A1A"/>
          <w:sz w:val="20"/>
        </w:rPr>
        <w:t xml:space="preserve">⚠️ Carga cross-border MX-US creció </w:t>
      </w:r>
      <w:r>
        <w:rPr>
          <w:b/>
          <w:color w:val="1A1A1A"/>
          <w:sz w:val="20"/>
        </w:rPr>
        <w:t>+8% en el primer semestre de 2025</w:t>
      </w:r>
      <w:r>
        <w:rPr>
          <w:color w:val="1A1A1A"/>
          <w:sz w:val="20"/>
        </w:rPr>
        <w:t>. Fuente: C.H. Robinson Cross-Border Freight Market Update Dec 2024.</w:t>
      </w:r>
    </w:p>
    <w:p>
      <w:pPr>
        <w:spacing w:before="20" w:after="60"/>
      </w:pPr>
      <w:r>
        <w:rPr>
          <w:color w:val="1A1A1A"/>
          <w:sz w:val="20"/>
        </w:rPr>
        <w:t xml:space="preserve">&gt; 🔍 </w:t>
      </w:r>
      <w:r>
        <w:rPr>
          <w:b/>
          <w:color w:val="1A1A1A"/>
          <w:sz w:val="20"/>
        </w:rPr>
        <w:t>Análisis:</w:t>
      </w:r>
      <w:r>
        <w:rPr>
          <w:color w:val="1A1A1A"/>
          <w:sz w:val="20"/>
        </w:rPr>
        <w:t xml:space="preserve"> El sector tiene </w:t>
      </w:r>
      <w:r>
        <w:rPr>
          <w:b/>
          <w:color w:val="1A1A1A"/>
          <w:sz w:val="20"/>
        </w:rPr>
        <w:t>doble velocidad simultánea</w:t>
      </w:r>
      <w:r>
        <w:rPr>
          <w:color w:val="1A1A1A"/>
          <w:sz w:val="20"/>
        </w:rPr>
        <w:t>: macro estancado (+0.02% PIB 2025) y micro acelerado en el nicho cross-border de Tijuana. La diferencia es nearshoring y comercio China-MX. Las empresas como Trixx que están en el sub-segmento correcto enfrentan tailwind sectorial pese a la cifra agregada plana.</w:t>
      </w:r>
    </w:p>
    <w:p>
      <w:pPr>
        <w:spacing w:before="40" w:after="40"/>
      </w:pPr>
    </w:p>
    <w:p>
      <w:pPr>
        <w:spacing w:before="280" w:after="60"/>
        <w:pBdr>
          <w:bottom w:val="single" w:sz="4" w:space="1" w:color="0EA5E9"/>
        </w:pBdr>
      </w:pPr>
      <w:r>
        <w:rPr>
          <w:b/>
          <w:color w:val="0EA5E9"/>
          <w:sz w:val="28"/>
        </w:rPr>
        <w:t>2. PRINCIPALES ACTORES</w:t>
      </w:r>
    </w:p>
    <w:p>
      <w:pPr>
        <w:spacing w:before="160" w:after="40"/>
      </w:pPr>
      <w:r>
        <w:rPr>
          <w:b/>
          <w:color w:val="6B7280"/>
          <w:sz w:val="22"/>
        </w:rPr>
        <w:t>Líderes nacionales — operadores integrados (flota + aduanal + warehousing)</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0C1A2E"/>
          </w:tcPr>
          <w:p>
            <w:pPr>
              <w:spacing w:before="40" w:after="40"/>
            </w:pPr>
            <w:r>
              <w:rPr>
                <w:b/>
                <w:color w:val="FFFFFF"/>
                <w:sz w:val="18"/>
              </w:rPr>
              <w:t>Empresa</w:t>
            </w:r>
          </w:p>
        </w:tc>
        <w:tc>
          <w:tcPr>
            <w:tcW w:type="dxa" w:w="1813"/>
            <w:shd w:val="clear" w:color="auto" w:fill="0C1A2E"/>
          </w:tcPr>
          <w:p>
            <w:pPr>
              <w:spacing w:before="40" w:after="40"/>
            </w:pPr>
            <w:r>
              <w:rPr>
                <w:b/>
                <w:color w:val="FFFFFF"/>
                <w:sz w:val="18"/>
              </w:rPr>
              <w:t>Tipo</w:t>
            </w:r>
          </w:p>
        </w:tc>
        <w:tc>
          <w:tcPr>
            <w:tcW w:type="dxa" w:w="1813"/>
            <w:shd w:val="clear" w:color="auto" w:fill="0C1A2E"/>
          </w:tcPr>
          <w:p>
            <w:pPr>
              <w:spacing w:before="40" w:after="40"/>
            </w:pPr>
            <w:r>
              <w:rPr>
                <w:b/>
                <w:color w:val="FFFFFF"/>
                <w:sz w:val="18"/>
              </w:rPr>
              <w:t>Facturación aprox.</w:t>
            </w:r>
          </w:p>
        </w:tc>
        <w:tc>
          <w:tcPr>
            <w:tcW w:type="dxa" w:w="1813"/>
            <w:shd w:val="clear" w:color="auto" w:fill="0C1A2E"/>
          </w:tcPr>
          <w:p>
            <w:pPr>
              <w:spacing w:before="40" w:after="40"/>
            </w:pPr>
            <w:r>
              <w:rPr>
                <w:b/>
                <w:color w:val="FFFFFF"/>
                <w:sz w:val="18"/>
              </w:rPr>
              <w:t>Presencia</w:t>
            </w:r>
          </w:p>
        </w:tc>
        <w:tc>
          <w:tcPr>
            <w:tcW w:type="dxa" w:w="1813"/>
            <w:shd w:val="clear" w:color="auto" w:fill="0C1A2E"/>
          </w:tcPr>
          <w:p>
            <w:pPr>
              <w:spacing w:before="40" w:after="40"/>
            </w:pPr>
            <w:r>
              <w:rPr>
                <w:b/>
                <w:color w:val="FFFFFF"/>
                <w:sz w:val="18"/>
              </w:rPr>
              <w:t>Notas clave</w:t>
            </w:r>
          </w:p>
        </w:tc>
      </w:tr>
      <w:tr>
        <w:tc>
          <w:tcPr>
            <w:tcW w:type="dxa" w:w="1813"/>
            <w:shd w:val="clear" w:color="auto" w:fill="FFFFFF"/>
          </w:tcPr>
          <w:p>
            <w:pPr>
              <w:spacing w:before="40" w:after="40"/>
            </w:pPr>
            <w:r>
              <w:rPr>
                <w:color w:val="1A1A1A"/>
                <w:sz w:val="18"/>
              </w:rPr>
              <w:t>Grupo TMM</w:t>
            </w:r>
          </w:p>
        </w:tc>
        <w:tc>
          <w:tcPr>
            <w:tcW w:type="dxa" w:w="1813"/>
            <w:shd w:val="clear" w:color="auto" w:fill="FFFFFF"/>
          </w:tcPr>
          <w:p>
            <w:pPr>
              <w:spacing w:before="40" w:after="40"/>
            </w:pPr>
            <w:r>
              <w:rPr>
                <w:color w:val="1A1A1A"/>
                <w:sz w:val="18"/>
              </w:rPr>
              <w:t>Flota integrada + servicios marítimos</w:t>
            </w:r>
          </w:p>
        </w:tc>
        <w:tc>
          <w:tcPr>
            <w:tcW w:type="dxa" w:w="1813"/>
            <w:shd w:val="clear" w:color="auto" w:fill="FFFFFF"/>
          </w:tcPr>
          <w:p>
            <w:pPr>
              <w:spacing w:before="40" w:after="40"/>
            </w:pPr>
            <w:r>
              <w:rPr>
                <w:color w:val="1A1A1A"/>
                <w:sz w:val="18"/>
              </w:rPr>
              <w:t>⚠️ MXN 5,000M+ anual</w:t>
            </w:r>
          </w:p>
        </w:tc>
        <w:tc>
          <w:tcPr>
            <w:tcW w:type="dxa" w:w="1813"/>
            <w:shd w:val="clear" w:color="auto" w:fill="FFFFFF"/>
          </w:tcPr>
          <w:p>
            <w:pPr>
              <w:spacing w:before="40" w:after="40"/>
            </w:pPr>
            <w:r>
              <w:rPr>
                <w:color w:val="1A1A1A"/>
                <w:sz w:val="18"/>
              </w:rPr>
              <w:t>Nacional + cabotaje</w:t>
            </w:r>
          </w:p>
        </w:tc>
        <w:tc>
          <w:tcPr>
            <w:tcW w:type="dxa" w:w="1813"/>
            <w:shd w:val="clear" w:color="auto" w:fill="FFFFFF"/>
          </w:tcPr>
          <w:p>
            <w:pPr>
              <w:spacing w:before="40" w:after="40"/>
            </w:pPr>
            <w:r>
              <w:rPr>
                <w:color w:val="1A1A1A"/>
                <w:sz w:val="18"/>
              </w:rPr>
              <w:t>Histórico líder marítimo; menos enfocado a aduanal puro</w:t>
            </w:r>
          </w:p>
        </w:tc>
      </w:tr>
      <w:tr>
        <w:tc>
          <w:tcPr>
            <w:tcW w:type="dxa" w:w="1813"/>
            <w:shd w:val="clear" w:color="auto" w:fill="EBF3FA"/>
          </w:tcPr>
          <w:p>
            <w:pPr>
              <w:spacing w:before="40" w:after="40"/>
            </w:pPr>
            <w:r>
              <w:rPr>
                <w:color w:val="1A1A1A"/>
                <w:sz w:val="18"/>
              </w:rPr>
              <w:t>Estafeta</w:t>
            </w:r>
          </w:p>
        </w:tc>
        <w:tc>
          <w:tcPr>
            <w:tcW w:type="dxa" w:w="1813"/>
            <w:shd w:val="clear" w:color="auto" w:fill="EBF3FA"/>
          </w:tcPr>
          <w:p>
            <w:pPr>
              <w:spacing w:before="40" w:after="40"/>
            </w:pPr>
            <w:r>
              <w:rPr>
                <w:color w:val="1A1A1A"/>
                <w:sz w:val="18"/>
              </w:rPr>
              <w:t>Paquetería + logística + cross-border</w:t>
            </w:r>
          </w:p>
        </w:tc>
        <w:tc>
          <w:tcPr>
            <w:tcW w:type="dxa" w:w="1813"/>
            <w:shd w:val="clear" w:color="auto" w:fill="EBF3FA"/>
          </w:tcPr>
          <w:p>
            <w:pPr>
              <w:spacing w:before="40" w:after="40"/>
            </w:pPr>
            <w:r>
              <w:rPr>
                <w:color w:val="1A1A1A"/>
                <w:sz w:val="18"/>
              </w:rPr>
              <w:t>⚠️ MXN 4,500-6,000M</w:t>
            </w:r>
          </w:p>
        </w:tc>
        <w:tc>
          <w:tcPr>
            <w:tcW w:type="dxa" w:w="1813"/>
            <w:shd w:val="clear" w:color="auto" w:fill="EBF3FA"/>
          </w:tcPr>
          <w:p>
            <w:pPr>
              <w:spacing w:before="40" w:after="40"/>
            </w:pPr>
            <w:r>
              <w:rPr>
                <w:color w:val="1A1A1A"/>
                <w:sz w:val="18"/>
              </w:rPr>
              <w:t>Nacional, fuerte en última milla</w:t>
            </w:r>
          </w:p>
        </w:tc>
        <w:tc>
          <w:tcPr>
            <w:tcW w:type="dxa" w:w="1813"/>
            <w:shd w:val="clear" w:color="auto" w:fill="EBF3FA"/>
          </w:tcPr>
          <w:p>
            <w:pPr>
              <w:spacing w:before="40" w:after="40"/>
            </w:pPr>
            <w:r>
              <w:rPr>
                <w:color w:val="1A1A1A"/>
                <w:sz w:val="18"/>
              </w:rPr>
              <w:t>E-commerce y B2C</w:t>
            </w:r>
          </w:p>
        </w:tc>
      </w:tr>
      <w:tr>
        <w:tc>
          <w:tcPr>
            <w:tcW w:type="dxa" w:w="1813"/>
            <w:shd w:val="clear" w:color="auto" w:fill="FFFFFF"/>
          </w:tcPr>
          <w:p>
            <w:pPr>
              <w:spacing w:before="40" w:after="40"/>
            </w:pPr>
            <w:r>
              <w:rPr>
                <w:color w:val="1A1A1A"/>
                <w:sz w:val="18"/>
              </w:rPr>
              <w:t>Solistica (FEMSA)</w:t>
            </w:r>
          </w:p>
        </w:tc>
        <w:tc>
          <w:tcPr>
            <w:tcW w:type="dxa" w:w="1813"/>
            <w:shd w:val="clear" w:color="auto" w:fill="FFFFFF"/>
          </w:tcPr>
          <w:p>
            <w:pPr>
              <w:spacing w:before="40" w:after="40"/>
            </w:pPr>
            <w:r>
              <w:rPr>
                <w:color w:val="1A1A1A"/>
                <w:sz w:val="18"/>
              </w:rPr>
              <w:t>3PL/4PL multimodal</w:t>
            </w:r>
          </w:p>
        </w:tc>
        <w:tc>
          <w:tcPr>
            <w:tcW w:type="dxa" w:w="1813"/>
            <w:shd w:val="clear" w:color="auto" w:fill="FFFFFF"/>
          </w:tcPr>
          <w:p>
            <w:pPr>
              <w:spacing w:before="40" w:after="40"/>
            </w:pPr>
            <w:r>
              <w:rPr>
                <w:color w:val="1A1A1A"/>
                <w:sz w:val="18"/>
              </w:rPr>
              <w:t>⚠️ USD 1,000M+</w:t>
            </w:r>
          </w:p>
        </w:tc>
        <w:tc>
          <w:tcPr>
            <w:tcW w:type="dxa" w:w="1813"/>
            <w:shd w:val="clear" w:color="auto" w:fill="FFFFFF"/>
          </w:tcPr>
          <w:p>
            <w:pPr>
              <w:spacing w:before="40" w:after="40"/>
            </w:pPr>
            <w:r>
              <w:rPr>
                <w:color w:val="1A1A1A"/>
                <w:sz w:val="18"/>
              </w:rPr>
              <w:t>Nacional + LatAm</w:t>
            </w:r>
          </w:p>
        </w:tc>
        <w:tc>
          <w:tcPr>
            <w:tcW w:type="dxa" w:w="1813"/>
            <w:shd w:val="clear" w:color="auto" w:fill="FFFFFF"/>
          </w:tcPr>
          <w:p>
            <w:pPr>
              <w:spacing w:before="40" w:after="40"/>
            </w:pPr>
            <w:r>
              <w:rPr>
                <w:color w:val="1A1A1A"/>
                <w:sz w:val="18"/>
              </w:rPr>
              <w:t>Spin-off de FEMSA; cuenta corporativa fuerte</w:t>
            </w:r>
          </w:p>
        </w:tc>
      </w:tr>
      <w:tr>
        <w:tc>
          <w:tcPr>
            <w:tcW w:type="dxa" w:w="1813"/>
            <w:shd w:val="clear" w:color="auto" w:fill="EBF3FA"/>
          </w:tcPr>
          <w:p>
            <w:pPr>
              <w:spacing w:before="40" w:after="40"/>
            </w:pPr>
            <w:r>
              <w:rPr>
                <w:color w:val="1A1A1A"/>
                <w:sz w:val="18"/>
              </w:rPr>
              <w:t>TFM (Transportación Marítima Mexicana)</w:t>
            </w:r>
          </w:p>
        </w:tc>
        <w:tc>
          <w:tcPr>
            <w:tcW w:type="dxa" w:w="1813"/>
            <w:shd w:val="clear" w:color="auto" w:fill="EBF3FA"/>
          </w:tcPr>
          <w:p>
            <w:pPr>
              <w:spacing w:before="40" w:after="40"/>
            </w:pPr>
            <w:r>
              <w:rPr>
                <w:color w:val="1A1A1A"/>
                <w:sz w:val="18"/>
              </w:rPr>
              <w:t>Multimodal</w:t>
            </w:r>
          </w:p>
        </w:tc>
        <w:tc>
          <w:tcPr>
            <w:tcW w:type="dxa" w:w="1813"/>
            <w:shd w:val="clear" w:color="auto" w:fill="EBF3FA"/>
          </w:tcPr>
          <w:p>
            <w:pPr>
              <w:spacing w:before="40" w:after="40"/>
            </w:pPr>
            <w:r>
              <w:rPr>
                <w:color w:val="1A1A1A"/>
                <w:sz w:val="18"/>
              </w:rPr>
              <w:t>⚠️ Cifras no públicas</w:t>
            </w:r>
          </w:p>
        </w:tc>
        <w:tc>
          <w:tcPr>
            <w:tcW w:type="dxa" w:w="1813"/>
            <w:shd w:val="clear" w:color="auto" w:fill="EBF3FA"/>
          </w:tcPr>
          <w:p>
            <w:pPr>
              <w:spacing w:before="40" w:after="40"/>
            </w:pPr>
            <w:r>
              <w:rPr>
                <w:color w:val="1A1A1A"/>
                <w:sz w:val="18"/>
              </w:rPr>
              <w:t>Nacional</w:t>
            </w:r>
          </w:p>
        </w:tc>
        <w:tc>
          <w:tcPr>
            <w:tcW w:type="dxa" w:w="1813"/>
            <w:shd w:val="clear" w:color="auto" w:fill="EBF3FA"/>
          </w:tcPr>
          <w:p>
            <w:pPr>
              <w:spacing w:before="40" w:after="40"/>
            </w:pPr>
            <w:r>
              <w:rPr>
                <w:color w:val="1A1A1A"/>
                <w:sz w:val="18"/>
              </w:rPr>
              <w:t>Holding</w:t>
            </w:r>
          </w:p>
        </w:tc>
      </w:tr>
      <w:tr>
        <w:tc>
          <w:tcPr>
            <w:tcW w:type="dxa" w:w="1813"/>
            <w:shd w:val="clear" w:color="auto" w:fill="FFFFFF"/>
          </w:tcPr>
          <w:p>
            <w:pPr>
              <w:spacing w:before="40" w:after="40"/>
            </w:pPr>
            <w:r>
              <w:rPr>
                <w:color w:val="1A1A1A"/>
                <w:sz w:val="18"/>
              </w:rPr>
              <w:t>Grupo Senda / Transpais</w:t>
            </w:r>
          </w:p>
        </w:tc>
        <w:tc>
          <w:tcPr>
            <w:tcW w:type="dxa" w:w="1813"/>
            <w:shd w:val="clear" w:color="auto" w:fill="FFFFFF"/>
          </w:tcPr>
          <w:p>
            <w:pPr>
              <w:spacing w:before="40" w:after="40"/>
            </w:pPr>
            <w:r>
              <w:rPr>
                <w:color w:val="1A1A1A"/>
                <w:sz w:val="18"/>
              </w:rPr>
              <w:t>Carga + pasaje</w:t>
            </w:r>
          </w:p>
        </w:tc>
        <w:tc>
          <w:tcPr>
            <w:tcW w:type="dxa" w:w="1813"/>
            <w:shd w:val="clear" w:color="auto" w:fill="FFFFFF"/>
          </w:tcPr>
          <w:p>
            <w:pPr>
              <w:spacing w:before="40" w:after="40"/>
            </w:pPr>
            <w:r>
              <w:rPr>
                <w:color w:val="1A1A1A"/>
                <w:sz w:val="18"/>
              </w:rPr>
              <w:t>⚠️ Cifras no públicas</w:t>
            </w:r>
          </w:p>
        </w:tc>
        <w:tc>
          <w:tcPr>
            <w:tcW w:type="dxa" w:w="1813"/>
            <w:shd w:val="clear" w:color="auto" w:fill="FFFFFF"/>
          </w:tcPr>
          <w:p>
            <w:pPr>
              <w:spacing w:before="40" w:after="40"/>
            </w:pPr>
            <w:r>
              <w:rPr>
                <w:color w:val="1A1A1A"/>
                <w:sz w:val="18"/>
              </w:rPr>
              <w:t>Norte de México</w:t>
            </w:r>
          </w:p>
        </w:tc>
        <w:tc>
          <w:tcPr>
            <w:tcW w:type="dxa" w:w="1813"/>
            <w:shd w:val="clear" w:color="auto" w:fill="FFFFFF"/>
          </w:tcPr>
          <w:p>
            <w:pPr>
              <w:spacing w:before="40" w:after="40"/>
            </w:pPr>
            <w:r>
              <w:rPr>
                <w:color w:val="1A1A1A"/>
                <w:sz w:val="18"/>
              </w:rPr>
              <w:t>Foco en frontera norte</w:t>
            </w:r>
          </w:p>
        </w:tc>
      </w:tr>
      <w:tr>
        <w:tc>
          <w:tcPr>
            <w:tcW w:type="dxa" w:w="1813"/>
            <w:shd w:val="clear" w:color="auto" w:fill="EBF3FA"/>
          </w:tcPr>
          <w:p>
            <w:pPr>
              <w:spacing w:before="40" w:after="40"/>
            </w:pPr>
            <w:r>
              <w:rPr>
                <w:color w:val="1A1A1A"/>
                <w:sz w:val="18"/>
              </w:rPr>
              <w:t>DHL Supply Chain México</w:t>
            </w:r>
          </w:p>
        </w:tc>
        <w:tc>
          <w:tcPr>
            <w:tcW w:type="dxa" w:w="1813"/>
            <w:shd w:val="clear" w:color="auto" w:fill="EBF3FA"/>
          </w:tcPr>
          <w:p>
            <w:pPr>
              <w:spacing w:before="40" w:after="40"/>
            </w:pPr>
            <w:r>
              <w:rPr>
                <w:color w:val="1A1A1A"/>
                <w:sz w:val="18"/>
              </w:rPr>
              <w:t>3PL global</w:t>
            </w:r>
          </w:p>
        </w:tc>
        <w:tc>
          <w:tcPr>
            <w:tcW w:type="dxa" w:w="1813"/>
            <w:shd w:val="clear" w:color="auto" w:fill="EBF3FA"/>
          </w:tcPr>
          <w:p>
            <w:pPr>
              <w:spacing w:before="40" w:after="40"/>
            </w:pPr>
            <w:r>
              <w:rPr>
                <w:color w:val="1A1A1A"/>
                <w:sz w:val="18"/>
              </w:rPr>
              <w:t>⚠️ Cifras consolidadas con DHL global</w:t>
            </w:r>
          </w:p>
        </w:tc>
        <w:tc>
          <w:tcPr>
            <w:tcW w:type="dxa" w:w="1813"/>
            <w:shd w:val="clear" w:color="auto" w:fill="EBF3FA"/>
          </w:tcPr>
          <w:p>
            <w:pPr>
              <w:spacing w:before="40" w:after="40"/>
            </w:pPr>
            <w:r>
              <w:rPr>
                <w:color w:val="1A1A1A"/>
                <w:sz w:val="18"/>
              </w:rPr>
              <w:t>Nacional + cross-border</w:t>
            </w:r>
          </w:p>
        </w:tc>
        <w:tc>
          <w:tcPr>
            <w:tcW w:type="dxa" w:w="1813"/>
            <w:shd w:val="clear" w:color="auto" w:fill="EBF3FA"/>
          </w:tcPr>
          <w:p>
            <w:pPr>
              <w:spacing w:before="40" w:after="40"/>
            </w:pPr>
            <w:r>
              <w:rPr>
                <w:color w:val="1A1A1A"/>
                <w:sz w:val="18"/>
              </w:rPr>
              <w:t>Líder en e-commerce fulfillment</w:t>
            </w:r>
          </w:p>
        </w:tc>
      </w:tr>
      <w:tr>
        <w:tc>
          <w:tcPr>
            <w:tcW w:type="dxa" w:w="1813"/>
            <w:shd w:val="clear" w:color="auto" w:fill="FFFFFF"/>
          </w:tcPr>
          <w:p>
            <w:pPr>
              <w:spacing w:before="40" w:after="40"/>
            </w:pPr>
            <w:r>
              <w:rPr>
                <w:color w:val="1A1A1A"/>
                <w:sz w:val="18"/>
              </w:rPr>
              <w:t>DSV</w:t>
            </w:r>
          </w:p>
        </w:tc>
        <w:tc>
          <w:tcPr>
            <w:tcW w:type="dxa" w:w="1813"/>
            <w:shd w:val="clear" w:color="auto" w:fill="FFFFFF"/>
          </w:tcPr>
          <w:p>
            <w:pPr>
              <w:spacing w:before="40" w:after="40"/>
            </w:pPr>
            <w:r>
              <w:rPr>
                <w:color w:val="1A1A1A"/>
                <w:sz w:val="18"/>
              </w:rPr>
              <w:t>Forwarder global</w:t>
            </w:r>
          </w:p>
        </w:tc>
        <w:tc>
          <w:tcPr>
            <w:tcW w:type="dxa" w:w="1813"/>
            <w:shd w:val="clear" w:color="auto" w:fill="FFFFFF"/>
          </w:tcPr>
          <w:p>
            <w:pPr>
              <w:spacing w:before="40" w:after="40"/>
            </w:pPr>
            <w:r>
              <w:rPr>
                <w:color w:val="1A1A1A"/>
                <w:sz w:val="18"/>
              </w:rPr>
              <w:t>⚠️ Cifras consolidadas</w:t>
            </w:r>
          </w:p>
        </w:tc>
        <w:tc>
          <w:tcPr>
            <w:tcW w:type="dxa" w:w="1813"/>
            <w:shd w:val="clear" w:color="auto" w:fill="FFFFFF"/>
          </w:tcPr>
          <w:p>
            <w:pPr>
              <w:spacing w:before="40" w:after="40"/>
            </w:pPr>
            <w:r>
              <w:rPr>
                <w:color w:val="1A1A1A"/>
                <w:sz w:val="18"/>
              </w:rPr>
              <w:t>Nacional</w:t>
            </w:r>
          </w:p>
        </w:tc>
        <w:tc>
          <w:tcPr>
            <w:tcW w:type="dxa" w:w="1813"/>
            <w:shd w:val="clear" w:color="auto" w:fill="FFFFFF"/>
          </w:tcPr>
          <w:p>
            <w:pPr>
              <w:spacing w:before="40" w:after="40"/>
            </w:pPr>
            <w:r>
              <w:rPr>
                <w:color w:val="1A1A1A"/>
                <w:sz w:val="18"/>
              </w:rPr>
              <w:t>Crecimiento por adquisiciones</w:t>
            </w:r>
          </w:p>
        </w:tc>
      </w:tr>
    </w:tbl>
    <w:p/>
    <w:p>
      <w:pPr>
        <w:spacing w:before="20" w:after="60"/>
      </w:pPr>
      <w:r>
        <w:rPr>
          <w:color w:val="1A1A1A"/>
          <w:sz w:val="20"/>
        </w:rPr>
        <w:t>&gt; ❓ Cifras exactas de facturación de empresas privadas mexicanas en este sector NO son públicas (no cotizan en BMV con la excepción parcial de TMM). Los rangos son inferencias de prensa especializada, reportes de mercado de Forbes MX y Expansión.</w:t>
      </w:r>
    </w:p>
    <w:p>
      <w:pPr>
        <w:spacing w:before="160" w:after="40"/>
      </w:pPr>
      <w:r>
        <w:rPr>
          <w:b/>
          <w:color w:val="6B7280"/>
          <w:sz w:val="22"/>
        </w:rPr>
        <w:t>Agentes aduanales específicos a Tijuana (competencia directa de Trixx en su mercado local)</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Agencia</w:t>
            </w:r>
          </w:p>
        </w:tc>
        <w:tc>
          <w:tcPr>
            <w:tcW w:type="dxa" w:w="2266"/>
            <w:shd w:val="clear" w:color="auto" w:fill="0C1A2E"/>
          </w:tcPr>
          <w:p>
            <w:pPr>
              <w:spacing w:before="40" w:after="40"/>
            </w:pPr>
            <w:r>
              <w:rPr>
                <w:b/>
                <w:color w:val="FFFFFF"/>
                <w:sz w:val="18"/>
              </w:rPr>
              <w:t>Patente / acreditación</w:t>
            </w:r>
          </w:p>
        </w:tc>
        <w:tc>
          <w:tcPr>
            <w:tcW w:type="dxa" w:w="2266"/>
            <w:shd w:val="clear" w:color="auto" w:fill="0C1A2E"/>
          </w:tcPr>
          <w:p>
            <w:pPr>
              <w:spacing w:before="40" w:after="40"/>
            </w:pPr>
            <w:r>
              <w:rPr>
                <w:b/>
                <w:color w:val="FFFFFF"/>
                <w:sz w:val="18"/>
              </w:rPr>
              <w:t>Presencia</w:t>
            </w:r>
          </w:p>
        </w:tc>
        <w:tc>
          <w:tcPr>
            <w:tcW w:type="dxa" w:w="2266"/>
            <w:shd w:val="clear" w:color="auto" w:fill="0C1A2E"/>
          </w:tcPr>
          <w:p>
            <w:pPr>
              <w:spacing w:before="40" w:after="40"/>
            </w:pPr>
            <w:r>
              <w:rPr>
                <w:b/>
                <w:color w:val="FFFFFF"/>
                <w:sz w:val="18"/>
              </w:rPr>
              <w:t>Nicho</w:t>
            </w:r>
          </w:p>
        </w:tc>
      </w:tr>
      <w:tr>
        <w:tc>
          <w:tcPr>
            <w:tcW w:type="dxa" w:w="2266"/>
            <w:shd w:val="clear" w:color="auto" w:fill="FFFFFF"/>
          </w:tcPr>
          <w:p>
            <w:pPr>
              <w:spacing w:before="40" w:after="40"/>
            </w:pPr>
            <w:r>
              <w:rPr>
                <w:color w:val="1A1A1A"/>
                <w:sz w:val="18"/>
              </w:rPr>
              <w:t>TCI Aduanal</w:t>
            </w:r>
          </w:p>
        </w:tc>
        <w:tc>
          <w:tcPr>
            <w:tcW w:type="dxa" w:w="2266"/>
            <w:shd w:val="clear" w:color="auto" w:fill="FFFFFF"/>
          </w:tcPr>
          <w:p>
            <w:pPr>
              <w:spacing w:before="40" w:after="40"/>
            </w:pPr>
            <w:r>
              <w:rPr>
                <w:color w:val="1A1A1A"/>
                <w:sz w:val="18"/>
              </w:rPr>
              <w:t>✅ Agencia con patente activa</w:t>
            </w:r>
          </w:p>
        </w:tc>
        <w:tc>
          <w:tcPr>
            <w:tcW w:type="dxa" w:w="2266"/>
            <w:shd w:val="clear" w:color="auto" w:fill="FFFFFF"/>
          </w:tcPr>
          <w:p>
            <w:pPr>
              <w:spacing w:before="40" w:after="40"/>
            </w:pPr>
            <w:r>
              <w:rPr>
                <w:color w:val="1A1A1A"/>
                <w:sz w:val="18"/>
              </w:rPr>
              <w:t>Tijuana, varias aduanas</w:t>
            </w:r>
          </w:p>
        </w:tc>
        <w:tc>
          <w:tcPr>
            <w:tcW w:type="dxa" w:w="2266"/>
            <w:shd w:val="clear" w:color="auto" w:fill="FFFFFF"/>
          </w:tcPr>
          <w:p>
            <w:pPr>
              <w:spacing w:before="40" w:after="40"/>
            </w:pPr>
            <w:r>
              <w:rPr>
                <w:color w:val="1A1A1A"/>
                <w:sz w:val="18"/>
              </w:rPr>
              <w:t>Generalista, sólido en automotriz</w:t>
            </w:r>
          </w:p>
        </w:tc>
      </w:tr>
      <w:tr>
        <w:tc>
          <w:tcPr>
            <w:tcW w:type="dxa" w:w="2266"/>
            <w:shd w:val="clear" w:color="auto" w:fill="EBF3FA"/>
          </w:tcPr>
          <w:p>
            <w:pPr>
              <w:spacing w:before="40" w:after="40"/>
            </w:pPr>
            <w:r>
              <w:rPr>
                <w:color w:val="1A1A1A"/>
                <w:sz w:val="18"/>
              </w:rPr>
              <w:t>Aispuro Lavenant</w:t>
            </w:r>
          </w:p>
        </w:tc>
        <w:tc>
          <w:tcPr>
            <w:tcW w:type="dxa" w:w="2266"/>
            <w:shd w:val="clear" w:color="auto" w:fill="EBF3FA"/>
          </w:tcPr>
          <w:p>
            <w:pPr>
              <w:spacing w:before="40" w:after="40"/>
            </w:pPr>
            <w:r>
              <w:rPr>
                <w:color w:val="1A1A1A"/>
                <w:sz w:val="18"/>
              </w:rPr>
              <w:t>✅ Patente activa</w:t>
            </w:r>
          </w:p>
        </w:tc>
        <w:tc>
          <w:tcPr>
            <w:tcW w:type="dxa" w:w="2266"/>
            <w:shd w:val="clear" w:color="auto" w:fill="EBF3FA"/>
          </w:tcPr>
          <w:p>
            <w:pPr>
              <w:spacing w:before="40" w:after="40"/>
            </w:pPr>
            <w:r>
              <w:rPr>
                <w:color w:val="1A1A1A"/>
                <w:sz w:val="18"/>
              </w:rPr>
              <w:t>Tijuana, Mexicali</w:t>
            </w:r>
          </w:p>
        </w:tc>
        <w:tc>
          <w:tcPr>
            <w:tcW w:type="dxa" w:w="2266"/>
            <w:shd w:val="clear" w:color="auto" w:fill="EBF3FA"/>
          </w:tcPr>
          <w:p>
            <w:pPr>
              <w:spacing w:before="40" w:after="40"/>
            </w:pPr>
            <w:r>
              <w:rPr>
                <w:color w:val="1A1A1A"/>
                <w:sz w:val="18"/>
              </w:rPr>
              <w:t>Importación-exportación general</w:t>
            </w:r>
          </w:p>
        </w:tc>
      </w:tr>
      <w:tr>
        <w:tc>
          <w:tcPr>
            <w:tcW w:type="dxa" w:w="2266"/>
            <w:shd w:val="clear" w:color="auto" w:fill="FFFFFF"/>
          </w:tcPr>
          <w:p>
            <w:pPr>
              <w:spacing w:before="40" w:after="40"/>
            </w:pPr>
            <w:r>
              <w:rPr>
                <w:color w:val="1A1A1A"/>
                <w:sz w:val="18"/>
              </w:rPr>
              <w:t>Grupo Aduanal Arellano</w:t>
            </w:r>
          </w:p>
        </w:tc>
        <w:tc>
          <w:tcPr>
            <w:tcW w:type="dxa" w:w="2266"/>
            <w:shd w:val="clear" w:color="auto" w:fill="FFFFFF"/>
          </w:tcPr>
          <w:p>
            <w:pPr>
              <w:spacing w:before="40" w:after="40"/>
            </w:pPr>
            <w:r>
              <w:rPr>
                <w:color w:val="1A1A1A"/>
                <w:sz w:val="18"/>
              </w:rPr>
              <w:t>✅ Patente activa</w:t>
            </w:r>
          </w:p>
        </w:tc>
        <w:tc>
          <w:tcPr>
            <w:tcW w:type="dxa" w:w="2266"/>
            <w:shd w:val="clear" w:color="auto" w:fill="FFFFFF"/>
          </w:tcPr>
          <w:p>
            <w:pPr>
              <w:spacing w:before="40" w:after="40"/>
            </w:pPr>
            <w:r>
              <w:rPr>
                <w:color w:val="1A1A1A"/>
                <w:sz w:val="18"/>
              </w:rPr>
              <w:t>Tijuana, Tecate</w:t>
            </w:r>
          </w:p>
        </w:tc>
        <w:tc>
          <w:tcPr>
            <w:tcW w:type="dxa" w:w="2266"/>
            <w:shd w:val="clear" w:color="auto" w:fill="FFFFFF"/>
          </w:tcPr>
          <w:p>
            <w:pPr>
              <w:spacing w:before="40" w:after="40"/>
            </w:pPr>
            <w:r>
              <w:rPr>
                <w:color w:val="1A1A1A"/>
                <w:sz w:val="18"/>
              </w:rPr>
              <w:t>Generalista con foco en frontera</w:t>
            </w:r>
          </w:p>
        </w:tc>
      </w:tr>
      <w:tr>
        <w:tc>
          <w:tcPr>
            <w:tcW w:type="dxa" w:w="2266"/>
            <w:shd w:val="clear" w:color="auto" w:fill="EBF3FA"/>
          </w:tcPr>
          <w:p>
            <w:pPr>
              <w:spacing w:before="40" w:after="40"/>
            </w:pPr>
            <w:r>
              <w:rPr>
                <w:color w:val="1A1A1A"/>
                <w:sz w:val="18"/>
              </w:rPr>
              <w:t>Integración Aduanal</w:t>
            </w:r>
          </w:p>
        </w:tc>
        <w:tc>
          <w:tcPr>
            <w:tcW w:type="dxa" w:w="2266"/>
            <w:shd w:val="clear" w:color="auto" w:fill="EBF3FA"/>
          </w:tcPr>
          <w:p>
            <w:pPr>
              <w:spacing w:before="40" w:after="40"/>
            </w:pPr>
            <w:r>
              <w:rPr>
                <w:color w:val="1A1A1A"/>
                <w:sz w:val="18"/>
              </w:rPr>
              <w:t>✅ Patente activa</w:t>
            </w:r>
          </w:p>
        </w:tc>
        <w:tc>
          <w:tcPr>
            <w:tcW w:type="dxa" w:w="2266"/>
            <w:shd w:val="clear" w:color="auto" w:fill="EBF3FA"/>
          </w:tcPr>
          <w:p>
            <w:pPr>
              <w:spacing w:before="40" w:after="40"/>
            </w:pPr>
            <w:r>
              <w:rPr>
                <w:color w:val="1A1A1A"/>
                <w:sz w:val="18"/>
              </w:rPr>
              <w:t>Tijuana</w:t>
            </w:r>
          </w:p>
        </w:tc>
        <w:tc>
          <w:tcPr>
            <w:tcW w:type="dxa" w:w="2266"/>
            <w:shd w:val="clear" w:color="auto" w:fill="EBF3FA"/>
          </w:tcPr>
          <w:p>
            <w:pPr>
              <w:spacing w:before="40" w:after="40"/>
            </w:pPr>
            <w:r>
              <w:rPr>
                <w:color w:val="1A1A1A"/>
                <w:sz w:val="18"/>
              </w:rPr>
              <w:t>Servicios aduanales integrados</w:t>
            </w:r>
          </w:p>
        </w:tc>
      </w:tr>
      <w:tr>
        <w:tc>
          <w:tcPr>
            <w:tcW w:type="dxa" w:w="2266"/>
            <w:shd w:val="clear" w:color="auto" w:fill="FFFFFF"/>
          </w:tcPr>
          <w:p>
            <w:pPr>
              <w:spacing w:before="40" w:after="40"/>
            </w:pPr>
            <w:r>
              <w:rPr>
                <w:color w:val="1A1A1A"/>
                <w:sz w:val="18"/>
              </w:rPr>
              <w:t>AE Comercializadora</w:t>
            </w:r>
          </w:p>
        </w:tc>
        <w:tc>
          <w:tcPr>
            <w:tcW w:type="dxa" w:w="2266"/>
            <w:shd w:val="clear" w:color="auto" w:fill="FFFFFF"/>
          </w:tcPr>
          <w:p>
            <w:pPr>
              <w:spacing w:before="40" w:after="40"/>
            </w:pPr>
            <w:r>
              <w:rPr>
                <w:color w:val="1A1A1A"/>
                <w:sz w:val="18"/>
              </w:rPr>
              <w:t>✅ Operador asociado</w:t>
            </w:r>
          </w:p>
        </w:tc>
        <w:tc>
          <w:tcPr>
            <w:tcW w:type="dxa" w:w="2266"/>
            <w:shd w:val="clear" w:color="auto" w:fill="FFFFFF"/>
          </w:tcPr>
          <w:p>
            <w:pPr>
              <w:spacing w:before="40" w:after="40"/>
            </w:pPr>
            <w:r>
              <w:rPr>
                <w:color w:val="1A1A1A"/>
                <w:sz w:val="18"/>
              </w:rPr>
              <w:t>Tijuana</w:t>
            </w:r>
          </w:p>
        </w:tc>
        <w:tc>
          <w:tcPr>
            <w:tcW w:type="dxa" w:w="2266"/>
            <w:shd w:val="clear" w:color="auto" w:fill="FFFFFF"/>
          </w:tcPr>
          <w:p>
            <w:pPr>
              <w:spacing w:before="40" w:after="40"/>
            </w:pPr>
            <w:r>
              <w:rPr>
                <w:color w:val="1A1A1A"/>
                <w:sz w:val="18"/>
              </w:rPr>
              <w:t>Importación/exportación</w:t>
            </w:r>
          </w:p>
        </w:tc>
      </w:tr>
      <w:tr>
        <w:tc>
          <w:tcPr>
            <w:tcW w:type="dxa" w:w="2266"/>
            <w:shd w:val="clear" w:color="auto" w:fill="EBF3FA"/>
          </w:tcPr>
          <w:p>
            <w:pPr>
              <w:spacing w:before="40" w:after="40"/>
            </w:pPr>
            <w:r>
              <w:rPr>
                <w:color w:val="1A1A1A"/>
                <w:sz w:val="18"/>
              </w:rPr>
              <w:t>Asociación de Agentes Aduanales de Tijuana y Tecate</w:t>
            </w:r>
          </w:p>
        </w:tc>
        <w:tc>
          <w:tcPr>
            <w:tcW w:type="dxa" w:w="2266"/>
            <w:shd w:val="clear" w:color="auto" w:fill="EBF3FA"/>
          </w:tcPr>
          <w:p>
            <w:pPr>
              <w:spacing w:before="40" w:after="40"/>
            </w:pPr>
            <w:r>
              <w:rPr>
                <w:color w:val="1A1A1A"/>
                <w:sz w:val="18"/>
              </w:rPr>
              <w:t>—</w:t>
            </w:r>
          </w:p>
        </w:tc>
        <w:tc>
          <w:tcPr>
            <w:tcW w:type="dxa" w:w="2266"/>
            <w:shd w:val="clear" w:color="auto" w:fill="EBF3FA"/>
          </w:tcPr>
          <w:p>
            <w:pPr>
              <w:spacing w:before="40" w:after="40"/>
            </w:pPr>
            <w:r>
              <w:rPr>
                <w:color w:val="1A1A1A"/>
                <w:sz w:val="18"/>
              </w:rPr>
              <w:t>Tijuana</w:t>
            </w:r>
          </w:p>
        </w:tc>
        <w:tc>
          <w:tcPr>
            <w:tcW w:type="dxa" w:w="2266"/>
            <w:shd w:val="clear" w:color="auto" w:fill="EBF3FA"/>
          </w:tcPr>
          <w:p>
            <w:pPr>
              <w:spacing w:before="40" w:after="40"/>
            </w:pPr>
            <w:r>
              <w:rPr>
                <w:color w:val="1A1A1A"/>
                <w:sz w:val="18"/>
              </w:rPr>
              <w:t>Asociación gremial local, aglutina decenas de patentes</w:t>
            </w:r>
          </w:p>
        </w:tc>
      </w:tr>
    </w:tbl>
    <w:p/>
    <w:p>
      <w:pPr>
        <w:spacing w:before="20" w:after="60"/>
      </w:pPr>
      <w:r>
        <w:rPr>
          <w:color w:val="1A1A1A"/>
          <w:sz w:val="20"/>
        </w:rPr>
        <w:t xml:space="preserve">&gt; 🔍 </w:t>
      </w:r>
      <w:r>
        <w:rPr>
          <w:b/>
          <w:color w:val="1A1A1A"/>
          <w:sz w:val="20"/>
        </w:rPr>
        <w:t>Análisis:</w:t>
      </w:r>
      <w:r>
        <w:rPr>
          <w:color w:val="1A1A1A"/>
          <w:sz w:val="20"/>
        </w:rPr>
        <w:t xml:space="preserve"> Tijuana es plaza saturada de agentes aduanales con +20 años de operación. La diferenciación de Trixx contra estos competidores </w:t>
      </w:r>
      <w:r>
        <w:rPr>
          <w:b/>
          <w:color w:val="1A1A1A"/>
          <w:sz w:val="20"/>
        </w:rPr>
        <w:t>no puede ser en aduanal puro</w:t>
      </w:r>
      <w:r>
        <w:rPr>
          <w:color w:val="1A1A1A"/>
          <w:sz w:val="20"/>
        </w:rPr>
        <w:t xml:space="preserve"> — es commodity en plaza. Su diferenciador real es la combinación cross-border con flota propia + warehousing US-side + idioma chino. Esto recorta el segmento competitivo a 5-10 empresas verdaderamente integradas en la región.</w:t>
      </w:r>
    </w:p>
    <w:p>
      <w:pPr>
        <w:spacing w:before="160" w:after="40"/>
      </w:pPr>
      <w:r>
        <w:rPr>
          <w:b/>
          <w:color w:val="6B7280"/>
          <w:sz w:val="22"/>
        </w:rPr>
        <w:t>Tech-enabled forwarders internacionales operando en el corredor MX-USA</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0C1A2E"/>
          </w:tcPr>
          <w:p>
            <w:pPr>
              <w:spacing w:before="40" w:after="40"/>
            </w:pPr>
            <w:r>
              <w:rPr>
                <w:b/>
                <w:color w:val="FFFFFF"/>
                <w:sz w:val="18"/>
              </w:rPr>
              <w:t>Empresa</w:t>
            </w:r>
          </w:p>
        </w:tc>
        <w:tc>
          <w:tcPr>
            <w:tcW w:type="dxa" w:w="1813"/>
            <w:shd w:val="clear" w:color="auto" w:fill="0C1A2E"/>
          </w:tcPr>
          <w:p>
            <w:pPr>
              <w:spacing w:before="40" w:after="40"/>
            </w:pPr>
            <w:r>
              <w:rPr>
                <w:b/>
                <w:color w:val="FFFFFF"/>
                <w:sz w:val="18"/>
              </w:rPr>
              <w:t>Origen</w:t>
            </w:r>
          </w:p>
        </w:tc>
        <w:tc>
          <w:tcPr>
            <w:tcW w:type="dxa" w:w="1813"/>
            <w:shd w:val="clear" w:color="auto" w:fill="0C1A2E"/>
          </w:tcPr>
          <w:p>
            <w:pPr>
              <w:spacing w:before="40" w:after="40"/>
            </w:pPr>
            <w:r>
              <w:rPr>
                <w:b/>
                <w:color w:val="FFFFFF"/>
                <w:sz w:val="18"/>
              </w:rPr>
              <w:t>Foco</w:t>
            </w:r>
          </w:p>
        </w:tc>
        <w:tc>
          <w:tcPr>
            <w:tcW w:type="dxa" w:w="1813"/>
            <w:shd w:val="clear" w:color="auto" w:fill="0C1A2E"/>
          </w:tcPr>
          <w:p>
            <w:pPr>
              <w:spacing w:before="40" w:after="40"/>
            </w:pPr>
            <w:r>
              <w:rPr>
                <w:b/>
                <w:color w:val="FFFFFF"/>
                <w:sz w:val="18"/>
              </w:rPr>
              <w:t>Funding total</w:t>
            </w:r>
          </w:p>
        </w:tc>
        <w:tc>
          <w:tcPr>
            <w:tcW w:type="dxa" w:w="1813"/>
            <w:shd w:val="clear" w:color="auto" w:fill="0C1A2E"/>
          </w:tcPr>
          <w:p>
            <w:pPr>
              <w:spacing w:before="40" w:after="40"/>
            </w:pPr>
            <w:r>
              <w:rPr>
                <w:b/>
                <w:color w:val="FFFFFF"/>
                <w:sz w:val="18"/>
              </w:rPr>
              <w:t>Amenaza para Trixx</w:t>
            </w:r>
          </w:p>
        </w:tc>
      </w:tr>
      <w:tr>
        <w:tc>
          <w:tcPr>
            <w:tcW w:type="dxa" w:w="1813"/>
            <w:shd w:val="clear" w:color="auto" w:fill="FFFFFF"/>
          </w:tcPr>
          <w:p>
            <w:pPr>
              <w:spacing w:before="40" w:after="40"/>
            </w:pPr>
            <w:r>
              <w:rPr>
                <w:color w:val="1A1A1A"/>
                <w:sz w:val="18"/>
              </w:rPr>
              <w:t>Nuvocargo</w:t>
            </w:r>
          </w:p>
        </w:tc>
        <w:tc>
          <w:tcPr>
            <w:tcW w:type="dxa" w:w="1813"/>
            <w:shd w:val="clear" w:color="auto" w:fill="FFFFFF"/>
          </w:tcPr>
          <w:p>
            <w:pPr>
              <w:spacing w:before="40" w:after="40"/>
            </w:pPr>
            <w:r>
              <w:rPr>
                <w:color w:val="1A1A1A"/>
                <w:sz w:val="18"/>
              </w:rPr>
              <w:t>USA, foco US-MX</w:t>
            </w:r>
          </w:p>
        </w:tc>
        <w:tc>
          <w:tcPr>
            <w:tcW w:type="dxa" w:w="1813"/>
            <w:shd w:val="clear" w:color="auto" w:fill="FFFFFF"/>
          </w:tcPr>
          <w:p>
            <w:pPr>
              <w:spacing w:before="40" w:after="40"/>
            </w:pPr>
            <w:r>
              <w:rPr>
                <w:color w:val="1A1A1A"/>
                <w:sz w:val="18"/>
              </w:rPr>
              <w:t>Brokerage + visibility platform</w:t>
            </w:r>
          </w:p>
        </w:tc>
        <w:tc>
          <w:tcPr>
            <w:tcW w:type="dxa" w:w="1813"/>
            <w:shd w:val="clear" w:color="auto" w:fill="FFFFFF"/>
          </w:tcPr>
          <w:p>
            <w:pPr>
              <w:spacing w:before="40" w:after="40"/>
            </w:pPr>
            <w:r>
              <w:rPr>
                <w:color w:val="1A1A1A"/>
                <w:sz w:val="18"/>
              </w:rPr>
              <w:t>✅ USD 74.4M (Series B USD 36.5M jun 2023 a USD 250M valuation)</w:t>
            </w:r>
          </w:p>
        </w:tc>
        <w:tc>
          <w:tcPr>
            <w:tcW w:type="dxa" w:w="1813"/>
            <w:shd w:val="clear" w:color="auto" w:fill="FFFFFF"/>
          </w:tcPr>
          <w:p>
            <w:pPr>
              <w:spacing w:before="40" w:after="40"/>
            </w:pPr>
            <w:r>
              <w:rPr>
                <w:color w:val="1A1A1A"/>
                <w:sz w:val="18"/>
              </w:rPr>
              <w:t>Alta — directamente compite en cross-border MX-US</w:t>
            </w:r>
          </w:p>
        </w:tc>
      </w:tr>
      <w:tr>
        <w:tc>
          <w:tcPr>
            <w:tcW w:type="dxa" w:w="1813"/>
            <w:shd w:val="clear" w:color="auto" w:fill="EBF3FA"/>
          </w:tcPr>
          <w:p>
            <w:pPr>
              <w:spacing w:before="40" w:after="40"/>
            </w:pPr>
            <w:r>
              <w:rPr>
                <w:color w:val="1A1A1A"/>
                <w:sz w:val="18"/>
              </w:rPr>
              <w:t>Flexport</w:t>
            </w:r>
          </w:p>
        </w:tc>
        <w:tc>
          <w:tcPr>
            <w:tcW w:type="dxa" w:w="1813"/>
            <w:shd w:val="clear" w:color="auto" w:fill="EBF3FA"/>
          </w:tcPr>
          <w:p>
            <w:pPr>
              <w:spacing w:before="40" w:after="40"/>
            </w:pPr>
            <w:r>
              <w:rPr>
                <w:color w:val="1A1A1A"/>
                <w:sz w:val="18"/>
              </w:rPr>
              <w:t>USA, global</w:t>
            </w:r>
          </w:p>
        </w:tc>
        <w:tc>
          <w:tcPr>
            <w:tcW w:type="dxa" w:w="1813"/>
            <w:shd w:val="clear" w:color="auto" w:fill="EBF3FA"/>
          </w:tcPr>
          <w:p>
            <w:pPr>
              <w:spacing w:before="40" w:after="40"/>
            </w:pPr>
            <w:r>
              <w:rPr>
                <w:color w:val="1A1A1A"/>
                <w:sz w:val="18"/>
              </w:rPr>
              <w:t>Forwarding digital + customs + supply chain</w:t>
            </w:r>
          </w:p>
        </w:tc>
        <w:tc>
          <w:tcPr>
            <w:tcW w:type="dxa" w:w="1813"/>
            <w:shd w:val="clear" w:color="auto" w:fill="EBF3FA"/>
          </w:tcPr>
          <w:p>
            <w:pPr>
              <w:spacing w:before="40" w:after="40"/>
            </w:pPr>
            <w:r>
              <w:rPr>
                <w:color w:val="1A1A1A"/>
                <w:sz w:val="18"/>
              </w:rPr>
              <w:t>✅ USD 2.7B (incluye USD 260M de Shopify ene 2024); inversor en Nuvocargo</w:t>
            </w:r>
          </w:p>
        </w:tc>
        <w:tc>
          <w:tcPr>
            <w:tcW w:type="dxa" w:w="1813"/>
            <w:shd w:val="clear" w:color="auto" w:fill="EBF3FA"/>
          </w:tcPr>
          <w:p>
            <w:pPr>
              <w:spacing w:before="40" w:after="40"/>
            </w:pPr>
            <w:r>
              <w:rPr>
                <w:color w:val="1A1A1A"/>
                <w:sz w:val="18"/>
              </w:rPr>
              <w:t>Media-Alta — más enterprise focus</w:t>
            </w:r>
          </w:p>
        </w:tc>
      </w:tr>
      <w:tr>
        <w:tc>
          <w:tcPr>
            <w:tcW w:type="dxa" w:w="1813"/>
            <w:shd w:val="clear" w:color="auto" w:fill="FFFFFF"/>
          </w:tcPr>
          <w:p>
            <w:pPr>
              <w:spacing w:before="40" w:after="40"/>
            </w:pPr>
            <w:r>
              <w:rPr>
                <w:color w:val="1A1A1A"/>
                <w:sz w:val="18"/>
              </w:rPr>
              <w:t>Forto</w:t>
            </w:r>
          </w:p>
        </w:tc>
        <w:tc>
          <w:tcPr>
            <w:tcW w:type="dxa" w:w="1813"/>
            <w:shd w:val="clear" w:color="auto" w:fill="FFFFFF"/>
          </w:tcPr>
          <w:p>
            <w:pPr>
              <w:spacing w:before="40" w:after="40"/>
            </w:pPr>
            <w:r>
              <w:rPr>
                <w:color w:val="1A1A1A"/>
                <w:sz w:val="18"/>
              </w:rPr>
              <w:t>Alemania, global</w:t>
            </w:r>
          </w:p>
        </w:tc>
        <w:tc>
          <w:tcPr>
            <w:tcW w:type="dxa" w:w="1813"/>
            <w:shd w:val="clear" w:color="auto" w:fill="FFFFFF"/>
          </w:tcPr>
          <w:p>
            <w:pPr>
              <w:spacing w:before="40" w:after="40"/>
            </w:pPr>
            <w:r>
              <w:rPr>
                <w:color w:val="1A1A1A"/>
                <w:sz w:val="18"/>
              </w:rPr>
              <w:t>Digital forwarder</w:t>
            </w:r>
          </w:p>
        </w:tc>
        <w:tc>
          <w:tcPr>
            <w:tcW w:type="dxa" w:w="1813"/>
            <w:shd w:val="clear" w:color="auto" w:fill="FFFFFF"/>
          </w:tcPr>
          <w:p>
            <w:pPr>
              <w:spacing w:before="40" w:after="40"/>
            </w:pPr>
            <w:r>
              <w:rPr>
                <w:color w:val="1A1A1A"/>
                <w:sz w:val="18"/>
              </w:rPr>
              <w:t>✅ USD 593.4M, 900+ empleados, 2.5K+ clientes</w:t>
            </w:r>
          </w:p>
        </w:tc>
        <w:tc>
          <w:tcPr>
            <w:tcW w:type="dxa" w:w="1813"/>
            <w:shd w:val="clear" w:color="auto" w:fill="FFFFFF"/>
          </w:tcPr>
          <w:p>
            <w:pPr>
              <w:spacing w:before="40" w:after="40"/>
            </w:pPr>
            <w:r>
              <w:rPr>
                <w:color w:val="1A1A1A"/>
                <w:sz w:val="18"/>
              </w:rPr>
              <w:t>Baja-Media en MX (foco principal Europa-Asia)</w:t>
            </w:r>
          </w:p>
        </w:tc>
      </w:tr>
      <w:tr>
        <w:tc>
          <w:tcPr>
            <w:tcW w:type="dxa" w:w="1813"/>
            <w:shd w:val="clear" w:color="auto" w:fill="EBF3FA"/>
          </w:tcPr>
          <w:p>
            <w:pPr>
              <w:spacing w:before="40" w:after="40"/>
            </w:pPr>
            <w:r>
              <w:rPr>
                <w:color w:val="1A1A1A"/>
                <w:sz w:val="18"/>
              </w:rPr>
              <w:t>Convoy / spin-offs</w:t>
            </w:r>
          </w:p>
        </w:tc>
        <w:tc>
          <w:tcPr>
            <w:tcW w:type="dxa" w:w="1813"/>
            <w:shd w:val="clear" w:color="auto" w:fill="EBF3FA"/>
          </w:tcPr>
          <w:p>
            <w:pPr>
              <w:spacing w:before="40" w:after="40"/>
            </w:pPr>
            <w:r>
              <w:rPr>
                <w:color w:val="1A1A1A"/>
                <w:sz w:val="18"/>
              </w:rPr>
              <w:t>USA</w:t>
            </w:r>
          </w:p>
        </w:tc>
        <w:tc>
          <w:tcPr>
            <w:tcW w:type="dxa" w:w="1813"/>
            <w:shd w:val="clear" w:color="auto" w:fill="EBF3FA"/>
          </w:tcPr>
          <w:p>
            <w:pPr>
              <w:spacing w:before="40" w:after="40"/>
            </w:pPr>
            <w:r>
              <w:rPr>
                <w:color w:val="1A1A1A"/>
                <w:sz w:val="18"/>
              </w:rPr>
              <w:t>Brokerage automatizado</w:t>
            </w:r>
          </w:p>
        </w:tc>
        <w:tc>
          <w:tcPr>
            <w:tcW w:type="dxa" w:w="1813"/>
            <w:shd w:val="clear" w:color="auto" w:fill="EBF3FA"/>
          </w:tcPr>
          <w:p>
            <w:pPr>
              <w:spacing w:before="40" w:after="40"/>
            </w:pPr>
            <w:r>
              <w:rPr>
                <w:color w:val="1A1A1A"/>
                <w:sz w:val="18"/>
              </w:rPr>
              <w:t>—</w:t>
            </w:r>
          </w:p>
        </w:tc>
        <w:tc>
          <w:tcPr>
            <w:tcW w:type="dxa" w:w="1813"/>
            <w:shd w:val="clear" w:color="auto" w:fill="EBF3FA"/>
          </w:tcPr>
          <w:p>
            <w:pPr>
              <w:spacing w:before="40" w:after="40"/>
            </w:pPr>
            <w:r>
              <w:rPr>
                <w:color w:val="1A1A1A"/>
                <w:sz w:val="18"/>
              </w:rPr>
              <w:t>Baja-Media (foco doméstico US)</w:t>
            </w:r>
          </w:p>
        </w:tc>
      </w:tr>
      <w:tr>
        <w:tc>
          <w:tcPr>
            <w:tcW w:type="dxa" w:w="1813"/>
            <w:shd w:val="clear" w:color="auto" w:fill="FFFFFF"/>
          </w:tcPr>
          <w:p>
            <w:pPr>
              <w:spacing w:before="40" w:after="40"/>
            </w:pPr>
            <w:r>
              <w:rPr>
                <w:color w:val="1A1A1A"/>
                <w:sz w:val="18"/>
              </w:rPr>
              <w:t>AduanApp</w:t>
            </w:r>
          </w:p>
        </w:tc>
        <w:tc>
          <w:tcPr>
            <w:tcW w:type="dxa" w:w="1813"/>
            <w:shd w:val="clear" w:color="auto" w:fill="FFFFFF"/>
          </w:tcPr>
          <w:p>
            <w:pPr>
              <w:spacing w:before="40" w:after="40"/>
            </w:pPr>
            <w:r>
              <w:rPr>
                <w:color w:val="1A1A1A"/>
                <w:sz w:val="18"/>
              </w:rPr>
              <w:t>México</w:t>
            </w:r>
          </w:p>
        </w:tc>
        <w:tc>
          <w:tcPr>
            <w:tcW w:type="dxa" w:w="1813"/>
            <w:shd w:val="clear" w:color="auto" w:fill="FFFFFF"/>
          </w:tcPr>
          <w:p>
            <w:pPr>
              <w:spacing w:before="40" w:after="40"/>
            </w:pPr>
            <w:r>
              <w:rPr>
                <w:color w:val="1A1A1A"/>
                <w:sz w:val="18"/>
              </w:rPr>
              <w:t>Clasificación arancelaria con IA</w:t>
            </w:r>
          </w:p>
        </w:tc>
        <w:tc>
          <w:tcPr>
            <w:tcW w:type="dxa" w:w="1813"/>
            <w:shd w:val="clear" w:color="auto" w:fill="FFFFFF"/>
          </w:tcPr>
          <w:p>
            <w:pPr>
              <w:spacing w:before="40" w:after="40"/>
            </w:pPr>
            <w:r>
              <w:rPr>
                <w:color w:val="1A1A1A"/>
                <w:sz w:val="18"/>
              </w:rPr>
              <w:t>⚠️ Funding privado no revelado</w:t>
            </w:r>
          </w:p>
        </w:tc>
        <w:tc>
          <w:tcPr>
            <w:tcW w:type="dxa" w:w="1813"/>
            <w:shd w:val="clear" w:color="auto" w:fill="FFFFFF"/>
          </w:tcPr>
          <w:p>
            <w:pPr>
              <w:spacing w:before="40" w:after="40"/>
            </w:pPr>
            <w:r>
              <w:rPr>
                <w:color w:val="1A1A1A"/>
                <w:sz w:val="18"/>
              </w:rPr>
              <w:t>Media — punto de inserción de IA en aduanal</w:t>
            </w:r>
          </w:p>
        </w:tc>
      </w:tr>
    </w:tbl>
    <w:p/>
    <w:p>
      <w:pPr>
        <w:spacing w:before="160" w:after="40"/>
      </w:pPr>
      <w:r>
        <w:rPr>
          <w:b/>
          <w:color w:val="6B7280"/>
          <w:sz w:val="22"/>
        </w:rPr>
        <w:t>Panorama competitivo</w:t>
      </w:r>
    </w:p>
    <w:p>
      <w:pPr>
        <w:pStyle w:val="ListBullet"/>
        <w:spacing w:before="0" w:after="40"/>
      </w:pPr>
      <w:r>
        <w:rPr>
          <w:b/>
          <w:color w:val="1A1A1A"/>
          <w:sz w:val="20"/>
        </w:rPr>
        <w:t>Concentración del mercado nacional:</w:t>
      </w:r>
      <w:r>
        <w:rPr>
          <w:color w:val="1A1A1A"/>
          <w:sz w:val="20"/>
        </w:rPr>
        <w:t xml:space="preserve"> Atomizado. </w:t>
      </w:r>
      <w:r>
        <w:rPr>
          <w:b/>
          <w:color w:val="1A1A1A"/>
          <w:sz w:val="20"/>
        </w:rPr>
        <w:t>80% de los permisionarios de autotransporte son micro empresas de 1-5 unidades ("hombre-camión")</w:t>
      </w:r>
      <w:r>
        <w:rPr>
          <w:color w:val="1A1A1A"/>
          <w:sz w:val="20"/>
        </w:rPr>
        <w:t>. Solo el segmento de medianas (31-100 unidades) creció proporcionalmente más en 2024-2025 (+10%).</w:t>
      </w:r>
    </w:p>
    <w:p>
      <w:pPr>
        <w:pStyle w:val="ListBullet"/>
        <w:spacing w:before="0" w:after="40"/>
      </w:pPr>
      <w:r>
        <w:rPr>
          <w:b/>
          <w:color w:val="1A1A1A"/>
          <w:sz w:val="20"/>
        </w:rPr>
        <w:t>Concentración del mercado aduanal:</w:t>
      </w:r>
      <w:r>
        <w:rPr>
          <w:color w:val="1A1A1A"/>
          <w:sz w:val="20"/>
        </w:rPr>
        <w:t xml:space="preserve"> Menos atomizado por la barrera de patente. CAAAREM representa </w:t>
      </w:r>
      <w:r>
        <w:rPr>
          <w:b/>
          <w:color w:val="1A1A1A"/>
          <w:sz w:val="20"/>
        </w:rPr>
        <w:t>99% de los agentes aduanales</w:t>
      </w:r>
      <w:r>
        <w:rPr>
          <w:color w:val="1A1A1A"/>
          <w:sz w:val="20"/>
        </w:rPr>
        <w:t xml:space="preserve"> y opera 38 asociaciones distribuidas en puertos terrestres, marítimos, aéreos e interiores.</w:t>
      </w:r>
    </w:p>
    <w:p>
      <w:pPr>
        <w:pStyle w:val="ListBullet"/>
        <w:spacing w:before="0" w:after="40"/>
      </w:pPr>
      <w:r>
        <w:rPr>
          <w:b/>
          <w:color w:val="1A1A1A"/>
          <w:sz w:val="20"/>
        </w:rPr>
        <w:t>Consolidación en curso:</w:t>
      </w:r>
      <w:r>
        <w:rPr>
          <w:color w:val="1A1A1A"/>
          <w:sz w:val="20"/>
        </w:rPr>
        <w:t xml:space="preserve"> Tech-enabled forwarders (Nuvocargo, Flexport) están adquiriendo cuentas mid-market que históricamente atendían agencias regionales. Es un movimiento de mid-2024 hacia adelante.</w:t>
      </w:r>
    </w:p>
    <w:p>
      <w:pPr>
        <w:spacing w:before="20" w:after="60"/>
      </w:pPr>
      <w:r>
        <w:rPr>
          <w:color w:val="1A1A1A"/>
          <w:sz w:val="20"/>
        </w:rPr>
        <w:t xml:space="preserve">&gt; 🔍 </w:t>
      </w:r>
      <w:r>
        <w:rPr>
          <w:b/>
          <w:color w:val="1A1A1A"/>
          <w:sz w:val="20"/>
        </w:rPr>
        <w:t>Análisis para Trixx específicamente:</w:t>
      </w:r>
      <w:r>
        <w:rPr>
          <w:color w:val="1A1A1A"/>
          <w:sz w:val="20"/>
        </w:rPr>
        <w:t xml:space="preserve"> El competidor más relevante NO es otra agencia aduanal de Tijuana — es </w:t>
      </w:r>
      <w:r>
        <w:rPr>
          <w:b/>
          <w:color w:val="1A1A1A"/>
          <w:sz w:val="20"/>
        </w:rPr>
        <w:t>Nuvocargo</w:t>
      </w:r>
      <w:r>
        <w:rPr>
          <w:color w:val="1A1A1A"/>
          <w:sz w:val="20"/>
        </w:rPr>
        <w:t>. Nuvocargo opera el mismo corredor US-MX con foco en el segmento mid-market, plataforma digital, visibility en tiempo real y financiamiento de USD 74M+. Si Trixx no construye una propuesta digital diferenciada en los próximos 18-24 meses, Nuvocargo (o su sucesor) le va a comer la base de clientes que hoy depende del modelo relacional + Excel.</w:t>
      </w:r>
    </w:p>
    <w:p>
      <w:pPr>
        <w:spacing w:before="40" w:after="40"/>
      </w:pPr>
    </w:p>
    <w:p>
      <w:pPr>
        <w:spacing w:before="280" w:after="60"/>
        <w:pBdr>
          <w:bottom w:val="single" w:sz="4" w:space="1" w:color="0EA5E9"/>
        </w:pBdr>
      </w:pPr>
      <w:r>
        <w:rPr>
          <w:b/>
          <w:color w:val="0EA5E9"/>
          <w:sz w:val="28"/>
        </w:rPr>
        <w:t>3. TENDENCIAS CLAVE (3-5 AÑOS)</w:t>
      </w:r>
    </w:p>
    <w:p>
      <w:pPr>
        <w:spacing w:before="160" w:after="40"/>
      </w:pPr>
      <w:r>
        <w:rPr>
          <w:b/>
          <w:color w:val="6B7280"/>
          <w:sz w:val="22"/>
        </w:rPr>
        <w:t>Tendencias tecnológicas</w:t>
      </w:r>
    </w:p>
    <w:p>
      <w:pPr>
        <w:spacing w:before="20" w:after="60"/>
      </w:pPr>
      <w:r>
        <w:rPr>
          <w:b/>
          <w:color w:val="1A1A1A"/>
          <w:sz w:val="20"/>
        </w:rPr>
        <w:t>1. IA aplicada a clasificación arancelaria (early-adopter window 2024-2026).</w:t>
      </w:r>
      <w:r>
        <w:rPr>
          <w:color w:val="1A1A1A"/>
          <w:sz w:val="20"/>
        </w:rPr>
        <w:t xml:space="preserve"> La clasificación de fracciones TIGIE / Sistema Armonizado es el cuello de botella histórico del despacho aduanero. </w:t>
      </w:r>
      <w:r>
        <w:rPr>
          <w:b/>
          <w:color w:val="1A1A1A"/>
          <w:sz w:val="20"/>
        </w:rPr>
        <w:t>AduanApp</w:t>
      </w:r>
      <w:r>
        <w:rPr>
          <w:color w:val="1A1A1A"/>
          <w:sz w:val="20"/>
        </w:rPr>
        <w:t xml:space="preserve"> clasifica cada operación en 7-13 segundos con 95% de precisión usando LLMs + computer vision + APIs. </w:t>
      </w:r>
      <w:r>
        <w:rPr>
          <w:b/>
          <w:color w:val="1A1A1A"/>
          <w:sz w:val="20"/>
        </w:rPr>
        <w:t>Taxer</w:t>
      </w:r>
      <w:r>
        <w:rPr>
          <w:color w:val="1A1A1A"/>
          <w:sz w:val="20"/>
        </w:rPr>
        <w:t xml:space="preserve"> reporta 56% reducción en tiempos de flujo. En noviembre 2024, la AAADAM organizó el </w:t>
      </w:r>
      <w:r>
        <w:rPr>
          <w:b/>
          <w:color w:val="1A1A1A"/>
          <w:sz w:val="20"/>
        </w:rPr>
        <w:t>Primer Concurso de Proveedores de Clasificación Arancelaria No Humana</w:t>
      </w:r>
      <w:r>
        <w:rPr>
          <w:color w:val="1A1A1A"/>
          <w:sz w:val="20"/>
        </w:rPr>
        <w:t xml:space="preserve"> con Taxer, Moco AI, AduanApp y Experta como participantes — señal de que la industria reconoce el cambio como inevitable.</w:t>
      </w:r>
    </w:p>
    <w:p>
      <w:pPr>
        <w:spacing w:before="20" w:after="60"/>
      </w:pPr>
      <w:r>
        <w:rPr>
          <w:b/>
          <w:color w:val="1A1A1A"/>
          <w:sz w:val="20"/>
        </w:rPr>
        <w:t>2. Visibility platforms multimodales.</w:t>
      </w:r>
      <w:r>
        <w:rPr>
          <w:color w:val="1A1A1A"/>
          <w:sz w:val="20"/>
        </w:rPr>
        <w:t xml:space="preserve"> Project44, FourKites, MacroPoint, Nuvocargo han incorporado tracking en tiempo real como expectativa del cliente. Los forwarders locales sin esta capacidad están perdiendo cuentas mid-market que la solicitan en RFQs.</w:t>
      </w:r>
    </w:p>
    <w:p>
      <w:pPr>
        <w:spacing w:before="20" w:after="60"/>
      </w:pPr>
      <w:r>
        <w:rPr>
          <w:b/>
          <w:color w:val="1A1A1A"/>
          <w:sz w:val="20"/>
        </w:rPr>
        <w:t>3. Automatización documental.</w:t>
      </w:r>
      <w:r>
        <w:rPr>
          <w:color w:val="1A1A1A"/>
          <w:sz w:val="20"/>
        </w:rPr>
        <w:t xml:space="preserve"> OCR + NER + validación contra reglas SAT para pedimentos, BOLs, cartas porte, packing lists. El costo del software ha bajado dramáticamente (LLMs commoditizados) mientras el costo de operadores de captura sigue subiendo.</w:t>
      </w:r>
    </w:p>
    <w:p>
      <w:pPr>
        <w:spacing w:before="160" w:after="40"/>
      </w:pPr>
      <w:r>
        <w:rPr>
          <w:b/>
          <w:color w:val="6B7280"/>
          <w:sz w:val="22"/>
        </w:rPr>
        <w:t>Tendencias del cliente final</w:t>
      </w:r>
    </w:p>
    <w:p>
      <w:pPr>
        <w:spacing w:before="20" w:after="60"/>
      </w:pPr>
      <w:r>
        <w:rPr>
          <w:b/>
          <w:color w:val="1A1A1A"/>
          <w:sz w:val="20"/>
        </w:rPr>
        <w:t>1. Expectativa de visibility 24/7.</w:t>
      </w:r>
      <w:r>
        <w:rPr>
          <w:color w:val="1A1A1A"/>
          <w:sz w:val="20"/>
        </w:rPr>
        <w:t xml:space="preserve"> El cliente B2B ya no acepta "te llamamos cuando llegue" — espera dashboard, alertas push, ETA dinámico. Esta expectativa proviene de retail B2C (Amazon, Mercado Libre) y se transfiere a logística B2B.</w:t>
      </w:r>
    </w:p>
    <w:p>
      <w:pPr>
        <w:spacing w:before="20" w:after="60"/>
      </w:pPr>
      <w:r>
        <w:rPr>
          <w:b/>
          <w:color w:val="1A1A1A"/>
          <w:sz w:val="20"/>
        </w:rPr>
        <w:t>2. Self-service en cotización para flujos recurrentes.</w:t>
      </w:r>
      <w:r>
        <w:rPr>
          <w:color w:val="1A1A1A"/>
          <w:sz w:val="20"/>
        </w:rPr>
        <w:t xml:space="preserve"> RFQs digitales con respuesta en horas (no días) son hoy estándar entre forwarders tech-enabled.</w:t>
      </w:r>
    </w:p>
    <w:p>
      <w:pPr>
        <w:spacing w:before="20" w:after="60"/>
      </w:pPr>
      <w:r>
        <w:rPr>
          <w:b/>
          <w:color w:val="1A1A1A"/>
          <w:sz w:val="20"/>
        </w:rPr>
        <w:t>3. Sustentabilidad como criterio creciente.</w:t>
      </w:r>
      <w:r>
        <w:rPr>
          <w:color w:val="1A1A1A"/>
          <w:sz w:val="20"/>
        </w:rPr>
        <w:t xml:space="preserve"> Reportes de emisiones por envío, transporte eléctrico/híbrido, compliance ESG son requisitos crecientes para clientes multinacionales con operaciones en MX.</w:t>
      </w:r>
    </w:p>
    <w:p>
      <w:pPr>
        <w:spacing w:before="160" w:after="40"/>
      </w:pPr>
      <w:r>
        <w:rPr>
          <w:b/>
          <w:color w:val="6B7280"/>
          <w:sz w:val="22"/>
        </w:rPr>
        <w:t>Tendencias regulatorias</w:t>
      </w:r>
    </w:p>
    <w:p>
      <w:pPr>
        <w:spacing w:before="80" w:after="40"/>
      </w:pPr>
      <w:r>
        <w:rPr>
          <w:b/>
          <w:color w:val="0C1A2E"/>
          <w:sz w:val="20"/>
        </w:rPr>
        <w:t>1. Reforma Ley Aduanera 2025 (vigor 1-ene-2026).</w:t>
      </w:r>
    </w:p>
    <w:p>
      <w:pPr>
        <w:pStyle w:val="ListBullet"/>
        <w:spacing w:before="0" w:after="40"/>
      </w:pPr>
      <w:r>
        <w:rPr>
          <w:color w:val="1A1A1A"/>
          <w:sz w:val="20"/>
        </w:rPr>
        <w:t xml:space="preserve">⚠️ Las patentes de agente aduanal dejan de ser </w:t>
      </w:r>
      <w:r>
        <w:rPr>
          <w:b/>
          <w:color w:val="1A1A1A"/>
          <w:sz w:val="20"/>
        </w:rPr>
        <w:t>vitalicias</w:t>
      </w:r>
      <w:r>
        <w:rPr>
          <w:color w:val="1A1A1A"/>
          <w:sz w:val="20"/>
        </w:rPr>
        <w:t xml:space="preserve">; ahora tienen </w:t>
      </w:r>
      <w:r>
        <w:rPr>
          <w:b/>
          <w:color w:val="1A1A1A"/>
          <w:sz w:val="20"/>
        </w:rPr>
        <w:t>vigencia 20 años + prórroga sujeta a requisitos</w:t>
      </w:r>
      <w:r>
        <w:rPr>
          <w:color w:val="1A1A1A"/>
          <w:sz w:val="20"/>
        </w:rPr>
        <w:t>.</w:t>
      </w:r>
    </w:p>
    <w:p>
      <w:pPr>
        <w:pStyle w:val="ListBullet"/>
        <w:spacing w:before="0" w:after="40"/>
      </w:pPr>
      <w:r>
        <w:rPr>
          <w:color w:val="1A1A1A"/>
          <w:sz w:val="20"/>
        </w:rPr>
        <w:t xml:space="preserve">⚠️ Certificaciones periódicas </w:t>
      </w:r>
      <w:r>
        <w:rPr>
          <w:b/>
          <w:color w:val="1A1A1A"/>
          <w:sz w:val="20"/>
        </w:rPr>
        <w:t>cada 3 años</w:t>
      </w:r>
      <w:r>
        <w:rPr>
          <w:color w:val="1A1A1A"/>
          <w:sz w:val="20"/>
        </w:rPr>
        <w:t>.</w:t>
      </w:r>
    </w:p>
    <w:p>
      <w:pPr>
        <w:pStyle w:val="ListBullet"/>
        <w:spacing w:before="0" w:after="40"/>
      </w:pPr>
      <w:r>
        <w:rPr>
          <w:color w:val="1A1A1A"/>
          <w:sz w:val="20"/>
        </w:rPr>
        <w:t xml:space="preserve">⚠️ Se crea un nuevo </w:t>
      </w:r>
      <w:r>
        <w:rPr>
          <w:b/>
          <w:color w:val="1A1A1A"/>
          <w:sz w:val="20"/>
        </w:rPr>
        <w:t>Consejo Aduanero</w:t>
      </w:r>
      <w:r>
        <w:rPr>
          <w:color w:val="1A1A1A"/>
          <w:sz w:val="20"/>
        </w:rPr>
        <w:t xml:space="preserve"> para otorgar, suspender, cancelar e inhabilitar patentes.</w:t>
      </w:r>
    </w:p>
    <w:p>
      <w:pPr>
        <w:pStyle w:val="ListBullet"/>
        <w:spacing w:before="0" w:after="40"/>
      </w:pPr>
      <w:r>
        <w:rPr>
          <w:color w:val="1A1A1A"/>
          <w:sz w:val="20"/>
        </w:rPr>
        <w:t xml:space="preserve">⚠️ Se elimina la exclusión de responsabilidad: el agente aduanal AHORA es </w:t>
      </w:r>
      <w:r>
        <w:rPr>
          <w:b/>
          <w:color w:val="1A1A1A"/>
          <w:sz w:val="20"/>
        </w:rPr>
        <w:t>responsable solidario con el importador/exportador</w:t>
      </w:r>
      <w:r>
        <w:rPr>
          <w:color w:val="1A1A1A"/>
          <w:sz w:val="20"/>
        </w:rPr>
        <w:t xml:space="preserve"> sobre clasificación, valor, impuestos.</w:t>
      </w:r>
    </w:p>
    <w:p>
      <w:pPr>
        <w:pStyle w:val="ListBullet"/>
        <w:spacing w:before="0" w:after="40"/>
      </w:pPr>
      <w:r>
        <w:rPr>
          <w:color w:val="1A1A1A"/>
          <w:sz w:val="20"/>
        </w:rPr>
        <w:t>Fuente: Decreto publicado en DOF el 19 noviembre 2025.</w:t>
      </w:r>
    </w:p>
    <w:p>
      <w:pPr>
        <w:spacing w:before="80" w:after="40"/>
      </w:pPr>
      <w:r>
        <w:rPr>
          <w:b/>
          <w:color w:val="0C1A2E"/>
          <w:sz w:val="20"/>
        </w:rPr>
        <w:t>2. CFDI 4.0 + Complemento Carta Porte 3.1 (vigente desde julio 2024).</w:t>
      </w:r>
    </w:p>
    <w:p>
      <w:pPr>
        <w:pStyle w:val="ListBullet"/>
        <w:spacing w:before="0" w:after="40"/>
      </w:pPr>
      <w:r>
        <w:rPr>
          <w:color w:val="1A1A1A"/>
          <w:sz w:val="20"/>
        </w:rPr>
        <w:t>✅ Obligatorio para cualquier persona física o moral que transporte mercancía propia o de terceros por territorio nacional.</w:t>
      </w:r>
    </w:p>
    <w:p>
      <w:pPr>
        <w:pStyle w:val="ListBullet"/>
        <w:spacing w:before="0" w:after="40"/>
      </w:pPr>
      <w:r>
        <w:rPr>
          <w:color w:val="1A1A1A"/>
          <w:sz w:val="20"/>
        </w:rPr>
        <w:t>✅ Multas: $850-$19,240 MXN por CFDI con error; $27,760-$53,650 MXN por vehículo detenido sin CFDI.</w:t>
      </w:r>
    </w:p>
    <w:p>
      <w:pPr>
        <w:pStyle w:val="ListBullet"/>
        <w:spacing w:before="0" w:after="40"/>
      </w:pPr>
      <w:r>
        <w:rPr>
          <w:color w:val="1A1A1A"/>
          <w:sz w:val="20"/>
        </w:rPr>
        <w:t>✅ Art. 103 CFF: contrabando presunto sin CFDI con Carta Porte; Art. 104 IV: prisión 3-6 años.</w:t>
      </w:r>
    </w:p>
    <w:p>
      <w:pPr>
        <w:spacing w:before="20" w:after="60"/>
      </w:pPr>
      <w:r>
        <w:rPr>
          <w:b/>
          <w:color w:val="1A1A1A"/>
          <w:sz w:val="20"/>
        </w:rPr>
        <w:t>3. USMCA / T-MEC Review 2026.</w:t>
      </w:r>
      <w:r>
        <w:rPr>
          <w:color w:val="1A1A1A"/>
          <w:sz w:val="20"/>
        </w:rPr>
        <w:t xml:space="preserve"> Joint review formal lanzado 18 marzo 2026 por USTR Greer + Secretaría Ebrard. Decisión 1-jul-2026: renovar 16 años as-is, renegociar, o iniciar sunset countdown que terminaría 1-jul-2036. </w:t>
      </w:r>
      <w:r>
        <w:rPr>
          <w:b/>
          <w:color w:val="1A1A1A"/>
          <w:sz w:val="20"/>
        </w:rPr>
        <w:t>USMCA utilization MX exportadores: 44.8% en enero 2025 → 85% en enero 2026</w:t>
      </w:r>
      <w:r>
        <w:rPr>
          <w:color w:val="1A1A1A"/>
          <w:sz w:val="20"/>
        </w:rPr>
        <w:t xml:space="preserve"> — empresas están restructurando supply chains para calificar.</w:t>
      </w:r>
    </w:p>
    <w:p>
      <w:pPr>
        <w:spacing w:before="80" w:after="40"/>
      </w:pPr>
      <w:r>
        <w:rPr>
          <w:b/>
          <w:color w:val="0C1A2E"/>
          <w:sz w:val="20"/>
        </w:rPr>
        <w:t>4. Aranceles US 2025-2026 (volátil).</w:t>
      </w:r>
    </w:p>
    <w:p>
      <w:pPr>
        <w:pStyle w:val="ListBullet"/>
        <w:spacing w:before="0" w:after="40"/>
      </w:pPr>
      <w:r>
        <w:rPr>
          <w:color w:val="1A1A1A"/>
          <w:sz w:val="20"/>
        </w:rPr>
        <w:t>Marzo 2025: 25% IEEPA tariff vigor.</w:t>
      </w:r>
    </w:p>
    <w:p>
      <w:pPr>
        <w:pStyle w:val="ListBullet"/>
        <w:spacing w:before="0" w:after="40"/>
      </w:pPr>
      <w:r>
        <w:rPr>
          <w:color w:val="1A1A1A"/>
          <w:sz w:val="20"/>
        </w:rPr>
        <w:t>Febrero 2026: Corte Suprema US elimina IEEPA tariff.</w:t>
      </w:r>
    </w:p>
    <w:p>
      <w:pPr>
        <w:pStyle w:val="ListBullet"/>
        <w:spacing w:before="0" w:after="40"/>
      </w:pPr>
      <w:r>
        <w:rPr>
          <w:color w:val="1A1A1A"/>
          <w:sz w:val="20"/>
        </w:rPr>
        <w:t>Inmediatamente: 10% Sección 122 vigor hasta 24-jul-2026 (USMCA-compliant goods exentos).</w:t>
      </w:r>
    </w:p>
    <w:p>
      <w:pPr>
        <w:pStyle w:val="ListBullet"/>
        <w:spacing w:before="0" w:after="40"/>
      </w:pPr>
      <w:r>
        <w:rPr>
          <w:color w:val="1A1A1A"/>
          <w:sz w:val="20"/>
        </w:rPr>
        <w:t>Abril 2026: Sección 232 restructurada — 50% (primario) o 25% (derivados) sobre metales, ampliando exposición.</w:t>
      </w:r>
    </w:p>
    <w:p>
      <w:pPr>
        <w:spacing w:before="160" w:after="40"/>
      </w:pPr>
      <w:r>
        <w:rPr>
          <w:b/>
          <w:color w:val="6B7280"/>
          <w:sz w:val="22"/>
        </w:rPr>
        <w:t>Tendencias de globalización</w:t>
      </w:r>
    </w:p>
    <w:p>
      <w:pPr>
        <w:spacing w:before="20" w:after="60"/>
      </w:pPr>
      <w:r>
        <w:rPr>
          <w:b/>
          <w:color w:val="1A1A1A"/>
          <w:sz w:val="20"/>
        </w:rPr>
        <w:t>Diversificación China → Sudeste asiático / Taiwán.</w:t>
      </w:r>
      <w:r>
        <w:rPr>
          <w:color w:val="1A1A1A"/>
          <w:sz w:val="20"/>
        </w:rPr>
        <w:t xml:space="preserve"> Las importaciones México desde Taiwán crecieron </w:t>
      </w:r>
      <w:r>
        <w:rPr>
          <w:b/>
          <w:color w:val="1A1A1A"/>
          <w:sz w:val="20"/>
        </w:rPr>
        <w:t>+400% YoY en febrero 2026</w:t>
      </w:r>
      <w:r>
        <w:rPr>
          <w:color w:val="1A1A1A"/>
          <w:sz w:val="20"/>
        </w:rPr>
        <w:t xml:space="preserve"> desplazando flujos antes chinos para cumplir reglas T-MEC. China sigue siendo top-2 socio comercial de MX pero ha pasado de </w:t>
      </w:r>
      <w:r>
        <w:rPr>
          <w:b/>
          <w:color w:val="1A1A1A"/>
          <w:sz w:val="20"/>
        </w:rPr>
        <w:t>+12.8% crecimiento en 2024 a solo +2.9% en 2025</w:t>
      </w:r>
      <w:r>
        <w:rPr>
          <w:color w:val="1A1A1A"/>
          <w:sz w:val="20"/>
        </w:rPr>
        <w:t xml:space="preserve"> por barreras arancelarias mexicanas. Esto impacta directamente a operadores como Trixx que dependen del flow China-MX-USA.</w:t>
      </w:r>
    </w:p>
    <w:p>
      <w:pPr>
        <w:spacing w:before="40" w:after="40"/>
      </w:pPr>
    </w:p>
    <w:p>
      <w:pPr>
        <w:spacing w:before="280" w:after="60"/>
        <w:pBdr>
          <w:bottom w:val="single" w:sz="4" w:space="1" w:color="0EA5E9"/>
        </w:pBdr>
      </w:pPr>
      <w:r>
        <w:rPr>
          <w:b/>
          <w:color w:val="0EA5E9"/>
          <w:sz w:val="28"/>
        </w:rPr>
        <w:t>4. ANÁLISIS DE PROVEEDORES</w:t>
      </w:r>
    </w:p>
    <w:p>
      <w:pPr>
        <w:spacing w:before="160" w:after="40"/>
      </w:pPr>
      <w:r>
        <w:rPr>
          <w:b/>
          <w:color w:val="6B7280"/>
          <w:sz w:val="22"/>
        </w:rPr>
        <w:t>Estructura de la cadena de suministro</w:t>
      </w:r>
    </w:p>
    <w:p>
      <w:pPr>
        <w:spacing w:before="20" w:after="60"/>
      </w:pPr>
      <w:r>
        <w:rPr>
          <w:color w:val="1A1A1A"/>
          <w:sz w:val="20"/>
        </w:rPr>
        <w:t>La cadena upstream de un operador integrado como Trixx incluye:</w:t>
      </w:r>
    </w:p>
    <w:p>
      <w:pPr>
        <w:pStyle w:val="ListNumber"/>
        <w:spacing w:before="0" w:after="40"/>
      </w:pPr>
      <w:r>
        <w:rPr>
          <w:b/>
          <w:color w:val="1A1A1A"/>
          <w:sz w:val="20"/>
        </w:rPr>
        <w:t>Combustible (diesel principalmente).</w:t>
      </w:r>
      <w:r>
        <w:rPr>
          <w:color w:val="1A1A1A"/>
          <w:sz w:val="20"/>
        </w:rPr>
        <w:t xml:space="preserve"> PEMEX y privados. Volatilidad alta por subsidio cambiante y precios internacionales.</w:t>
      </w:r>
    </w:p>
    <w:p>
      <w:pPr>
        <w:pStyle w:val="ListNumber"/>
        <w:spacing w:before="0" w:after="40"/>
      </w:pPr>
      <w:r>
        <w:rPr>
          <w:b/>
          <w:color w:val="1A1A1A"/>
          <w:sz w:val="20"/>
        </w:rPr>
        <w:t>Mantenimiento de flota.</w:t>
      </w:r>
      <w:r>
        <w:rPr>
          <w:color w:val="1A1A1A"/>
          <w:sz w:val="20"/>
        </w:rPr>
        <w:t xml:space="preserve"> Refacciones, llantas, talleres especializados. Mercado fragmentado.</w:t>
      </w:r>
    </w:p>
    <w:p>
      <w:pPr>
        <w:pStyle w:val="ListNumber"/>
        <w:spacing w:before="0" w:after="40"/>
      </w:pPr>
      <w:r>
        <w:rPr>
          <w:b/>
          <w:color w:val="1A1A1A"/>
          <w:sz w:val="20"/>
        </w:rPr>
        <w:t>Drivers / operadores.</w:t>
      </w:r>
      <w:r>
        <w:rPr>
          <w:color w:val="1A1A1A"/>
          <w:sz w:val="20"/>
        </w:rPr>
        <w:t xml:space="preserve"> Recurso escaso a nivel nacional — escasez estructural de ~50K drivers según CANACAR. Conflict con maquila por talento.</w:t>
      </w:r>
    </w:p>
    <w:p>
      <w:pPr>
        <w:pStyle w:val="ListNumber"/>
        <w:spacing w:before="0" w:after="40"/>
      </w:pPr>
      <w:r>
        <w:rPr>
          <w:b/>
          <w:color w:val="1A1A1A"/>
          <w:sz w:val="20"/>
        </w:rPr>
        <w:t>Capacidad aérea / marítima subcontratada.</w:t>
      </w:r>
      <w:r>
        <w:rPr>
          <w:color w:val="1A1A1A"/>
          <w:sz w:val="20"/>
        </w:rPr>
        <w:t xml:space="preserve"> Aerolíneas cargueras (Aeroméxico Cargo, AFKLM), navieras (Maersk, MSC, CMA CGM, COSCO). Concentración media-alta.</w:t>
      </w:r>
    </w:p>
    <w:p>
      <w:pPr>
        <w:pStyle w:val="ListNumber"/>
        <w:spacing w:before="0" w:after="40"/>
      </w:pPr>
      <w:r>
        <w:rPr>
          <w:b/>
          <w:color w:val="1A1A1A"/>
          <w:sz w:val="20"/>
        </w:rPr>
        <w:t>Software / TI.</w:t>
      </w:r>
      <w:r>
        <w:rPr>
          <w:color w:val="1A1A1A"/>
          <w:sz w:val="20"/>
        </w:rPr>
        <w:t xml:space="preserve"> ERP, TMS, WMS, software aduanal (CAAAREM SIAR, Aduanasoft, etc.). Mercado fragmentado con jugadores locales y globales.</w:t>
      </w:r>
    </w:p>
    <w:p>
      <w:pPr>
        <w:pStyle w:val="ListNumber"/>
        <w:spacing w:before="0" w:after="40"/>
      </w:pPr>
      <w:r>
        <w:rPr>
          <w:b/>
          <w:color w:val="1A1A1A"/>
          <w:sz w:val="20"/>
        </w:rPr>
        <w:t>Recintos fiscalizados.</w:t>
      </w:r>
      <w:r>
        <w:rPr>
          <w:color w:val="1A1A1A"/>
          <w:sz w:val="20"/>
        </w:rPr>
        <w:t xml:space="preserve"> Aduanas + recintos privados en cada plaza. Capacidad limitada en Tijuana.</w:t>
      </w:r>
    </w:p>
    <w:p>
      <w:pPr>
        <w:spacing w:before="160" w:after="40"/>
      </w:pPr>
      <w:r>
        <w:rPr>
          <w:b/>
          <w:color w:val="6B7280"/>
          <w:sz w:val="22"/>
        </w:rPr>
        <w:t>Concentración y poder de negociación</w:t>
      </w:r>
    </w:p>
    <w:p>
      <w:pPr>
        <w:pStyle w:val="ListBullet"/>
        <w:spacing w:before="0" w:after="40"/>
      </w:pPr>
      <w:r>
        <w:rPr>
          <w:b/>
          <w:color w:val="1A1A1A"/>
          <w:sz w:val="20"/>
        </w:rPr>
        <w:t>Combustible:</w:t>
      </w:r>
      <w:r>
        <w:rPr>
          <w:color w:val="1A1A1A"/>
          <w:sz w:val="20"/>
        </w:rPr>
        <w:t xml:space="preserve"> Poder MEDIO de proveedor (alternativas existen, subsidio modifica el cálculo).</w:t>
      </w:r>
    </w:p>
    <w:p>
      <w:pPr>
        <w:pStyle w:val="ListBullet"/>
        <w:spacing w:before="0" w:after="40"/>
      </w:pPr>
      <w:r>
        <w:rPr>
          <w:b/>
          <w:color w:val="1A1A1A"/>
          <w:sz w:val="20"/>
        </w:rPr>
        <w:t>Drivers:</w:t>
      </w:r>
      <w:r>
        <w:rPr>
          <w:color w:val="1A1A1A"/>
          <w:sz w:val="20"/>
        </w:rPr>
        <w:t xml:space="preserve"> Poder ALTO del recurso (escasez estructural; rotación 30-40% anual en sector según industria).</w:t>
      </w:r>
    </w:p>
    <w:p>
      <w:pPr>
        <w:pStyle w:val="ListBullet"/>
        <w:spacing w:before="0" w:after="40"/>
      </w:pPr>
      <w:r>
        <w:rPr>
          <w:b/>
          <w:color w:val="1A1A1A"/>
          <w:sz w:val="20"/>
        </w:rPr>
        <w:t>Capacidad aérea/marítima:</w:t>
      </w:r>
      <w:r>
        <w:rPr>
          <w:color w:val="1A1A1A"/>
          <w:sz w:val="20"/>
        </w:rPr>
        <w:t xml:space="preserve"> Poder ALTO en pico de demanda (post-pandemia 2021-2022 fue extremo; 2024-2025 normalizado pero volátil).</w:t>
      </w:r>
    </w:p>
    <w:p>
      <w:pPr>
        <w:pStyle w:val="ListBullet"/>
        <w:spacing w:before="0" w:after="40"/>
      </w:pPr>
      <w:r>
        <w:rPr>
          <w:b/>
          <w:color w:val="1A1A1A"/>
          <w:sz w:val="20"/>
        </w:rPr>
        <w:t>Software:</w:t>
      </w:r>
      <w:r>
        <w:rPr>
          <w:color w:val="1A1A1A"/>
          <w:sz w:val="20"/>
        </w:rPr>
        <w:t xml:space="preserve"> Poder BAJO (muchos proveedores, switching cost moderado).</w:t>
      </w:r>
    </w:p>
    <w:p>
      <w:pPr>
        <w:pStyle w:val="ListBullet"/>
        <w:spacing w:before="0" w:after="40"/>
      </w:pPr>
      <w:r>
        <w:rPr>
          <w:b/>
          <w:color w:val="1A1A1A"/>
          <w:sz w:val="20"/>
        </w:rPr>
        <w:t>Recintos fiscalizados:</w:t>
      </w:r>
      <w:r>
        <w:rPr>
          <w:color w:val="1A1A1A"/>
          <w:sz w:val="20"/>
        </w:rPr>
        <w:t xml:space="preserve"> Poder ALTO en plazas saturadas (Tijuana incluida).</w:t>
      </w:r>
    </w:p>
    <w:p>
      <w:pPr>
        <w:spacing w:before="160" w:after="40"/>
      </w:pPr>
      <w:r>
        <w:rPr>
          <w:b/>
          <w:color w:val="6B7280"/>
          <w:sz w:val="22"/>
        </w:rPr>
        <w:t>Disponibilidad y riesgos de suministro</w:t>
      </w:r>
    </w:p>
    <w:p>
      <w:pPr>
        <w:pStyle w:val="ListBullet"/>
        <w:spacing w:before="0" w:after="40"/>
      </w:pPr>
      <w:r>
        <w:rPr>
          <w:color w:val="1A1A1A"/>
          <w:sz w:val="20"/>
        </w:rPr>
        <w:t xml:space="preserve">✅ </w:t>
      </w:r>
      <w:r>
        <w:rPr>
          <w:b/>
          <w:color w:val="1A1A1A"/>
          <w:sz w:val="20"/>
        </w:rPr>
        <w:t>Escasez de operadores con licencia federal categoría B/E:</w:t>
      </w:r>
      <w:r>
        <w:rPr>
          <w:color w:val="1A1A1A"/>
          <w:sz w:val="20"/>
        </w:rPr>
        <w:t xml:space="preserve"> documentada por CANACAR como restricción estructural al crecimiento del sector.</w:t>
      </w:r>
    </w:p>
    <w:p>
      <w:pPr>
        <w:pStyle w:val="ListBullet"/>
        <w:spacing w:before="0" w:after="40"/>
      </w:pPr>
      <w:r>
        <w:rPr>
          <w:color w:val="1A1A1A"/>
          <w:sz w:val="20"/>
        </w:rPr>
        <w:t xml:space="preserve">⚠️ </w:t>
      </w:r>
      <w:r>
        <w:rPr>
          <w:b/>
          <w:color w:val="1A1A1A"/>
          <w:sz w:val="20"/>
        </w:rPr>
        <w:t>Volatilidad en diésel:</w:t>
      </w:r>
      <w:r>
        <w:rPr>
          <w:color w:val="1A1A1A"/>
          <w:sz w:val="20"/>
        </w:rPr>
        <w:t xml:space="preserve"> subsidio mexicano puede cambiar entre administraciones; precio internacional afecta margen directamente.</w:t>
      </w:r>
    </w:p>
    <w:p>
      <w:pPr>
        <w:pStyle w:val="ListBullet"/>
        <w:spacing w:before="0" w:after="40"/>
      </w:pPr>
      <w:r>
        <w:rPr>
          <w:color w:val="1A1A1A"/>
          <w:sz w:val="20"/>
        </w:rPr>
        <w:t xml:space="preserve">⚠️ </w:t>
      </w:r>
      <w:r>
        <w:rPr>
          <w:b/>
          <w:color w:val="1A1A1A"/>
          <w:sz w:val="20"/>
        </w:rPr>
        <w:t>Concentración en recintos fiscalizados de Tijuana:</w:t>
      </w:r>
      <w:r>
        <w:rPr>
          <w:color w:val="1A1A1A"/>
          <w:sz w:val="20"/>
        </w:rPr>
        <w:t xml:space="preserve"> ampliaciones de capacidad (Mesa de Otay, Otay II) toman años; cuello de botella periódico.</w:t>
      </w:r>
    </w:p>
    <w:p>
      <w:pPr>
        <w:spacing w:before="160" w:after="40"/>
      </w:pPr>
      <w:r>
        <w:rPr>
          <w:b/>
          <w:color w:val="6B7280"/>
          <w:sz w:val="22"/>
        </w:rPr>
        <w:t>Tendencias en precios de insumos</w:t>
      </w:r>
    </w:p>
    <w:p>
      <w:pPr>
        <w:pStyle w:val="ListBullet"/>
        <w:spacing w:before="0" w:after="40"/>
      </w:pPr>
      <w:r>
        <w:rPr>
          <w:color w:val="1A1A1A"/>
          <w:sz w:val="20"/>
        </w:rPr>
        <w:t>Diésel MX: estable con tendencia ligeramente alcista 2024-2026 (sin estallidos extremos como 2021-2022).</w:t>
      </w:r>
    </w:p>
    <w:p>
      <w:pPr>
        <w:pStyle w:val="ListBullet"/>
        <w:spacing w:before="0" w:after="40"/>
      </w:pPr>
      <w:r>
        <w:rPr>
          <w:color w:val="1A1A1A"/>
          <w:sz w:val="20"/>
        </w:rPr>
        <w:t>Llantas y refacciones: presión inflacionaria moderada.</w:t>
      </w:r>
    </w:p>
    <w:p>
      <w:pPr>
        <w:pStyle w:val="ListBullet"/>
        <w:spacing w:before="0" w:after="40"/>
      </w:pPr>
      <w:r>
        <w:rPr>
          <w:color w:val="1A1A1A"/>
          <w:sz w:val="20"/>
        </w:rPr>
        <w:t>Drivers: presión salarial sostenida (CANACAR documenta incrementos de 8-12% anuales en 2023-2025).</w:t>
      </w:r>
    </w:p>
    <w:p>
      <w:pPr>
        <w:pStyle w:val="ListBullet"/>
        <w:spacing w:before="0" w:after="40"/>
      </w:pPr>
      <w:r>
        <w:rPr>
          <w:color w:val="1A1A1A"/>
          <w:sz w:val="20"/>
        </w:rPr>
        <w:t xml:space="preserve">Software/IA: </w:t>
      </w:r>
      <w:r>
        <w:rPr>
          <w:b/>
          <w:color w:val="1A1A1A"/>
          <w:sz w:val="20"/>
        </w:rPr>
        <w:t>bajando</w:t>
      </w:r>
      <w:r>
        <w:rPr>
          <w:color w:val="1A1A1A"/>
          <w:sz w:val="20"/>
        </w:rPr>
        <w:t xml:space="preserve"> (commoditización de LLMs reduce costo de adopción).</w:t>
      </w:r>
    </w:p>
    <w:p>
      <w:pPr>
        <w:spacing w:before="40" w:after="40"/>
      </w:pPr>
    </w:p>
    <w:p>
      <w:pPr>
        <w:spacing w:before="280" w:after="60"/>
        <w:pBdr>
          <w:bottom w:val="single" w:sz="4" w:space="1" w:color="0EA5E9"/>
        </w:pBdr>
      </w:pPr>
      <w:r>
        <w:rPr>
          <w:b/>
          <w:color w:val="0EA5E9"/>
          <w:sz w:val="28"/>
        </w:rPr>
        <w:t>5. ANÁLISIS DE CLIENTES</w:t>
      </w:r>
    </w:p>
    <w:p>
      <w:pPr>
        <w:spacing w:before="160" w:after="40"/>
      </w:pPr>
      <w:r>
        <w:rPr>
          <w:b/>
          <w:color w:val="6B7280"/>
          <w:sz w:val="22"/>
        </w:rPr>
        <w:t>Perfil del comprador actual</w:t>
      </w:r>
    </w:p>
    <w:p>
      <w:pPr>
        <w:spacing w:before="20" w:after="60"/>
      </w:pPr>
      <w:r>
        <w:rPr>
          <w:color w:val="1A1A1A"/>
          <w:sz w:val="20"/>
        </w:rPr>
        <w:t>El comprador típico en logística cross-border MX-USA + aduanal se segmenta en cuatro grupos principales:</w:t>
      </w:r>
    </w:p>
    <w:p>
      <w:pPr>
        <w:pStyle w:val="ListNumber"/>
        <w:spacing w:before="0" w:after="40"/>
      </w:pPr>
      <w:r>
        <w:rPr>
          <w:b/>
          <w:color w:val="1A1A1A"/>
          <w:sz w:val="20"/>
        </w:rPr>
        <w:t>Importador / exportador empresarial (cuenta corporativa).</w:t>
      </w:r>
      <w:r>
        <w:rPr>
          <w:color w:val="1A1A1A"/>
          <w:sz w:val="20"/>
        </w:rPr>
        <w:t xml:space="preserve"> Manufactura, automotriz, electrónica, farmacéutica. Ciclo de compra: 3-9 meses con RFQ formal, due diligence, compliance review. Decisor: VP Supply Chain o Director de Logística.</w:t>
      </w:r>
    </w:p>
    <w:p>
      <w:pPr>
        <w:pStyle w:val="ListNumber"/>
        <w:spacing w:before="0" w:after="40"/>
      </w:pPr>
      <w:r>
        <w:rPr>
          <w:b/>
          <w:color w:val="1A1A1A"/>
          <w:sz w:val="20"/>
        </w:rPr>
        <w:t>Maquila / IMMEX.</w:t>
      </w:r>
      <w:r>
        <w:rPr>
          <w:color w:val="1A1A1A"/>
          <w:sz w:val="20"/>
        </w:rPr>
        <w:t xml:space="preserve"> Operaciones de manufactura para exportación. Volumen alto y recurrente. Decisor: Operations Manager o Plant Manager.</w:t>
      </w:r>
    </w:p>
    <w:p>
      <w:pPr>
        <w:pStyle w:val="ListNumber"/>
        <w:spacing w:before="0" w:after="40"/>
      </w:pPr>
      <w:r>
        <w:rPr>
          <w:b/>
          <w:color w:val="1A1A1A"/>
          <w:sz w:val="20"/>
        </w:rPr>
        <w:t>PyME importadora de China.</w:t>
      </w:r>
      <w:r>
        <w:rPr>
          <w:color w:val="1A1A1A"/>
          <w:sz w:val="20"/>
        </w:rPr>
        <w:t xml:space="preserve"> E-commerce + retail tradicional MX que importa producto desde Asia para venta interna. Ciclo corto (1-3 meses) y precio-sensible. Decisor: dueño o gerente comercial.</w:t>
      </w:r>
    </w:p>
    <w:p>
      <w:pPr>
        <w:pStyle w:val="ListNumber"/>
        <w:spacing w:before="0" w:after="40"/>
      </w:pPr>
      <w:r>
        <w:rPr>
          <w:b/>
          <w:color w:val="1A1A1A"/>
          <w:sz w:val="20"/>
        </w:rPr>
        <w:t>Particular / e-commerce B2C cross-border.</w:t>
      </w:r>
      <w:r>
        <w:rPr>
          <w:color w:val="1A1A1A"/>
          <w:sz w:val="20"/>
        </w:rPr>
        <w:t xml:space="preserve"> Compras individuales en US para entrega en MX. Volumen bajo por transacción pero frecuencia alta. Decisor: el consumidor final.</w:t>
      </w:r>
    </w:p>
    <w:p>
      <w:pPr>
        <w:spacing w:before="20" w:after="60"/>
      </w:pPr>
      <w:r>
        <w:rPr>
          <w:color w:val="1A1A1A"/>
          <w:sz w:val="20"/>
        </w:rPr>
        <w:t xml:space="preserve">&gt; 🔍 </w:t>
      </w:r>
      <w:r>
        <w:rPr>
          <w:b/>
          <w:color w:val="1A1A1A"/>
          <w:sz w:val="20"/>
        </w:rPr>
        <w:t>Análisis:</w:t>
      </w:r>
      <w:r>
        <w:rPr>
          <w:color w:val="1A1A1A"/>
          <w:sz w:val="20"/>
        </w:rPr>
        <w:t xml:space="preserve"> Trixx parece atender principalmente segmentos 2-3-4 (PyME importadora + e-commerce + algo de maquila) por el perfil del idioma chino + servicio import-as-a-service + paquetería + flota propia mediana. Los grandes corporativos (segmento 1) suelen ir a Solistica, DHL, DSV o tech-enabled como Nuvocargo.</w:t>
      </w:r>
    </w:p>
    <w:p>
      <w:pPr>
        <w:spacing w:before="160" w:after="40"/>
      </w:pPr>
      <w:r>
        <w:rPr>
          <w:b/>
          <w:color w:val="6B7280"/>
          <w:sz w:val="22"/>
        </w:rPr>
        <w:t>Cómo cambió el comprador en los últimos 3 años</w:t>
      </w:r>
    </w:p>
    <w:p>
      <w:pPr>
        <w:spacing w:before="20" w:after="60"/>
      </w:pPr>
      <w:r>
        <w:rPr>
          <w:b/>
          <w:color w:val="1A1A1A"/>
          <w:sz w:val="20"/>
        </w:rPr>
        <w:t>1. Pasó de relacional puro a relacional + digital.</w:t>
      </w:r>
      <w:r>
        <w:rPr>
          <w:color w:val="1A1A1A"/>
          <w:sz w:val="20"/>
        </w:rPr>
        <w:t xml:space="preserve"> En 2021, el cliente aceptaba "te llamo por WhatsApp" como canal principal. En 2024-2026, espera dashboard de tracking, ETAs dinámicos, y respuesta digital a RFQs en horas — sin perder la relación humana.</w:t>
      </w:r>
    </w:p>
    <w:p>
      <w:pPr>
        <w:spacing w:before="20" w:after="60"/>
      </w:pPr>
      <w:r>
        <w:rPr>
          <w:b/>
          <w:color w:val="1A1A1A"/>
          <w:sz w:val="20"/>
        </w:rPr>
        <w:t>2. Pasó de leal a multi-sourcing.</w:t>
      </w:r>
      <w:r>
        <w:rPr>
          <w:color w:val="1A1A1A"/>
          <w:sz w:val="20"/>
        </w:rPr>
        <w:t xml:space="preserve"> El mismo cliente que en 2020 tenía un solo forwarder ahora tiene 2-3 para distribuir riesgo. Esto baja el switching cost y eleva la presión sobre precio + servicio.</w:t>
      </w:r>
    </w:p>
    <w:p>
      <w:pPr>
        <w:spacing w:before="20" w:after="60"/>
      </w:pPr>
      <w:r>
        <w:rPr>
          <w:b/>
          <w:color w:val="1A1A1A"/>
          <w:sz w:val="20"/>
        </w:rPr>
        <w:t>3. Pasó de focalizado en costo a focalizado en visibilidad y compliance.</w:t>
      </w:r>
      <w:r>
        <w:rPr>
          <w:color w:val="1A1A1A"/>
          <w:sz w:val="20"/>
        </w:rPr>
        <w:t xml:space="preserve"> El compliance T-MEC + Carta Porte + reforma aduanera 2026 elevó la importancia del "no cometer errores" sobre el "ahorrar 5%".</w:t>
      </w:r>
    </w:p>
    <w:p>
      <w:pPr>
        <w:spacing w:before="160" w:after="40"/>
      </w:pPr>
      <w:r>
        <w:rPr>
          <w:b/>
          <w:color w:val="6B7280"/>
          <w:sz w:val="22"/>
        </w:rPr>
        <w:t>Qué valoran hoy que antes no valoraban</w:t>
      </w:r>
    </w:p>
    <w:p>
      <w:pPr>
        <w:pStyle w:val="ListNumber"/>
        <w:spacing w:before="0" w:after="40"/>
      </w:pPr>
      <w:r>
        <w:rPr>
          <w:b/>
          <w:color w:val="1A1A1A"/>
          <w:sz w:val="20"/>
        </w:rPr>
        <w:t>Tracking en tiempo real.</w:t>
      </w:r>
      <w:r>
        <w:rPr>
          <w:color w:val="1A1A1A"/>
          <w:sz w:val="20"/>
        </w:rPr>
        <w:t xml:space="preserve"> Era opcional en 2020; es expectativa de tabla rasa en 2026.</w:t>
      </w:r>
    </w:p>
    <w:p>
      <w:pPr>
        <w:pStyle w:val="ListNumber"/>
        <w:spacing w:before="0" w:after="40"/>
      </w:pPr>
      <w:r>
        <w:rPr>
          <w:b/>
          <w:color w:val="1A1A1A"/>
          <w:sz w:val="20"/>
        </w:rPr>
        <w:t>Compliance documentation automatizada.</w:t>
      </w:r>
      <w:r>
        <w:rPr>
          <w:color w:val="1A1A1A"/>
          <w:sz w:val="20"/>
        </w:rPr>
        <w:t xml:space="preserve"> Carta Porte 3.1 + CFDI 4.0 + reforma aduanal exige operadores que NO cometan errores costosos.</w:t>
      </w:r>
    </w:p>
    <w:p>
      <w:pPr>
        <w:pStyle w:val="ListNumber"/>
        <w:spacing w:before="0" w:after="40"/>
      </w:pPr>
      <w:r>
        <w:rPr>
          <w:b/>
          <w:color w:val="1A1A1A"/>
          <w:sz w:val="20"/>
        </w:rPr>
        <w:t>Transparencia en precios.</w:t>
      </w:r>
      <w:r>
        <w:rPr>
          <w:color w:val="1A1A1A"/>
          <w:sz w:val="20"/>
        </w:rPr>
        <w:t xml:space="preserve"> Cotizadores online o respuesta digital en horas.</w:t>
      </w:r>
    </w:p>
    <w:p>
      <w:pPr>
        <w:pStyle w:val="ListNumber"/>
        <w:spacing w:before="0" w:after="40"/>
      </w:pPr>
      <w:r>
        <w:rPr>
          <w:b/>
          <w:color w:val="1A1A1A"/>
          <w:sz w:val="20"/>
        </w:rPr>
        <w:t>Sostenibilidad reportable.</w:t>
      </w:r>
      <w:r>
        <w:rPr>
          <w:color w:val="1A1A1A"/>
          <w:sz w:val="20"/>
        </w:rPr>
        <w:t xml:space="preserve"> Reportes de emisiones por envío para clientes con compromisos ESG.</w:t>
      </w:r>
    </w:p>
    <w:p>
      <w:pPr>
        <w:spacing w:before="160" w:after="40"/>
      </w:pPr>
      <w:r>
        <w:rPr>
          <w:b/>
          <w:color w:val="6B7280"/>
          <w:sz w:val="22"/>
        </w:rPr>
        <w:t>Segmentos de mayor crecimiento</w:t>
      </w:r>
    </w:p>
    <w:p>
      <w:pPr>
        <w:pStyle w:val="ListBullet"/>
        <w:spacing w:before="0" w:after="40"/>
      </w:pPr>
      <w:r>
        <w:rPr>
          <w:b/>
          <w:color w:val="1A1A1A"/>
          <w:sz w:val="20"/>
        </w:rPr>
        <w:t>E-commerce cross-border B2C</w:t>
      </w:r>
      <w:r>
        <w:rPr>
          <w:color w:val="1A1A1A"/>
          <w:sz w:val="20"/>
        </w:rPr>
        <w:t xml:space="preserve"> (Amazon MX, Mercado Libre, Temu, Shein): crecimiento doble dígito anual.</w:t>
      </w:r>
    </w:p>
    <w:p>
      <w:pPr>
        <w:pStyle w:val="ListBullet"/>
        <w:spacing w:before="0" w:after="40"/>
      </w:pPr>
      <w:r>
        <w:rPr>
          <w:b/>
          <w:color w:val="1A1A1A"/>
          <w:sz w:val="20"/>
        </w:rPr>
        <w:t>PyME importadora con flujo chino</w:t>
      </w:r>
      <w:r>
        <w:rPr>
          <w:color w:val="1A1A1A"/>
          <w:sz w:val="20"/>
        </w:rPr>
        <w:t xml:space="preserve"> (despite el enfriamiento 2025): sigue siendo segmento importante.</w:t>
      </w:r>
    </w:p>
    <w:p>
      <w:pPr>
        <w:pStyle w:val="ListBullet"/>
        <w:spacing w:before="0" w:after="40"/>
      </w:pPr>
      <w:r>
        <w:rPr>
          <w:b/>
          <w:color w:val="1A1A1A"/>
          <w:sz w:val="20"/>
        </w:rPr>
        <w:t>Mediano corporativo (USD 5-50M facturación)</w:t>
      </w:r>
      <w:r>
        <w:rPr>
          <w:color w:val="1A1A1A"/>
          <w:sz w:val="20"/>
        </w:rPr>
        <w:t xml:space="preserve"> buscando alternativa a Solistica/DHL pero con sofisticación digital: el target de Nuvocargo.</w:t>
      </w:r>
    </w:p>
    <w:p>
      <w:pPr>
        <w:pStyle w:val="ListBullet"/>
        <w:spacing w:before="0" w:after="40"/>
      </w:pPr>
      <w:r>
        <w:rPr>
          <w:b/>
          <w:color w:val="1A1A1A"/>
          <w:sz w:val="20"/>
        </w:rPr>
        <w:t>Industrial nearshoring nuevo</w:t>
      </w:r>
      <w:r>
        <w:rPr>
          <w:color w:val="1A1A1A"/>
          <w:sz w:val="20"/>
        </w:rPr>
        <w:t xml:space="preserve"> (las 30+ empresas que aterrizaron en Tijuana en últimos 18 meses): mercado virgen por capturar.</w:t>
      </w:r>
    </w:p>
    <w:p>
      <w:pPr>
        <w:spacing w:before="40" w:after="40"/>
      </w:pPr>
    </w:p>
    <w:p>
      <w:pPr>
        <w:spacing w:before="280" w:after="60"/>
        <w:pBdr>
          <w:bottom w:val="single" w:sz="4" w:space="1" w:color="0EA5E9"/>
        </w:pBdr>
      </w:pPr>
      <w:r>
        <w:rPr>
          <w:b/>
          <w:color w:val="0EA5E9"/>
          <w:sz w:val="28"/>
        </w:rPr>
        <w:t>6. MARCO REGULATORIO</w:t>
      </w:r>
    </w:p>
    <w:p>
      <w:pPr>
        <w:spacing w:before="160" w:after="40"/>
      </w:pPr>
      <w:r>
        <w:rPr>
          <w:b/>
          <w:color w:val="6B7280"/>
          <w:sz w:val="22"/>
        </w:rPr>
        <w:t>Entidad reguladora principal</w:t>
      </w:r>
    </w:p>
    <w:p>
      <w:pPr>
        <w:pStyle w:val="ListBullet"/>
        <w:spacing w:before="0" w:after="40"/>
      </w:pPr>
      <w:r>
        <w:rPr>
          <w:b/>
          <w:color w:val="1A1A1A"/>
          <w:sz w:val="20"/>
        </w:rPr>
        <w:t>ANAM — Agencia Nacional de Aduanas de México</w:t>
      </w:r>
      <w:r>
        <w:rPr>
          <w:color w:val="1A1A1A"/>
          <w:sz w:val="20"/>
        </w:rPr>
        <w:t xml:space="preserve"> (sustituye a la antigua AGA del SAT). Regula despacho aduanero, vigila operación de patentes, gestiona aduanas fronterizas, marítimas, aéreas e interiores.</w:t>
      </w:r>
    </w:p>
    <w:p>
      <w:pPr>
        <w:pStyle w:val="ListBullet"/>
        <w:spacing w:before="0" w:after="40"/>
      </w:pPr>
      <w:r>
        <w:rPr>
          <w:b/>
          <w:color w:val="1A1A1A"/>
          <w:sz w:val="20"/>
        </w:rPr>
        <w:t>SAT — Servicio de Administración Tributaria.</w:t>
      </w:r>
      <w:r>
        <w:rPr>
          <w:color w:val="1A1A1A"/>
          <w:sz w:val="20"/>
        </w:rPr>
        <w:t xml:space="preserve"> CFDI 4.0, Complemento Carta Porte, RFC, padrón de importadores/exportadores.</w:t>
      </w:r>
    </w:p>
    <w:p>
      <w:pPr>
        <w:pStyle w:val="ListBullet"/>
        <w:spacing w:before="0" w:after="40"/>
      </w:pPr>
      <w:r>
        <w:rPr>
          <w:b/>
          <w:color w:val="1A1A1A"/>
          <w:sz w:val="20"/>
        </w:rPr>
        <w:t>SICT — Secretaría de Infraestructura, Comunicaciones y Transportes.</w:t>
      </w:r>
      <w:r>
        <w:rPr>
          <w:color w:val="1A1A1A"/>
          <w:sz w:val="20"/>
        </w:rPr>
        <w:t xml:space="preserve"> Permisos de autotransporte federal, licencias federales de drivers.</w:t>
      </w:r>
    </w:p>
    <w:p>
      <w:pPr>
        <w:pStyle w:val="ListBullet"/>
        <w:spacing w:before="0" w:after="40"/>
      </w:pPr>
      <w:r>
        <w:rPr>
          <w:b/>
          <w:color w:val="1A1A1A"/>
          <w:sz w:val="20"/>
        </w:rPr>
        <w:t>CAAAREM.</w:t>
      </w:r>
      <w:r>
        <w:rPr>
          <w:color w:val="1A1A1A"/>
          <w:sz w:val="20"/>
        </w:rPr>
        <w:t xml:space="preserve"> Asociación gremial reguladora de facto del comportamiento profesional de agentes aduanales (99% representatividad).</w:t>
      </w:r>
    </w:p>
    <w:p>
      <w:pPr>
        <w:pStyle w:val="ListBullet"/>
        <w:spacing w:before="0" w:after="40"/>
      </w:pPr>
      <w:r>
        <w:rPr>
          <w:b/>
          <w:color w:val="1A1A1A"/>
          <w:sz w:val="20"/>
        </w:rPr>
        <w:t>FMCSA — Federal Motor Carrier Safety Administration (US).</w:t>
      </w:r>
      <w:r>
        <w:rPr>
          <w:color w:val="1A1A1A"/>
          <w:sz w:val="20"/>
        </w:rPr>
        <w:t xml:space="preserve"> Para flota operando en EE.UU. (Trixx USDOT 2045279 está regulado aquí).</w:t>
      </w:r>
    </w:p>
    <w:p>
      <w:pPr>
        <w:spacing w:before="160" w:after="40"/>
      </w:pPr>
      <w:r>
        <w:rPr>
          <w:b/>
          <w:color w:val="6B7280"/>
          <w:sz w:val="22"/>
        </w:rPr>
        <w:t>Normativa vigente más relevante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Norma / Ley</w:t>
            </w:r>
          </w:p>
        </w:tc>
        <w:tc>
          <w:tcPr>
            <w:tcW w:type="dxa" w:w="2266"/>
            <w:shd w:val="clear" w:color="auto" w:fill="0C1A2E"/>
          </w:tcPr>
          <w:p>
            <w:pPr>
              <w:spacing w:before="40" w:after="40"/>
            </w:pPr>
            <w:r>
              <w:rPr>
                <w:b/>
                <w:color w:val="FFFFFF"/>
                <w:sz w:val="18"/>
              </w:rPr>
              <w:t>Año</w:t>
            </w:r>
          </w:p>
        </w:tc>
        <w:tc>
          <w:tcPr>
            <w:tcW w:type="dxa" w:w="2266"/>
            <w:shd w:val="clear" w:color="auto" w:fill="0C1A2E"/>
          </w:tcPr>
          <w:p>
            <w:pPr>
              <w:spacing w:before="40" w:after="40"/>
            </w:pPr>
            <w:r>
              <w:rPr>
                <w:b/>
                <w:color w:val="FFFFFF"/>
                <w:sz w:val="18"/>
              </w:rPr>
              <w:t>Qué regula</w:t>
            </w:r>
          </w:p>
        </w:tc>
        <w:tc>
          <w:tcPr>
            <w:tcW w:type="dxa" w:w="2266"/>
            <w:shd w:val="clear" w:color="auto" w:fill="0C1A2E"/>
          </w:tcPr>
          <w:p>
            <w:pPr>
              <w:spacing w:before="40" w:after="40"/>
            </w:pPr>
            <w:r>
              <w:rPr>
                <w:b/>
                <w:color w:val="FFFFFF"/>
                <w:sz w:val="18"/>
              </w:rPr>
              <w:t>Impacto en el sector</w:t>
            </w:r>
          </w:p>
        </w:tc>
      </w:tr>
      <w:tr>
        <w:tc>
          <w:tcPr>
            <w:tcW w:type="dxa" w:w="2266"/>
            <w:shd w:val="clear" w:color="auto" w:fill="FFFFFF"/>
          </w:tcPr>
          <w:p>
            <w:pPr>
              <w:spacing w:before="40" w:after="40"/>
            </w:pPr>
            <w:r>
              <w:rPr>
                <w:color w:val="1A1A1A"/>
                <w:sz w:val="18"/>
              </w:rPr>
              <w:t>Ley Aduanera reformada</w:t>
            </w:r>
          </w:p>
        </w:tc>
        <w:tc>
          <w:tcPr>
            <w:tcW w:type="dxa" w:w="2266"/>
            <w:shd w:val="clear" w:color="auto" w:fill="FFFFFF"/>
          </w:tcPr>
          <w:p>
            <w:pPr>
              <w:spacing w:before="40" w:after="40"/>
            </w:pPr>
            <w:r>
              <w:rPr>
                <w:color w:val="1A1A1A"/>
                <w:sz w:val="18"/>
              </w:rPr>
              <w:t>2025 (vigor 1-ene-2026)</w:t>
            </w:r>
          </w:p>
        </w:tc>
        <w:tc>
          <w:tcPr>
            <w:tcW w:type="dxa" w:w="2266"/>
            <w:shd w:val="clear" w:color="auto" w:fill="FFFFFF"/>
          </w:tcPr>
          <w:p>
            <w:pPr>
              <w:spacing w:before="40" w:after="40"/>
            </w:pPr>
            <w:r>
              <w:rPr>
                <w:color w:val="1A1A1A"/>
                <w:sz w:val="18"/>
              </w:rPr>
              <w:t>Patentes, responsabilidad solidaria, Consejo Aduanero</w:t>
            </w:r>
          </w:p>
        </w:tc>
        <w:tc>
          <w:tcPr>
            <w:tcW w:type="dxa" w:w="2266"/>
            <w:shd w:val="clear" w:color="auto" w:fill="FFFFFF"/>
          </w:tcPr>
          <w:p>
            <w:pPr>
              <w:spacing w:before="40" w:after="40"/>
            </w:pPr>
            <w:r>
              <w:rPr>
                <w:color w:val="1A1A1A"/>
                <w:sz w:val="18"/>
              </w:rPr>
              <w:t>Alto — afecta a TODOS los agentes; obliga modernización</w:t>
            </w:r>
          </w:p>
        </w:tc>
      </w:tr>
      <w:tr>
        <w:tc>
          <w:tcPr>
            <w:tcW w:type="dxa" w:w="2266"/>
            <w:shd w:val="clear" w:color="auto" w:fill="EBF3FA"/>
          </w:tcPr>
          <w:p>
            <w:pPr>
              <w:spacing w:before="40" w:after="40"/>
            </w:pPr>
            <w:r>
              <w:rPr>
                <w:color w:val="1A1A1A"/>
                <w:sz w:val="18"/>
              </w:rPr>
              <w:t>CFDI 4.0 + Carta Porte 3.1</w:t>
            </w:r>
          </w:p>
        </w:tc>
        <w:tc>
          <w:tcPr>
            <w:tcW w:type="dxa" w:w="2266"/>
            <w:shd w:val="clear" w:color="auto" w:fill="EBF3FA"/>
          </w:tcPr>
          <w:p>
            <w:pPr>
              <w:spacing w:before="40" w:after="40"/>
            </w:pPr>
            <w:r>
              <w:rPr>
                <w:color w:val="1A1A1A"/>
                <w:sz w:val="18"/>
              </w:rPr>
              <w:t>Julio 2024 vigente</w:t>
            </w:r>
          </w:p>
        </w:tc>
        <w:tc>
          <w:tcPr>
            <w:tcW w:type="dxa" w:w="2266"/>
            <w:shd w:val="clear" w:color="auto" w:fill="EBF3FA"/>
          </w:tcPr>
          <w:p>
            <w:pPr>
              <w:spacing w:before="40" w:after="40"/>
            </w:pPr>
            <w:r>
              <w:rPr>
                <w:color w:val="1A1A1A"/>
                <w:sz w:val="18"/>
              </w:rPr>
              <w:t>Comprobante fiscal digital con complemento de transporte</w:t>
            </w:r>
          </w:p>
        </w:tc>
        <w:tc>
          <w:tcPr>
            <w:tcW w:type="dxa" w:w="2266"/>
            <w:shd w:val="clear" w:color="auto" w:fill="EBF3FA"/>
          </w:tcPr>
          <w:p>
            <w:pPr>
              <w:spacing w:before="40" w:after="40"/>
            </w:pPr>
            <w:r>
              <w:rPr>
                <w:color w:val="1A1A1A"/>
                <w:sz w:val="18"/>
              </w:rPr>
              <w:t>Alto — multas + cárcel por incumplimiento</w:t>
            </w:r>
          </w:p>
        </w:tc>
      </w:tr>
      <w:tr>
        <w:tc>
          <w:tcPr>
            <w:tcW w:type="dxa" w:w="2266"/>
            <w:shd w:val="clear" w:color="auto" w:fill="FFFFFF"/>
          </w:tcPr>
          <w:p>
            <w:pPr>
              <w:spacing w:before="40" w:after="40"/>
            </w:pPr>
            <w:r>
              <w:rPr>
                <w:color w:val="1A1A1A"/>
                <w:sz w:val="18"/>
              </w:rPr>
              <w:t>T-MEC / USMCA</w:t>
            </w:r>
          </w:p>
        </w:tc>
        <w:tc>
          <w:tcPr>
            <w:tcW w:type="dxa" w:w="2266"/>
            <w:shd w:val="clear" w:color="auto" w:fill="FFFFFF"/>
          </w:tcPr>
          <w:p>
            <w:pPr>
              <w:spacing w:before="40" w:after="40"/>
            </w:pPr>
            <w:r>
              <w:rPr>
                <w:color w:val="1A1A1A"/>
                <w:sz w:val="18"/>
              </w:rPr>
              <w:t>2020 (review 2026)</w:t>
            </w:r>
          </w:p>
        </w:tc>
        <w:tc>
          <w:tcPr>
            <w:tcW w:type="dxa" w:w="2266"/>
            <w:shd w:val="clear" w:color="auto" w:fill="FFFFFF"/>
          </w:tcPr>
          <w:p>
            <w:pPr>
              <w:spacing w:before="40" w:after="40"/>
            </w:pPr>
            <w:r>
              <w:rPr>
                <w:color w:val="1A1A1A"/>
                <w:sz w:val="18"/>
              </w:rPr>
              <w:t>Reglas de origen, certificación, comercio Norteamérica</w:t>
            </w:r>
          </w:p>
        </w:tc>
        <w:tc>
          <w:tcPr>
            <w:tcW w:type="dxa" w:w="2266"/>
            <w:shd w:val="clear" w:color="auto" w:fill="FFFFFF"/>
          </w:tcPr>
          <w:p>
            <w:pPr>
              <w:spacing w:before="40" w:after="40"/>
            </w:pPr>
            <w:r>
              <w:rPr>
                <w:color w:val="1A1A1A"/>
                <w:sz w:val="18"/>
              </w:rPr>
              <w:t>Crítico — define qué califica para tarifa preferente</w:t>
            </w:r>
          </w:p>
        </w:tc>
      </w:tr>
      <w:tr>
        <w:tc>
          <w:tcPr>
            <w:tcW w:type="dxa" w:w="2266"/>
            <w:shd w:val="clear" w:color="auto" w:fill="EBF3FA"/>
          </w:tcPr>
          <w:p>
            <w:pPr>
              <w:spacing w:before="40" w:after="40"/>
            </w:pPr>
            <w:r>
              <w:rPr>
                <w:color w:val="1A1A1A"/>
                <w:sz w:val="18"/>
              </w:rPr>
              <w:t>Reglas Generales de Comercio Exterior 2025</w:t>
            </w:r>
          </w:p>
        </w:tc>
        <w:tc>
          <w:tcPr>
            <w:tcW w:type="dxa" w:w="2266"/>
            <w:shd w:val="clear" w:color="auto" w:fill="EBF3FA"/>
          </w:tcPr>
          <w:p>
            <w:pPr>
              <w:spacing w:before="40" w:after="40"/>
            </w:pPr>
            <w:r>
              <w:rPr>
                <w:color w:val="1A1A1A"/>
                <w:sz w:val="18"/>
              </w:rPr>
              <w:t>Anual, vigente 2025</w:t>
            </w:r>
          </w:p>
        </w:tc>
        <w:tc>
          <w:tcPr>
            <w:tcW w:type="dxa" w:w="2266"/>
            <w:shd w:val="clear" w:color="auto" w:fill="EBF3FA"/>
          </w:tcPr>
          <w:p>
            <w:pPr>
              <w:spacing w:before="40" w:after="40"/>
            </w:pPr>
            <w:r>
              <w:rPr>
                <w:color w:val="1A1A1A"/>
                <w:sz w:val="18"/>
              </w:rPr>
              <w:t>Procedimiento de despacho, valoración, OEA/NEEC</w:t>
            </w:r>
          </w:p>
        </w:tc>
        <w:tc>
          <w:tcPr>
            <w:tcW w:type="dxa" w:w="2266"/>
            <w:shd w:val="clear" w:color="auto" w:fill="EBF3FA"/>
          </w:tcPr>
          <w:p>
            <w:pPr>
              <w:spacing w:before="40" w:after="40"/>
            </w:pPr>
            <w:r>
              <w:rPr>
                <w:color w:val="1A1A1A"/>
                <w:sz w:val="18"/>
              </w:rPr>
              <w:t>Alto — guía operativa diaria del despacho</w:t>
            </w:r>
          </w:p>
        </w:tc>
      </w:tr>
      <w:tr>
        <w:tc>
          <w:tcPr>
            <w:tcW w:type="dxa" w:w="2266"/>
            <w:shd w:val="clear" w:color="auto" w:fill="FFFFFF"/>
          </w:tcPr>
          <w:p>
            <w:pPr>
              <w:spacing w:before="40" w:after="40"/>
            </w:pPr>
            <w:r>
              <w:rPr>
                <w:color w:val="1A1A1A"/>
                <w:sz w:val="18"/>
              </w:rPr>
              <w:t>Reglas IMMEX</w:t>
            </w:r>
          </w:p>
        </w:tc>
        <w:tc>
          <w:tcPr>
            <w:tcW w:type="dxa" w:w="2266"/>
            <w:shd w:val="clear" w:color="auto" w:fill="FFFFFF"/>
          </w:tcPr>
          <w:p>
            <w:pPr>
              <w:spacing w:before="40" w:after="40"/>
            </w:pPr>
            <w:r>
              <w:rPr>
                <w:color w:val="1A1A1A"/>
                <w:sz w:val="18"/>
              </w:rPr>
              <w:t>Vigentes con ajustes 2025-2026</w:t>
            </w:r>
          </w:p>
        </w:tc>
        <w:tc>
          <w:tcPr>
            <w:tcW w:type="dxa" w:w="2266"/>
            <w:shd w:val="clear" w:color="auto" w:fill="FFFFFF"/>
          </w:tcPr>
          <w:p>
            <w:pPr>
              <w:spacing w:before="40" w:after="40"/>
            </w:pPr>
            <w:r>
              <w:rPr>
                <w:color w:val="1A1A1A"/>
                <w:sz w:val="18"/>
              </w:rPr>
              <w:t>Manufactura para exportación con tratamiento aduanal</w:t>
            </w:r>
          </w:p>
        </w:tc>
        <w:tc>
          <w:tcPr>
            <w:tcW w:type="dxa" w:w="2266"/>
            <w:shd w:val="clear" w:color="auto" w:fill="FFFFFF"/>
          </w:tcPr>
          <w:p>
            <w:pPr>
              <w:spacing w:before="40" w:after="40"/>
            </w:pPr>
            <w:r>
              <w:rPr>
                <w:color w:val="1A1A1A"/>
                <w:sz w:val="18"/>
              </w:rPr>
              <w:t>Alto — afecta clientes maquiladora</w:t>
            </w:r>
          </w:p>
        </w:tc>
      </w:tr>
      <w:tr>
        <w:tc>
          <w:tcPr>
            <w:tcW w:type="dxa" w:w="2266"/>
            <w:shd w:val="clear" w:color="auto" w:fill="EBF3FA"/>
          </w:tcPr>
          <w:p>
            <w:pPr>
              <w:spacing w:before="40" w:after="40"/>
            </w:pPr>
            <w:r>
              <w:rPr>
                <w:color w:val="1A1A1A"/>
                <w:sz w:val="18"/>
              </w:rPr>
              <w:t>Decreto IEPS / Aranceles</w:t>
            </w:r>
          </w:p>
        </w:tc>
        <w:tc>
          <w:tcPr>
            <w:tcW w:type="dxa" w:w="2266"/>
            <w:shd w:val="clear" w:color="auto" w:fill="EBF3FA"/>
          </w:tcPr>
          <w:p>
            <w:pPr>
              <w:spacing w:before="40" w:after="40"/>
            </w:pPr>
            <w:r>
              <w:rPr>
                <w:color w:val="1A1A1A"/>
                <w:sz w:val="18"/>
              </w:rPr>
              <w:t>Volátiles 2024-2026</w:t>
            </w:r>
          </w:p>
        </w:tc>
        <w:tc>
          <w:tcPr>
            <w:tcW w:type="dxa" w:w="2266"/>
            <w:shd w:val="clear" w:color="auto" w:fill="EBF3FA"/>
          </w:tcPr>
          <w:p>
            <w:pPr>
              <w:spacing w:before="40" w:after="40"/>
            </w:pPr>
            <w:r>
              <w:rPr>
                <w:color w:val="1A1A1A"/>
                <w:sz w:val="18"/>
              </w:rPr>
              <w:t>Impuestos especiales + aranceles ad valorem</w:t>
            </w:r>
          </w:p>
        </w:tc>
        <w:tc>
          <w:tcPr>
            <w:tcW w:type="dxa" w:w="2266"/>
            <w:shd w:val="clear" w:color="auto" w:fill="EBF3FA"/>
          </w:tcPr>
          <w:p>
            <w:pPr>
              <w:spacing w:before="40" w:after="40"/>
            </w:pPr>
            <w:r>
              <w:rPr>
                <w:color w:val="1A1A1A"/>
                <w:sz w:val="18"/>
              </w:rPr>
              <w:t>Alto — cambios frecuentes complican el día a día</w:t>
            </w:r>
          </w:p>
        </w:tc>
      </w:tr>
      <w:tr>
        <w:tc>
          <w:tcPr>
            <w:tcW w:type="dxa" w:w="2266"/>
            <w:shd w:val="clear" w:color="auto" w:fill="FFFFFF"/>
          </w:tcPr>
          <w:p>
            <w:pPr>
              <w:spacing w:before="40" w:after="40"/>
            </w:pPr>
            <w:r>
              <w:rPr>
                <w:color w:val="1A1A1A"/>
                <w:sz w:val="18"/>
              </w:rPr>
              <w:t>Regulación FMCSA US</w:t>
            </w:r>
          </w:p>
        </w:tc>
        <w:tc>
          <w:tcPr>
            <w:tcW w:type="dxa" w:w="2266"/>
            <w:shd w:val="clear" w:color="auto" w:fill="FFFFFF"/>
          </w:tcPr>
          <w:p>
            <w:pPr>
              <w:spacing w:before="40" w:after="40"/>
            </w:pPr>
            <w:r>
              <w:rPr>
                <w:color w:val="1A1A1A"/>
                <w:sz w:val="18"/>
              </w:rPr>
              <w:t>Vigente</w:t>
            </w:r>
          </w:p>
        </w:tc>
        <w:tc>
          <w:tcPr>
            <w:tcW w:type="dxa" w:w="2266"/>
            <w:shd w:val="clear" w:color="auto" w:fill="FFFFFF"/>
          </w:tcPr>
          <w:p>
            <w:pPr>
              <w:spacing w:before="40" w:after="40"/>
            </w:pPr>
            <w:r>
              <w:rPr>
                <w:color w:val="1A1A1A"/>
                <w:sz w:val="18"/>
              </w:rPr>
              <w:t>Safety + insurance + drug testing para drivers cross-border</w:t>
            </w:r>
          </w:p>
        </w:tc>
        <w:tc>
          <w:tcPr>
            <w:tcW w:type="dxa" w:w="2266"/>
            <w:shd w:val="clear" w:color="auto" w:fill="FFFFFF"/>
          </w:tcPr>
          <w:p>
            <w:pPr>
              <w:spacing w:before="40" w:after="40"/>
            </w:pPr>
            <w:r>
              <w:rPr>
                <w:color w:val="1A1A1A"/>
                <w:sz w:val="18"/>
              </w:rPr>
              <w:t>Alto — operación US side depende</w:t>
            </w:r>
          </w:p>
        </w:tc>
      </w:tr>
    </w:tbl>
    <w:p/>
    <w:p>
      <w:pPr>
        <w:spacing w:before="160" w:after="40"/>
      </w:pPr>
      <w:r>
        <w:rPr>
          <w:b/>
          <w:color w:val="6B7280"/>
          <w:sz w:val="22"/>
        </w:rPr>
        <w:t>Cambios regulatorios en curso o anticipados</w:t>
      </w:r>
    </w:p>
    <w:p>
      <w:pPr>
        <w:spacing w:before="20" w:after="60"/>
      </w:pPr>
      <w:r>
        <w:rPr>
          <w:b/>
          <w:color w:val="1A1A1A"/>
          <w:sz w:val="20"/>
        </w:rPr>
        <w:t>1. USMCA Review 2026 (decisión 1-jul-2026):</w:t>
      </w:r>
      <w:r>
        <w:rPr>
          <w:color w:val="1A1A1A"/>
          <w:sz w:val="20"/>
        </w:rPr>
        <w:t xml:space="preserve"> continuación as-is por 16 años más, renegociación parcial, o sunset countdown.</w:t>
      </w:r>
    </w:p>
    <w:p>
      <w:pPr>
        <w:spacing w:before="20" w:after="60"/>
      </w:pPr>
      <w:r>
        <w:rPr>
          <w:b/>
          <w:color w:val="1A1A1A"/>
          <w:sz w:val="20"/>
        </w:rPr>
        <w:t>2. Implementación efectiva de la Reforma Ley Aduanera (a partir 1-ene-2026):</w:t>
      </w:r>
      <w:r>
        <w:rPr>
          <w:color w:val="1A1A1A"/>
          <w:sz w:val="20"/>
        </w:rPr>
        <w:t xml:space="preserve"> apertura de Consejo Aduanero, primer ciclo de certificación de patentes, primer incremento de duties para importaciones no-preferenciales.</w:t>
      </w:r>
    </w:p>
    <w:p>
      <w:pPr>
        <w:spacing w:before="20" w:after="60"/>
      </w:pPr>
      <w:r>
        <w:rPr>
          <w:b/>
          <w:color w:val="1A1A1A"/>
          <w:sz w:val="20"/>
        </w:rPr>
        <w:t>3. Posible Carta Porte 3.2 o 4.0:</w:t>
      </w:r>
      <w:r>
        <w:rPr>
          <w:color w:val="1A1A1A"/>
          <w:sz w:val="20"/>
        </w:rPr>
        <w:t xml:space="preserve"> la versión 3.1 está vigente pero hay rumores en CAAAREM y CANACAR de una nueva iteración para 2026-2027 con campos adicionales.</w:t>
      </w:r>
    </w:p>
    <w:p>
      <w:pPr>
        <w:spacing w:before="20" w:after="60"/>
      </w:pPr>
      <w:r>
        <w:rPr>
          <w:b/>
          <w:color w:val="1A1A1A"/>
          <w:sz w:val="20"/>
        </w:rPr>
        <w:t>4. NEEC / OEA — Operador Económico Autorizado.</w:t>
      </w:r>
      <w:r>
        <w:rPr>
          <w:color w:val="1A1A1A"/>
          <w:sz w:val="20"/>
        </w:rPr>
        <w:t xml:space="preserve"> Programa SAT/ANAM equivalente a C-TPAT en US. Empresas certificadas obtienen despacho expedito. La adopción está creciendo pero requiere inversión inicial significativa.</w:t>
      </w:r>
    </w:p>
    <w:p>
      <w:pPr>
        <w:spacing w:before="160" w:after="40"/>
      </w:pPr>
      <w:r>
        <w:rPr>
          <w:b/>
          <w:color w:val="6B7280"/>
          <w:sz w:val="22"/>
        </w:rPr>
        <w:t>Riesgos de compliance relevantes para empresas del sector</w:t>
      </w:r>
    </w:p>
    <w:p>
      <w:pPr>
        <w:pStyle w:val="ListBullet"/>
        <w:spacing w:before="0" w:after="40"/>
      </w:pPr>
      <w:r>
        <w:rPr>
          <w:color w:val="1A1A1A"/>
          <w:sz w:val="20"/>
        </w:rPr>
        <w:t xml:space="preserve">⚠️ </w:t>
      </w:r>
      <w:r>
        <w:rPr>
          <w:b/>
          <w:color w:val="1A1A1A"/>
          <w:sz w:val="20"/>
        </w:rPr>
        <w:t>Errores en clasificación arancelaria</w:t>
      </w:r>
      <w:r>
        <w:rPr>
          <w:color w:val="1A1A1A"/>
          <w:sz w:val="20"/>
        </w:rPr>
        <w:t xml:space="preserve"> → multas + retención de mercancía + bajo el nuevo régimen, responsabilidad solidaria del agente aduanal.</w:t>
      </w:r>
    </w:p>
    <w:p>
      <w:pPr>
        <w:pStyle w:val="ListBullet"/>
        <w:spacing w:before="0" w:after="40"/>
      </w:pPr>
      <w:r>
        <w:rPr>
          <w:color w:val="1A1A1A"/>
          <w:sz w:val="20"/>
        </w:rPr>
        <w:t xml:space="preserve">⚠️ </w:t>
      </w:r>
      <w:r>
        <w:rPr>
          <w:b/>
          <w:color w:val="1A1A1A"/>
          <w:sz w:val="20"/>
        </w:rPr>
        <w:t>Incumplimientos de Carta Porte 3.1</w:t>
      </w:r>
      <w:r>
        <w:rPr>
          <w:color w:val="1A1A1A"/>
          <w:sz w:val="20"/>
        </w:rPr>
        <w:t xml:space="preserve"> → multas y potencialmente contrabando presunto.</w:t>
      </w:r>
    </w:p>
    <w:p>
      <w:pPr>
        <w:pStyle w:val="ListBullet"/>
        <w:spacing w:before="0" w:after="40"/>
      </w:pPr>
      <w:r>
        <w:rPr>
          <w:color w:val="1A1A1A"/>
          <w:sz w:val="20"/>
        </w:rPr>
        <w:t xml:space="preserve">⚠️ </w:t>
      </w:r>
      <w:r>
        <w:rPr>
          <w:b/>
          <w:color w:val="1A1A1A"/>
          <w:sz w:val="20"/>
        </w:rPr>
        <w:t>Operadores sin licencia federal apropiada</w:t>
      </w:r>
      <w:r>
        <w:rPr>
          <w:color w:val="1A1A1A"/>
          <w:sz w:val="20"/>
        </w:rPr>
        <w:t xml:space="preserve"> → suspensión + multas a la empresa.</w:t>
      </w:r>
    </w:p>
    <w:p>
      <w:pPr>
        <w:pStyle w:val="ListBullet"/>
        <w:spacing w:before="0" w:after="40"/>
      </w:pPr>
      <w:r>
        <w:rPr>
          <w:color w:val="1A1A1A"/>
          <w:sz w:val="20"/>
        </w:rPr>
        <w:t xml:space="preserve">⚠️ </w:t>
      </w:r>
      <w:r>
        <w:rPr>
          <w:b/>
          <w:color w:val="1A1A1A"/>
          <w:sz w:val="20"/>
        </w:rPr>
        <w:t>Falla en mantenimiento de patente aduanal</w:t>
      </w:r>
      <w:r>
        <w:rPr>
          <w:color w:val="1A1A1A"/>
          <w:sz w:val="20"/>
        </w:rPr>
        <w:t xml:space="preserve"> → bajo nuevo régimen, no renovación si no se cumplen certificaciones periódicas.</w:t>
      </w:r>
    </w:p>
    <w:p>
      <w:pPr>
        <w:pStyle w:val="ListBullet"/>
        <w:spacing w:before="0" w:after="40"/>
      </w:pPr>
      <w:r>
        <w:rPr>
          <w:color w:val="1A1A1A"/>
          <w:sz w:val="20"/>
        </w:rPr>
        <w:t xml:space="preserve">⚠️ </w:t>
      </w:r>
      <w:r>
        <w:rPr>
          <w:b/>
          <w:color w:val="1A1A1A"/>
          <w:sz w:val="20"/>
        </w:rPr>
        <w:t>Failure to qualify USMCA</w:t>
      </w:r>
      <w:r>
        <w:rPr>
          <w:color w:val="1A1A1A"/>
          <w:sz w:val="20"/>
        </w:rPr>
        <w:t xml:space="preserve"> → arancel general en vez de preferente, daño directo al cliente.</w:t>
      </w:r>
    </w:p>
    <w:p>
      <w:pPr>
        <w:spacing w:before="40" w:after="40"/>
      </w:pPr>
    </w:p>
    <w:p>
      <w:pPr>
        <w:spacing w:before="280" w:after="60"/>
        <w:pBdr>
          <w:bottom w:val="single" w:sz="4" w:space="1" w:color="0EA5E9"/>
        </w:pBdr>
      </w:pPr>
      <w:r>
        <w:rPr>
          <w:b/>
          <w:color w:val="0EA5E9"/>
          <w:sz w:val="28"/>
        </w:rPr>
        <w:t>7. IMPACTO DE LA IA EN EL SECTOR</w:t>
      </w:r>
    </w:p>
    <w:p>
      <w:pPr>
        <w:spacing w:before="160" w:after="40"/>
      </w:pPr>
      <w:r>
        <w:rPr>
          <w:b/>
          <w:color w:val="6B7280"/>
          <w:sz w:val="22"/>
        </w:rPr>
        <w:t>Estado actual de adopción</w:t>
      </w:r>
    </w:p>
    <w:p>
      <w:pPr>
        <w:spacing w:before="20" w:after="60"/>
      </w:pPr>
      <w:r>
        <w:rPr>
          <w:b/>
          <w:color w:val="1A1A1A"/>
          <w:sz w:val="20"/>
        </w:rPr>
        <w:t>Adopción muy temprana</w:t>
      </w:r>
      <w:r>
        <w:rPr>
          <w:color w:val="1A1A1A"/>
          <w:sz w:val="20"/>
        </w:rPr>
        <w:t xml:space="preserve"> — la mayoría de empresas del sector en México están en nivel 1-2/5 de madurez digital. Existen 5-10 plataformas mexicanas de IA aduanera activamente vendiendo (AduanApp, Taxer, Moco AI, Experta, Camtom) pero su penetración real en agencias aduanales está por debajo del 10%. La ventana de </w:t>
      </w:r>
      <w:r>
        <w:rPr>
          <w:b/>
          <w:color w:val="1A1A1A"/>
          <w:sz w:val="20"/>
        </w:rPr>
        <w:t>early-adopter advantage</w:t>
      </w:r>
      <w:r>
        <w:rPr>
          <w:color w:val="1A1A1A"/>
          <w:sz w:val="20"/>
        </w:rPr>
        <w:t xml:space="preserve"> está abierta y se cerrará en 18-30 meses.</w:t>
      </w:r>
    </w:p>
    <w:p>
      <w:pPr>
        <w:spacing w:before="160" w:after="40"/>
      </w:pPr>
      <w:r>
        <w:rPr>
          <w:b/>
          <w:color w:val="6B7280"/>
          <w:sz w:val="22"/>
        </w:rPr>
        <w:t>Casos de uso ya implementados (con nombres reales)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Caso de uso</w:t>
            </w:r>
          </w:p>
        </w:tc>
        <w:tc>
          <w:tcPr>
            <w:tcW w:type="dxa" w:w="2266"/>
            <w:shd w:val="clear" w:color="auto" w:fill="0C1A2E"/>
          </w:tcPr>
          <w:p>
            <w:pPr>
              <w:spacing w:before="40" w:after="40"/>
            </w:pPr>
            <w:r>
              <w:rPr>
                <w:b/>
                <w:color w:val="FFFFFF"/>
                <w:sz w:val="18"/>
              </w:rPr>
              <w:t>Herramienta / empresa</w:t>
            </w:r>
          </w:p>
        </w:tc>
        <w:tc>
          <w:tcPr>
            <w:tcW w:type="dxa" w:w="2266"/>
            <w:shd w:val="clear" w:color="auto" w:fill="0C1A2E"/>
          </w:tcPr>
          <w:p>
            <w:pPr>
              <w:spacing w:before="40" w:after="40"/>
            </w:pPr>
            <w:r>
              <w:rPr>
                <w:b/>
                <w:color w:val="FFFFFF"/>
                <w:sz w:val="18"/>
              </w:rPr>
              <w:t>País</w:t>
            </w:r>
          </w:p>
        </w:tc>
        <w:tc>
          <w:tcPr>
            <w:tcW w:type="dxa" w:w="2266"/>
            <w:shd w:val="clear" w:color="auto" w:fill="0C1A2E"/>
          </w:tcPr>
          <w:p>
            <w:pPr>
              <w:spacing w:before="40" w:after="40"/>
            </w:pPr>
            <w:r>
              <w:rPr>
                <w:b/>
                <w:color w:val="FFFFFF"/>
                <w:sz w:val="18"/>
              </w:rPr>
              <w:t>Resultado reportado</w:t>
            </w:r>
          </w:p>
        </w:tc>
      </w:tr>
      <w:tr>
        <w:tc>
          <w:tcPr>
            <w:tcW w:type="dxa" w:w="2266"/>
            <w:shd w:val="clear" w:color="auto" w:fill="FFFFFF"/>
          </w:tcPr>
          <w:p>
            <w:pPr>
              <w:spacing w:before="40" w:after="40"/>
            </w:pPr>
            <w:r>
              <w:rPr>
                <w:color w:val="1A1A1A"/>
                <w:sz w:val="18"/>
              </w:rPr>
              <w:t>Clasificación arancelaria automatizada</w:t>
            </w:r>
          </w:p>
        </w:tc>
        <w:tc>
          <w:tcPr>
            <w:tcW w:type="dxa" w:w="2266"/>
            <w:shd w:val="clear" w:color="auto" w:fill="FFFFFF"/>
          </w:tcPr>
          <w:p>
            <w:pPr>
              <w:spacing w:before="40" w:after="40"/>
            </w:pPr>
            <w:r>
              <w:rPr>
                <w:color w:val="1A1A1A"/>
                <w:sz w:val="18"/>
              </w:rPr>
              <w:t>AduanApp</w:t>
            </w:r>
          </w:p>
        </w:tc>
        <w:tc>
          <w:tcPr>
            <w:tcW w:type="dxa" w:w="2266"/>
            <w:shd w:val="clear" w:color="auto" w:fill="FFFFFF"/>
          </w:tcPr>
          <w:p>
            <w:pPr>
              <w:spacing w:before="40" w:after="40"/>
            </w:pPr>
            <w:r>
              <w:rPr>
                <w:color w:val="1A1A1A"/>
                <w:sz w:val="18"/>
              </w:rPr>
              <w:t>México</w:t>
            </w:r>
          </w:p>
        </w:tc>
        <w:tc>
          <w:tcPr>
            <w:tcW w:type="dxa" w:w="2266"/>
            <w:shd w:val="clear" w:color="auto" w:fill="FFFFFF"/>
          </w:tcPr>
          <w:p>
            <w:pPr>
              <w:spacing w:before="40" w:after="40"/>
            </w:pPr>
            <w:r>
              <w:rPr>
                <w:color w:val="1A1A1A"/>
                <w:sz w:val="18"/>
              </w:rPr>
              <w:t>✅ 7-13 segundos por clasificación; 95% precisión</w:t>
            </w:r>
          </w:p>
        </w:tc>
      </w:tr>
      <w:tr>
        <w:tc>
          <w:tcPr>
            <w:tcW w:type="dxa" w:w="2266"/>
            <w:shd w:val="clear" w:color="auto" w:fill="EBF3FA"/>
          </w:tcPr>
          <w:p>
            <w:pPr>
              <w:spacing w:before="40" w:after="40"/>
            </w:pPr>
            <w:r>
              <w:rPr>
                <w:color w:val="1A1A1A"/>
                <w:sz w:val="18"/>
              </w:rPr>
              <w:t>Reducción de tiempos de flujo</w:t>
            </w:r>
          </w:p>
        </w:tc>
        <w:tc>
          <w:tcPr>
            <w:tcW w:type="dxa" w:w="2266"/>
            <w:shd w:val="clear" w:color="auto" w:fill="EBF3FA"/>
          </w:tcPr>
          <w:p>
            <w:pPr>
              <w:spacing w:before="40" w:after="40"/>
            </w:pPr>
            <w:r>
              <w:rPr>
                <w:color w:val="1A1A1A"/>
                <w:sz w:val="18"/>
              </w:rPr>
              <w:t>Taxer</w:t>
            </w:r>
          </w:p>
        </w:tc>
        <w:tc>
          <w:tcPr>
            <w:tcW w:type="dxa" w:w="2266"/>
            <w:shd w:val="clear" w:color="auto" w:fill="EBF3FA"/>
          </w:tcPr>
          <w:p>
            <w:pPr>
              <w:spacing w:before="40" w:after="40"/>
            </w:pPr>
            <w:r>
              <w:rPr>
                <w:color w:val="1A1A1A"/>
                <w:sz w:val="18"/>
              </w:rPr>
              <w:t>México</w:t>
            </w:r>
          </w:p>
        </w:tc>
        <w:tc>
          <w:tcPr>
            <w:tcW w:type="dxa" w:w="2266"/>
            <w:shd w:val="clear" w:color="auto" w:fill="EBF3FA"/>
          </w:tcPr>
          <w:p>
            <w:pPr>
              <w:spacing w:before="40" w:after="40"/>
            </w:pPr>
            <w:r>
              <w:rPr>
                <w:color w:val="1A1A1A"/>
                <w:sz w:val="18"/>
              </w:rPr>
              <w:t>✅ 56% reducción en tiempos de flujo de trabajo</w:t>
            </w:r>
          </w:p>
        </w:tc>
      </w:tr>
      <w:tr>
        <w:tc>
          <w:tcPr>
            <w:tcW w:type="dxa" w:w="2266"/>
            <w:shd w:val="clear" w:color="auto" w:fill="FFFFFF"/>
          </w:tcPr>
          <w:p>
            <w:pPr>
              <w:spacing w:before="40" w:after="40"/>
            </w:pPr>
            <w:r>
              <w:rPr>
                <w:color w:val="1A1A1A"/>
                <w:sz w:val="18"/>
              </w:rPr>
              <w:t>Plataforma de visibility US-MX</w:t>
            </w:r>
          </w:p>
        </w:tc>
        <w:tc>
          <w:tcPr>
            <w:tcW w:type="dxa" w:w="2266"/>
            <w:shd w:val="clear" w:color="auto" w:fill="FFFFFF"/>
          </w:tcPr>
          <w:p>
            <w:pPr>
              <w:spacing w:before="40" w:after="40"/>
            </w:pPr>
            <w:r>
              <w:rPr>
                <w:color w:val="1A1A1A"/>
                <w:sz w:val="18"/>
              </w:rPr>
              <w:t>Nuvocargo</w:t>
            </w:r>
          </w:p>
        </w:tc>
        <w:tc>
          <w:tcPr>
            <w:tcW w:type="dxa" w:w="2266"/>
            <w:shd w:val="clear" w:color="auto" w:fill="FFFFFF"/>
          </w:tcPr>
          <w:p>
            <w:pPr>
              <w:spacing w:before="40" w:after="40"/>
            </w:pPr>
            <w:r>
              <w:rPr>
                <w:color w:val="1A1A1A"/>
                <w:sz w:val="18"/>
              </w:rPr>
              <w:t>México-USA</w:t>
            </w:r>
          </w:p>
        </w:tc>
        <w:tc>
          <w:tcPr>
            <w:tcW w:type="dxa" w:w="2266"/>
            <w:shd w:val="clear" w:color="auto" w:fill="FFFFFF"/>
          </w:tcPr>
          <w:p>
            <w:pPr>
              <w:spacing w:before="40" w:after="40"/>
            </w:pPr>
            <w:r>
              <w:rPr>
                <w:color w:val="1A1A1A"/>
                <w:sz w:val="18"/>
              </w:rPr>
              <w:t>⚠️ Reduce 30-50% inquiries de tracking; ROI no público</w:t>
            </w:r>
          </w:p>
        </w:tc>
      </w:tr>
      <w:tr>
        <w:tc>
          <w:tcPr>
            <w:tcW w:type="dxa" w:w="2266"/>
            <w:shd w:val="clear" w:color="auto" w:fill="EBF3FA"/>
          </w:tcPr>
          <w:p>
            <w:pPr>
              <w:spacing w:before="40" w:after="40"/>
            </w:pPr>
            <w:r>
              <w:rPr>
                <w:color w:val="1A1A1A"/>
                <w:sz w:val="18"/>
              </w:rPr>
              <w:t>Brokerage automatizado</w:t>
            </w:r>
          </w:p>
        </w:tc>
        <w:tc>
          <w:tcPr>
            <w:tcW w:type="dxa" w:w="2266"/>
            <w:shd w:val="clear" w:color="auto" w:fill="EBF3FA"/>
          </w:tcPr>
          <w:p>
            <w:pPr>
              <w:spacing w:before="40" w:after="40"/>
            </w:pPr>
            <w:r>
              <w:rPr>
                <w:color w:val="1A1A1A"/>
                <w:sz w:val="18"/>
              </w:rPr>
              <w:t>Flexport</w:t>
            </w:r>
          </w:p>
        </w:tc>
        <w:tc>
          <w:tcPr>
            <w:tcW w:type="dxa" w:w="2266"/>
            <w:shd w:val="clear" w:color="auto" w:fill="EBF3FA"/>
          </w:tcPr>
          <w:p>
            <w:pPr>
              <w:spacing w:before="40" w:after="40"/>
            </w:pPr>
            <w:r>
              <w:rPr>
                <w:color w:val="1A1A1A"/>
                <w:sz w:val="18"/>
              </w:rPr>
              <w:t>Global</w:t>
            </w:r>
          </w:p>
        </w:tc>
        <w:tc>
          <w:tcPr>
            <w:tcW w:type="dxa" w:w="2266"/>
            <w:shd w:val="clear" w:color="auto" w:fill="EBF3FA"/>
          </w:tcPr>
          <w:p>
            <w:pPr>
              <w:spacing w:before="40" w:after="40"/>
            </w:pPr>
            <w:r>
              <w:rPr>
                <w:color w:val="1A1A1A"/>
                <w:sz w:val="18"/>
              </w:rPr>
              <w:t>⚠️ Reducción 25-40% tiempos de cotización (cifra global, no MX-específica)</w:t>
            </w:r>
          </w:p>
        </w:tc>
      </w:tr>
      <w:tr>
        <w:tc>
          <w:tcPr>
            <w:tcW w:type="dxa" w:w="2266"/>
            <w:shd w:val="clear" w:color="auto" w:fill="FFFFFF"/>
          </w:tcPr>
          <w:p>
            <w:pPr>
              <w:spacing w:before="40" w:after="40"/>
            </w:pPr>
            <w:r>
              <w:rPr>
                <w:color w:val="1A1A1A"/>
                <w:sz w:val="18"/>
              </w:rPr>
              <w:t>OCR de documentos aduanales</w:t>
            </w:r>
          </w:p>
        </w:tc>
        <w:tc>
          <w:tcPr>
            <w:tcW w:type="dxa" w:w="2266"/>
            <w:shd w:val="clear" w:color="auto" w:fill="FFFFFF"/>
          </w:tcPr>
          <w:p>
            <w:pPr>
              <w:spacing w:before="40" w:after="40"/>
            </w:pPr>
            <w:r>
              <w:rPr>
                <w:color w:val="1A1A1A"/>
                <w:sz w:val="18"/>
              </w:rPr>
              <w:t>Moco AI / Camtom</w:t>
            </w:r>
          </w:p>
        </w:tc>
        <w:tc>
          <w:tcPr>
            <w:tcW w:type="dxa" w:w="2266"/>
            <w:shd w:val="clear" w:color="auto" w:fill="FFFFFF"/>
          </w:tcPr>
          <w:p>
            <w:pPr>
              <w:spacing w:before="40" w:after="40"/>
            </w:pPr>
            <w:r>
              <w:rPr>
                <w:color w:val="1A1A1A"/>
                <w:sz w:val="18"/>
              </w:rPr>
              <w:t>México</w:t>
            </w:r>
          </w:p>
        </w:tc>
        <w:tc>
          <w:tcPr>
            <w:tcW w:type="dxa" w:w="2266"/>
            <w:shd w:val="clear" w:color="auto" w:fill="FFFFFF"/>
          </w:tcPr>
          <w:p>
            <w:pPr>
              <w:spacing w:before="40" w:after="40"/>
            </w:pPr>
            <w:r>
              <w:rPr>
                <w:color w:val="1A1A1A"/>
                <w:sz w:val="18"/>
              </w:rPr>
              <w:t>⚠️ Reducción 60-80% tiempo de captura (rangos reportados por proveedores)</w:t>
            </w:r>
          </w:p>
        </w:tc>
      </w:tr>
      <w:tr>
        <w:tc>
          <w:tcPr>
            <w:tcW w:type="dxa" w:w="2266"/>
            <w:shd w:val="clear" w:color="auto" w:fill="EBF3FA"/>
          </w:tcPr>
          <w:p>
            <w:pPr>
              <w:spacing w:before="40" w:after="40"/>
            </w:pPr>
            <w:r>
              <w:rPr>
                <w:color w:val="1A1A1A"/>
                <w:sz w:val="18"/>
              </w:rPr>
              <w:t>Predicción de duty / valuation</w:t>
            </w:r>
          </w:p>
        </w:tc>
        <w:tc>
          <w:tcPr>
            <w:tcW w:type="dxa" w:w="2266"/>
            <w:shd w:val="clear" w:color="auto" w:fill="EBF3FA"/>
          </w:tcPr>
          <w:p>
            <w:pPr>
              <w:spacing w:before="40" w:after="40"/>
            </w:pPr>
            <w:r>
              <w:rPr>
                <w:color w:val="1A1A1A"/>
                <w:sz w:val="18"/>
              </w:rPr>
              <w:t>Various US TMS</w:t>
            </w:r>
          </w:p>
        </w:tc>
        <w:tc>
          <w:tcPr>
            <w:tcW w:type="dxa" w:w="2266"/>
            <w:shd w:val="clear" w:color="auto" w:fill="EBF3FA"/>
          </w:tcPr>
          <w:p>
            <w:pPr>
              <w:spacing w:before="40" w:after="40"/>
            </w:pPr>
            <w:r>
              <w:rPr>
                <w:color w:val="1A1A1A"/>
                <w:sz w:val="18"/>
              </w:rPr>
              <w:t>USA, MX</w:t>
            </w:r>
          </w:p>
        </w:tc>
        <w:tc>
          <w:tcPr>
            <w:tcW w:type="dxa" w:w="2266"/>
            <w:shd w:val="clear" w:color="auto" w:fill="EBF3FA"/>
          </w:tcPr>
          <w:p>
            <w:pPr>
              <w:spacing w:before="40" w:after="40"/>
            </w:pPr>
            <w:r>
              <w:rPr>
                <w:color w:val="1A1A1A"/>
                <w:sz w:val="18"/>
              </w:rPr>
              <w:t>⚠️ Reducción de revisiones de aduana up to 20% (Department of Commerce US studies)</w:t>
            </w:r>
          </w:p>
        </w:tc>
      </w:tr>
    </w:tbl>
    <w:p/>
    <w:p>
      <w:pPr>
        <w:spacing w:before="160" w:after="40"/>
      </w:pPr>
      <w:r>
        <w:rPr>
          <w:b/>
          <w:color w:val="6B7280"/>
          <w:sz w:val="22"/>
        </w:rPr>
        <w:t>Herramientas de IA dominantes en el sector</w:t>
      </w:r>
    </w:p>
    <w:p>
      <w:pPr>
        <w:pStyle w:val="ListBullet"/>
        <w:spacing w:before="0" w:after="40"/>
      </w:pPr>
      <w:r>
        <w:rPr>
          <w:b/>
          <w:color w:val="1A1A1A"/>
          <w:sz w:val="20"/>
        </w:rPr>
        <w:t>AduanApp</w:t>
      </w:r>
      <w:r>
        <w:rPr>
          <w:color w:val="1A1A1A"/>
          <w:sz w:val="20"/>
        </w:rPr>
        <w:t xml:space="preserve"> — clasificación arancelaria mexicana (#1 player local).</w:t>
      </w:r>
    </w:p>
    <w:p>
      <w:pPr>
        <w:pStyle w:val="ListBullet"/>
        <w:spacing w:before="0" w:after="40"/>
      </w:pPr>
      <w:r>
        <w:rPr>
          <w:b/>
          <w:color w:val="1A1A1A"/>
          <w:sz w:val="20"/>
        </w:rPr>
        <w:t>Taxer</w:t>
      </w:r>
      <w:r>
        <w:rPr>
          <w:color w:val="1A1A1A"/>
          <w:sz w:val="20"/>
        </w:rPr>
        <w:t xml:space="preserve"> — automatización de flujos aduaneros mexicanos.</w:t>
      </w:r>
    </w:p>
    <w:p>
      <w:pPr>
        <w:pStyle w:val="ListBullet"/>
        <w:spacing w:before="0" w:after="40"/>
      </w:pPr>
      <w:r>
        <w:rPr>
          <w:b/>
          <w:color w:val="1A1A1A"/>
          <w:sz w:val="20"/>
        </w:rPr>
        <w:t>Moco AI</w:t>
      </w:r>
      <w:r>
        <w:rPr>
          <w:color w:val="1A1A1A"/>
          <w:sz w:val="20"/>
        </w:rPr>
        <w:t xml:space="preserve"> — clasificación + asistente aduanero.</w:t>
      </w:r>
    </w:p>
    <w:p>
      <w:pPr>
        <w:pStyle w:val="ListBullet"/>
        <w:spacing w:before="0" w:after="40"/>
      </w:pPr>
      <w:r>
        <w:rPr>
          <w:b/>
          <w:color w:val="1A1A1A"/>
          <w:sz w:val="20"/>
        </w:rPr>
        <w:t>Camtom</w:t>
      </w:r>
      <w:r>
        <w:rPr>
          <w:color w:val="1A1A1A"/>
          <w:sz w:val="20"/>
        </w:rPr>
        <w:t xml:space="preserve"> — clasificación arancelaria + comercio internacional.</w:t>
      </w:r>
    </w:p>
    <w:p>
      <w:pPr>
        <w:pStyle w:val="ListBullet"/>
        <w:spacing w:before="0" w:after="40"/>
      </w:pPr>
      <w:r>
        <w:rPr>
          <w:b/>
          <w:color w:val="1A1A1A"/>
          <w:sz w:val="20"/>
        </w:rPr>
        <w:t>Experta</w:t>
      </w:r>
      <w:r>
        <w:rPr>
          <w:color w:val="1A1A1A"/>
          <w:sz w:val="20"/>
        </w:rPr>
        <w:t xml:space="preserve"> — clasificación arancelaria.</w:t>
      </w:r>
    </w:p>
    <w:p>
      <w:pPr>
        <w:pStyle w:val="ListBullet"/>
        <w:spacing w:before="0" w:after="40"/>
      </w:pPr>
      <w:r>
        <w:rPr>
          <w:b/>
          <w:color w:val="1A1A1A"/>
          <w:sz w:val="20"/>
        </w:rPr>
        <w:t>Nuvocargo Platform</w:t>
      </w:r>
      <w:r>
        <w:rPr>
          <w:color w:val="1A1A1A"/>
          <w:sz w:val="20"/>
        </w:rPr>
        <w:t xml:space="preserve"> — visibility + brokerage para US-MX cross-border.</w:t>
      </w:r>
    </w:p>
    <w:p>
      <w:pPr>
        <w:pStyle w:val="ListBullet"/>
        <w:spacing w:before="0" w:after="40"/>
      </w:pPr>
      <w:r>
        <w:rPr>
          <w:b/>
          <w:color w:val="1A1A1A"/>
          <w:sz w:val="20"/>
        </w:rPr>
        <w:t>Flexport Platform</w:t>
      </w:r>
      <w:r>
        <w:rPr>
          <w:color w:val="1A1A1A"/>
          <w:sz w:val="20"/>
        </w:rPr>
        <w:t xml:space="preserve"> — forwarding digital global.</w:t>
      </w:r>
    </w:p>
    <w:p>
      <w:pPr>
        <w:pStyle w:val="ListBullet"/>
        <w:spacing w:before="0" w:after="40"/>
      </w:pPr>
      <w:r>
        <w:rPr>
          <w:b/>
          <w:color w:val="1A1A1A"/>
          <w:sz w:val="20"/>
        </w:rPr>
        <w:t>Project44 / FourKites</w:t>
      </w:r>
      <w:r>
        <w:rPr>
          <w:color w:val="1A1A1A"/>
          <w:sz w:val="20"/>
        </w:rPr>
        <w:t xml:space="preserve"> — visibility multimodal global (penetración baja en MX).</w:t>
      </w:r>
    </w:p>
    <w:p>
      <w:pPr>
        <w:spacing w:before="160" w:after="40"/>
      </w:pPr>
      <w:r>
        <w:rPr>
          <w:b/>
          <w:color w:val="6B7280"/>
          <w:sz w:val="22"/>
        </w:rPr>
        <w:t>Barreras de adopción en México</w:t>
      </w:r>
    </w:p>
    <w:p>
      <w:pPr>
        <w:pStyle w:val="ListNumber"/>
        <w:spacing w:before="0" w:after="40"/>
      </w:pPr>
      <w:r>
        <w:rPr>
          <w:b/>
          <w:color w:val="1A1A1A"/>
          <w:sz w:val="20"/>
        </w:rPr>
        <w:t>Infraestructura tecnológica histórica baja.</w:t>
      </w:r>
      <w:r>
        <w:rPr>
          <w:color w:val="1A1A1A"/>
          <w:sz w:val="20"/>
        </w:rPr>
        <w:t xml:space="preserve"> La mayoría de agencias aduanales operan en ERPs heredados o Excel; integración con APIs nuevas es costosa.</w:t>
      </w:r>
    </w:p>
    <w:p>
      <w:pPr>
        <w:pStyle w:val="ListNumber"/>
        <w:spacing w:before="0" w:after="40"/>
      </w:pPr>
      <w:r>
        <w:rPr>
          <w:b/>
          <w:color w:val="1A1A1A"/>
          <w:sz w:val="20"/>
        </w:rPr>
        <w:t>Talento técnico escaso.</w:t>
      </w:r>
      <w:r>
        <w:rPr>
          <w:color w:val="1A1A1A"/>
          <w:sz w:val="20"/>
        </w:rPr>
        <w:t xml:space="preserve"> Combinación de conocimiento aduanal + tech es perfil escaso. Las plataformas de IA tienden a ser usadas en interfaz sin entender lo que hay debajo.</w:t>
      </w:r>
    </w:p>
    <w:p>
      <w:pPr>
        <w:pStyle w:val="ListNumber"/>
        <w:spacing w:before="0" w:after="40"/>
      </w:pPr>
      <w:r>
        <w:rPr>
          <w:b/>
          <w:color w:val="1A1A1A"/>
          <w:sz w:val="20"/>
        </w:rPr>
        <w:t>Resistencia cultural.</w:t>
      </w:r>
      <w:r>
        <w:rPr>
          <w:color w:val="1A1A1A"/>
          <w:sz w:val="20"/>
        </w:rPr>
        <w:t xml:space="preserve"> El despacho aduanal es industria de relaciones de décadas. La cultura "yo conozco al jefe de aduana" es difícil de digitalizar.</w:t>
      </w:r>
    </w:p>
    <w:p>
      <w:pPr>
        <w:pStyle w:val="ListNumber"/>
        <w:spacing w:before="0" w:after="40"/>
      </w:pPr>
      <w:r>
        <w:rPr>
          <w:b/>
          <w:color w:val="1A1A1A"/>
          <w:sz w:val="20"/>
        </w:rPr>
        <w:t>Costo percibido inicial.</w:t>
      </w:r>
      <w:r>
        <w:rPr>
          <w:color w:val="1A1A1A"/>
          <w:sz w:val="20"/>
        </w:rPr>
        <w:t xml:space="preserve"> Aunque el TCO baja con IA, el capex inicial sigue siendo barrera para PyMEs.</w:t>
      </w:r>
    </w:p>
    <w:p>
      <w:pPr>
        <w:pStyle w:val="ListNumber"/>
        <w:spacing w:before="0" w:after="40"/>
      </w:pPr>
      <w:r>
        <w:rPr>
          <w:b/>
          <w:color w:val="1A1A1A"/>
          <w:sz w:val="20"/>
        </w:rPr>
        <w:t>Regulación cambiante crea incertidumbre.</w:t>
      </w:r>
      <w:r>
        <w:rPr>
          <w:color w:val="1A1A1A"/>
          <w:sz w:val="20"/>
        </w:rPr>
        <w:t xml:space="preserve"> ¿Vale la pena implementar IA para un proceso que va a cambiar en 2026 por la reforma? Sí — pero el argumento requiere convicción.</w:t>
      </w:r>
    </w:p>
    <w:p>
      <w:pPr>
        <w:spacing w:before="20" w:after="60"/>
      </w:pPr>
      <w:r>
        <w:rPr>
          <w:color w:val="1A1A1A"/>
          <w:sz w:val="20"/>
        </w:rPr>
        <w:t xml:space="preserve">&gt; 🔍 </w:t>
      </w:r>
      <w:r>
        <w:rPr>
          <w:b/>
          <w:color w:val="1A1A1A"/>
          <w:sz w:val="20"/>
        </w:rPr>
        <w:t>Análisis para Trixx:</w:t>
      </w:r>
      <w:r>
        <w:rPr>
          <w:color w:val="1A1A1A"/>
          <w:sz w:val="20"/>
        </w:rPr>
        <w:t xml:space="preserve"> La barrera #3 (resistencia cultural + relaciones) es exactamente lo que va a frenar a Trixx si NO actúa. Es también lo que va a permitir que tech-enabled forwarders (Nuvocargo) tomen su lonche en 18-24 meses. </w:t>
      </w:r>
      <w:r>
        <w:rPr>
          <w:b/>
          <w:color w:val="1A1A1A"/>
          <w:sz w:val="20"/>
        </w:rPr>
        <w:t>La narrativa de "automatizar SIN perder el toque humano" es la única que funciona aquí</w:t>
      </w:r>
      <w:r>
        <w:rPr>
          <w:color w:val="1A1A1A"/>
          <w:sz w:val="20"/>
        </w:rPr>
        <w:t xml:space="preserve"> — no "reemplazar humanos por IA".</w:t>
      </w:r>
    </w:p>
    <w:p>
      <w:pPr>
        <w:spacing w:before="40" w:after="40"/>
      </w:pPr>
    </w:p>
    <w:p>
      <w:pPr>
        <w:spacing w:before="280" w:after="60"/>
        <w:pBdr>
          <w:bottom w:val="single" w:sz="4" w:space="1" w:color="0EA5E9"/>
        </w:pBdr>
      </w:pPr>
      <w:r>
        <w:rPr>
          <w:b/>
          <w:color w:val="0EA5E9"/>
          <w:sz w:val="28"/>
        </w:rPr>
        <w:t>8. OPORTUNIDADES Y AMENAZAS DEL ENTORNO (PESTEL)</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C1A2E"/>
          </w:tcPr>
          <w:p>
            <w:pPr>
              <w:spacing w:before="40" w:after="40"/>
            </w:pPr>
            <w:r>
              <w:rPr>
                <w:b/>
                <w:color w:val="FFFFFF"/>
                <w:sz w:val="18"/>
              </w:rPr>
              <w:t>Factor</w:t>
            </w:r>
          </w:p>
        </w:tc>
        <w:tc>
          <w:tcPr>
            <w:tcW w:type="dxa" w:w="3022"/>
            <w:shd w:val="clear" w:color="auto" w:fill="0C1A2E"/>
          </w:tcPr>
          <w:p>
            <w:pPr>
              <w:spacing w:before="40" w:after="40"/>
            </w:pPr>
            <w:r>
              <w:rPr>
                <w:b/>
                <w:color w:val="FFFFFF"/>
                <w:sz w:val="18"/>
              </w:rPr>
              <w:t>Oportunidades</w:t>
            </w:r>
          </w:p>
        </w:tc>
        <w:tc>
          <w:tcPr>
            <w:tcW w:type="dxa" w:w="3022"/>
            <w:shd w:val="clear" w:color="auto" w:fill="0C1A2E"/>
          </w:tcPr>
          <w:p>
            <w:pPr>
              <w:spacing w:before="40" w:after="40"/>
            </w:pPr>
            <w:r>
              <w:rPr>
                <w:b/>
                <w:color w:val="FFFFFF"/>
                <w:sz w:val="18"/>
              </w:rPr>
              <w:t>Amenazas</w:t>
            </w:r>
          </w:p>
        </w:tc>
      </w:tr>
      <w:tr>
        <w:tc>
          <w:tcPr>
            <w:tcW w:type="dxa" w:w="3022"/>
            <w:shd w:val="clear" w:color="auto" w:fill="FFFFFF"/>
          </w:tcPr>
          <w:p>
            <w:pPr>
              <w:spacing w:before="40" w:after="40"/>
            </w:pPr>
            <w:r>
              <w:rPr>
                <w:color w:val="1A1A1A"/>
                <w:sz w:val="18"/>
              </w:rPr>
              <w:t>Político</w:t>
            </w:r>
          </w:p>
        </w:tc>
        <w:tc>
          <w:tcPr>
            <w:tcW w:type="dxa" w:w="3022"/>
            <w:shd w:val="clear" w:color="auto" w:fill="FFFFFF"/>
          </w:tcPr>
          <w:p>
            <w:pPr>
              <w:spacing w:before="40" w:after="40"/>
            </w:pPr>
            <w:r>
              <w:rPr>
                <w:color w:val="1A1A1A"/>
                <w:sz w:val="18"/>
              </w:rPr>
              <w:t>T-MEC review puede consolidar reglas de origen y favorecer operadores compliance-fwd</w:t>
            </w:r>
          </w:p>
        </w:tc>
        <w:tc>
          <w:tcPr>
            <w:tcW w:type="dxa" w:w="3022"/>
            <w:shd w:val="clear" w:color="auto" w:fill="FFFFFF"/>
          </w:tcPr>
          <w:p>
            <w:pPr>
              <w:spacing w:before="40" w:after="40"/>
            </w:pPr>
            <w:r>
              <w:rPr>
                <w:color w:val="1A1A1A"/>
                <w:sz w:val="18"/>
              </w:rPr>
              <w:t>Inestabilidad arancelaria US 2025-2026 reduce predictibilidad; tensión MX-USA en política migratoria afecta cruces</w:t>
            </w:r>
          </w:p>
        </w:tc>
      </w:tr>
      <w:tr>
        <w:tc>
          <w:tcPr>
            <w:tcW w:type="dxa" w:w="3022"/>
            <w:shd w:val="clear" w:color="auto" w:fill="EBF3FA"/>
          </w:tcPr>
          <w:p>
            <w:pPr>
              <w:spacing w:before="40" w:after="40"/>
            </w:pPr>
            <w:r>
              <w:rPr>
                <w:color w:val="1A1A1A"/>
                <w:sz w:val="18"/>
              </w:rPr>
              <w:t>Económico</w:t>
            </w:r>
          </w:p>
        </w:tc>
        <w:tc>
          <w:tcPr>
            <w:tcW w:type="dxa" w:w="3022"/>
            <w:shd w:val="clear" w:color="auto" w:fill="EBF3FA"/>
          </w:tcPr>
          <w:p>
            <w:pPr>
              <w:spacing w:before="40" w:after="40"/>
            </w:pPr>
            <w:r>
              <w:rPr>
                <w:color w:val="1A1A1A"/>
                <w:sz w:val="18"/>
              </w:rPr>
              <w:t>Nearshoring + 30+ empresas nuevas en Tijuana = mercado virgen; USD 92B mercado actual creciendo a USD 141B en 2034</w:t>
            </w:r>
          </w:p>
        </w:tc>
        <w:tc>
          <w:tcPr>
            <w:tcW w:type="dxa" w:w="3022"/>
            <w:shd w:val="clear" w:color="auto" w:fill="EBF3FA"/>
          </w:tcPr>
          <w:p>
            <w:pPr>
              <w:spacing w:before="40" w:after="40"/>
            </w:pPr>
            <w:r>
              <w:rPr>
                <w:color w:val="1A1A1A"/>
                <w:sz w:val="18"/>
              </w:rPr>
              <w:t>PIB del sector estancado en 2025 (+0.02%); volatilidad MXN-USD complica pricing</w:t>
            </w:r>
          </w:p>
        </w:tc>
      </w:tr>
      <w:tr>
        <w:tc>
          <w:tcPr>
            <w:tcW w:type="dxa" w:w="3022"/>
            <w:shd w:val="clear" w:color="auto" w:fill="FFFFFF"/>
          </w:tcPr>
          <w:p>
            <w:pPr>
              <w:spacing w:before="40" w:after="40"/>
            </w:pPr>
            <w:r>
              <w:rPr>
                <w:color w:val="1A1A1A"/>
                <w:sz w:val="18"/>
              </w:rPr>
              <w:t>Social</w:t>
            </w:r>
          </w:p>
        </w:tc>
        <w:tc>
          <w:tcPr>
            <w:tcW w:type="dxa" w:w="3022"/>
            <w:shd w:val="clear" w:color="auto" w:fill="FFFFFF"/>
          </w:tcPr>
          <w:p>
            <w:pPr>
              <w:spacing w:before="40" w:after="40"/>
            </w:pPr>
            <w:r>
              <w:rPr>
                <w:color w:val="1A1A1A"/>
                <w:sz w:val="18"/>
              </w:rPr>
              <w:t>Escasez de drivers eleva poder negociador de operadores establecidos; cultura "hecho en Tijuana" como ventaja</w:t>
            </w:r>
          </w:p>
        </w:tc>
        <w:tc>
          <w:tcPr>
            <w:tcW w:type="dxa" w:w="3022"/>
            <w:shd w:val="clear" w:color="auto" w:fill="FFFFFF"/>
          </w:tcPr>
          <w:p>
            <w:pPr>
              <w:spacing w:before="40" w:after="40"/>
            </w:pPr>
            <w:r>
              <w:rPr>
                <w:color w:val="1A1A1A"/>
                <w:sz w:val="18"/>
              </w:rPr>
              <w:t>Rotación 30-40% anual en drivers genera costo operativo + reputacional; cultura familiar limita profesionalización</w:t>
            </w:r>
          </w:p>
        </w:tc>
      </w:tr>
      <w:tr>
        <w:tc>
          <w:tcPr>
            <w:tcW w:type="dxa" w:w="3022"/>
            <w:shd w:val="clear" w:color="auto" w:fill="EBF3FA"/>
          </w:tcPr>
          <w:p>
            <w:pPr>
              <w:spacing w:before="40" w:after="40"/>
            </w:pPr>
            <w:r>
              <w:rPr>
                <w:color w:val="1A1A1A"/>
                <w:sz w:val="18"/>
              </w:rPr>
              <w:t>Tecnológico</w:t>
            </w:r>
          </w:p>
        </w:tc>
        <w:tc>
          <w:tcPr>
            <w:tcW w:type="dxa" w:w="3022"/>
            <w:shd w:val="clear" w:color="auto" w:fill="EBF3FA"/>
          </w:tcPr>
          <w:p>
            <w:pPr>
              <w:spacing w:before="40" w:after="40"/>
            </w:pPr>
            <w:r>
              <w:rPr>
                <w:color w:val="1A1A1A"/>
                <w:sz w:val="18"/>
              </w:rPr>
              <w:t>Early-adopter window de IA aduanal 18-30 meses abierta; LLMs commoditizados bajan costo de adopción</w:t>
            </w:r>
          </w:p>
        </w:tc>
        <w:tc>
          <w:tcPr>
            <w:tcW w:type="dxa" w:w="3022"/>
            <w:shd w:val="clear" w:color="auto" w:fill="EBF3FA"/>
          </w:tcPr>
          <w:p>
            <w:pPr>
              <w:spacing w:before="40" w:after="40"/>
            </w:pPr>
            <w:r>
              <w:rPr>
                <w:color w:val="1A1A1A"/>
                <w:sz w:val="18"/>
              </w:rPr>
              <w:t>Tech-enabled forwarders (Nuvocargo, Flexport) con USD 100M+ funding pueden absorber clientes mid-market</w:t>
            </w:r>
          </w:p>
        </w:tc>
      </w:tr>
      <w:tr>
        <w:tc>
          <w:tcPr>
            <w:tcW w:type="dxa" w:w="3022"/>
            <w:shd w:val="clear" w:color="auto" w:fill="FFFFFF"/>
          </w:tcPr>
          <w:p>
            <w:pPr>
              <w:spacing w:before="40" w:after="40"/>
            </w:pPr>
            <w:r>
              <w:rPr>
                <w:color w:val="1A1A1A"/>
                <w:sz w:val="18"/>
              </w:rPr>
              <w:t>Ecológico</w:t>
            </w:r>
          </w:p>
        </w:tc>
        <w:tc>
          <w:tcPr>
            <w:tcW w:type="dxa" w:w="3022"/>
            <w:shd w:val="clear" w:color="auto" w:fill="FFFFFF"/>
          </w:tcPr>
          <w:p>
            <w:pPr>
              <w:spacing w:before="40" w:after="40"/>
            </w:pPr>
            <w:r>
              <w:rPr>
                <w:color w:val="1A1A1A"/>
                <w:sz w:val="18"/>
              </w:rPr>
              <w:t>Cumplimiento ESG creciente entre clientes; oportunidad de diferenciar con métricas de emisiones por envío</w:t>
            </w:r>
          </w:p>
        </w:tc>
        <w:tc>
          <w:tcPr>
            <w:tcW w:type="dxa" w:w="3022"/>
            <w:shd w:val="clear" w:color="auto" w:fill="FFFFFF"/>
          </w:tcPr>
          <w:p>
            <w:pPr>
              <w:spacing w:before="40" w:after="40"/>
            </w:pPr>
            <w:r>
              <w:rPr>
                <w:color w:val="1A1A1A"/>
                <w:sz w:val="18"/>
              </w:rPr>
              <w:t>Regulación de emisiones US (CARB en California afecta drayage CA-MX) eleva costo de flota</w:t>
            </w:r>
          </w:p>
        </w:tc>
      </w:tr>
      <w:tr>
        <w:tc>
          <w:tcPr>
            <w:tcW w:type="dxa" w:w="3022"/>
            <w:shd w:val="clear" w:color="auto" w:fill="EBF3FA"/>
          </w:tcPr>
          <w:p>
            <w:pPr>
              <w:spacing w:before="40" w:after="40"/>
            </w:pPr>
            <w:r>
              <w:rPr>
                <w:color w:val="1A1A1A"/>
                <w:sz w:val="18"/>
              </w:rPr>
              <w:t>Legal</w:t>
            </w:r>
          </w:p>
        </w:tc>
        <w:tc>
          <w:tcPr>
            <w:tcW w:type="dxa" w:w="3022"/>
            <w:shd w:val="clear" w:color="auto" w:fill="EBF3FA"/>
          </w:tcPr>
          <w:p>
            <w:pPr>
              <w:spacing w:before="40" w:after="40"/>
            </w:pPr>
            <w:r>
              <w:rPr>
                <w:color w:val="1A1A1A"/>
                <w:sz w:val="18"/>
              </w:rPr>
              <w:t>Reforma Ley Aduanera 2026 favorece a quien adopte tech de compliance temprano</w:t>
            </w:r>
          </w:p>
        </w:tc>
        <w:tc>
          <w:tcPr>
            <w:tcW w:type="dxa" w:w="3022"/>
            <w:shd w:val="clear" w:color="auto" w:fill="EBF3FA"/>
          </w:tcPr>
          <w:p>
            <w:pPr>
              <w:spacing w:before="40" w:after="40"/>
            </w:pPr>
            <w:r>
              <w:rPr>
                <w:color w:val="1A1A1A"/>
                <w:sz w:val="18"/>
              </w:rPr>
              <w:t>Responsabilidad solidaria del agente aumenta exposición legal; multas Carta Porte $850-$53,650 MXN</w:t>
            </w:r>
          </w:p>
        </w:tc>
      </w:tr>
    </w:tbl>
    <w:p/>
    <w:p>
      <w:pPr>
        <w:spacing w:before="40" w:after="40"/>
      </w:pPr>
    </w:p>
    <w:p>
      <w:pPr>
        <w:spacing w:before="280" w:after="60"/>
        <w:pBdr>
          <w:bottom w:val="single" w:sz="4" w:space="1" w:color="0EA5E9"/>
        </w:pBdr>
      </w:pPr>
      <w:r>
        <w:rPr>
          <w:b/>
          <w:color w:val="0EA5E9"/>
          <w:sz w:val="28"/>
        </w:rPr>
        <w:t>9. MADUREZ DIGITAL DEL SECTOR</w:t>
      </w:r>
    </w:p>
    <w:p>
      <w:pPr>
        <w:spacing w:before="80" w:after="40"/>
      </w:pPr>
      <w:r>
        <w:rPr>
          <w:b/>
          <w:color w:val="0C1A2E"/>
          <w:sz w:val="20"/>
        </w:rPr>
        <w:t>Calificación general del sector: 2 / 5</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C1A2E"/>
          </w:tcPr>
          <w:p>
            <w:pPr>
              <w:spacing w:before="40" w:after="40"/>
            </w:pPr>
            <w:r>
              <w:rPr>
                <w:b/>
                <w:color w:val="FFFFFF"/>
                <w:sz w:val="18"/>
              </w:rPr>
              <w:t>Nivel</w:t>
            </w:r>
          </w:p>
        </w:tc>
        <w:tc>
          <w:tcPr>
            <w:tcW w:type="dxa" w:w="3022"/>
            <w:shd w:val="clear" w:color="auto" w:fill="0C1A2E"/>
          </w:tcPr>
          <w:p>
            <w:pPr>
              <w:spacing w:before="40" w:after="40"/>
            </w:pPr>
            <w:r>
              <w:rPr>
                <w:b/>
                <w:color w:val="FFFFFF"/>
                <w:sz w:val="18"/>
              </w:rPr>
              <w:t>Descripción</w:t>
            </w:r>
          </w:p>
        </w:tc>
        <w:tc>
          <w:tcPr>
            <w:tcW w:type="dxa" w:w="3022"/>
            <w:shd w:val="clear" w:color="auto" w:fill="0C1A2E"/>
          </w:tcPr>
          <w:p>
            <w:pPr>
              <w:spacing w:before="40" w:after="40"/>
            </w:pPr>
            <w:r>
              <w:rPr>
                <w:b/>
                <w:color w:val="FFFFFF"/>
                <w:sz w:val="18"/>
              </w:rPr>
              <w:t>Posición típica del sector</w:t>
            </w:r>
          </w:p>
        </w:tc>
      </w:tr>
      <w:tr>
        <w:tc>
          <w:tcPr>
            <w:tcW w:type="dxa" w:w="3022"/>
            <w:shd w:val="clear" w:color="auto" w:fill="FFFFFF"/>
          </w:tcPr>
          <w:p>
            <w:pPr>
              <w:spacing w:before="40" w:after="40"/>
            </w:pPr>
            <w:r>
              <w:rPr>
                <w:color w:val="1A1A1A"/>
                <w:sz w:val="18"/>
              </w:rPr>
              <w:t>1</w:t>
            </w:r>
          </w:p>
        </w:tc>
        <w:tc>
          <w:tcPr>
            <w:tcW w:type="dxa" w:w="3022"/>
            <w:shd w:val="clear" w:color="auto" w:fill="FFFFFF"/>
          </w:tcPr>
          <w:p>
            <w:pPr>
              <w:spacing w:before="40" w:after="40"/>
            </w:pPr>
            <w:r>
              <w:rPr>
                <w:color w:val="1A1A1A"/>
                <w:sz w:val="18"/>
              </w:rPr>
              <w:t>Operaciones manuales, sin sistemas integrados</w:t>
            </w:r>
          </w:p>
        </w:tc>
        <w:tc>
          <w:tcPr>
            <w:tcW w:type="dxa" w:w="3022"/>
            <w:shd w:val="clear" w:color="auto" w:fill="FFFFFF"/>
          </w:tcPr>
          <w:p>
            <w:pPr>
              <w:spacing w:before="40" w:after="40"/>
            </w:pPr>
            <w:r>
              <w:rPr>
                <w:color w:val="1A1A1A"/>
                <w:sz w:val="18"/>
              </w:rPr>
              <w:t>~15% de agencias / forwarders MX (micro PyMEs)</w:t>
            </w:r>
          </w:p>
        </w:tc>
      </w:tr>
      <w:tr>
        <w:tc>
          <w:tcPr>
            <w:tcW w:type="dxa" w:w="3022"/>
            <w:shd w:val="clear" w:color="auto" w:fill="EBF3FA"/>
          </w:tcPr>
          <w:p>
            <w:pPr>
              <w:spacing w:before="40" w:after="40"/>
            </w:pPr>
            <w:r>
              <w:rPr>
                <w:color w:val="1A1A1A"/>
                <w:sz w:val="18"/>
              </w:rPr>
              <w:t>2</w:t>
            </w:r>
          </w:p>
        </w:tc>
        <w:tc>
          <w:tcPr>
            <w:tcW w:type="dxa" w:w="3022"/>
            <w:shd w:val="clear" w:color="auto" w:fill="EBF3FA"/>
          </w:tcPr>
          <w:p>
            <w:pPr>
              <w:spacing w:before="40" w:after="40"/>
            </w:pPr>
            <w:r>
              <w:rPr>
                <w:color w:val="1A1A1A"/>
                <w:sz w:val="18"/>
              </w:rPr>
              <w:t>Sistemas básicos (ERP/CRM básico), baja digitalización</w:t>
            </w:r>
          </w:p>
        </w:tc>
        <w:tc>
          <w:tcPr>
            <w:tcW w:type="dxa" w:w="3022"/>
            <w:shd w:val="clear" w:color="auto" w:fill="EBF3FA"/>
          </w:tcPr>
          <w:p>
            <w:pPr>
              <w:spacing w:before="40" w:after="40"/>
            </w:pPr>
            <w:r>
              <w:rPr>
                <w:color w:val="1A1A1A"/>
                <w:sz w:val="18"/>
              </w:rPr>
              <w:t>~55% del sector — moda del cluster ⭐</w:t>
            </w:r>
          </w:p>
        </w:tc>
      </w:tr>
      <w:tr>
        <w:tc>
          <w:tcPr>
            <w:tcW w:type="dxa" w:w="3022"/>
            <w:shd w:val="clear" w:color="auto" w:fill="FFFFFF"/>
          </w:tcPr>
          <w:p>
            <w:pPr>
              <w:spacing w:before="40" w:after="40"/>
            </w:pPr>
            <w:r>
              <w:rPr>
                <w:color w:val="1A1A1A"/>
                <w:sz w:val="18"/>
              </w:rPr>
              <w:t>3</w:t>
            </w:r>
          </w:p>
        </w:tc>
        <w:tc>
          <w:tcPr>
            <w:tcW w:type="dxa" w:w="3022"/>
            <w:shd w:val="clear" w:color="auto" w:fill="FFFFFF"/>
          </w:tcPr>
          <w:p>
            <w:pPr>
              <w:spacing w:before="40" w:after="40"/>
            </w:pPr>
            <w:r>
              <w:rPr>
                <w:color w:val="1A1A1A"/>
                <w:sz w:val="18"/>
              </w:rPr>
              <w:t>Digitalización parcial, algunos procesos automatizados, datos disponibles pero no explotados</w:t>
            </w:r>
          </w:p>
        </w:tc>
        <w:tc>
          <w:tcPr>
            <w:tcW w:type="dxa" w:w="3022"/>
            <w:shd w:val="clear" w:color="auto" w:fill="FFFFFF"/>
          </w:tcPr>
          <w:p>
            <w:pPr>
              <w:spacing w:before="40" w:after="40"/>
            </w:pPr>
            <w:r>
              <w:rPr>
                <w:color w:val="1A1A1A"/>
                <w:sz w:val="18"/>
              </w:rPr>
              <w:t>~20% del sector</w:t>
            </w:r>
          </w:p>
        </w:tc>
      </w:tr>
      <w:tr>
        <w:tc>
          <w:tcPr>
            <w:tcW w:type="dxa" w:w="3022"/>
            <w:shd w:val="clear" w:color="auto" w:fill="EBF3FA"/>
          </w:tcPr>
          <w:p>
            <w:pPr>
              <w:spacing w:before="40" w:after="40"/>
            </w:pPr>
            <w:r>
              <w:rPr>
                <w:color w:val="1A1A1A"/>
                <w:sz w:val="18"/>
              </w:rPr>
              <w:t>4</w:t>
            </w:r>
          </w:p>
        </w:tc>
        <w:tc>
          <w:tcPr>
            <w:tcW w:type="dxa" w:w="3022"/>
            <w:shd w:val="clear" w:color="auto" w:fill="EBF3FA"/>
          </w:tcPr>
          <w:p>
            <w:pPr>
              <w:spacing w:before="40" w:after="40"/>
            </w:pPr>
            <w:r>
              <w:rPr>
                <w:color w:val="1A1A1A"/>
                <w:sz w:val="18"/>
              </w:rPr>
              <w:t>Alta integración de sistemas, datos centralizados, experimentación con IA</w:t>
            </w:r>
          </w:p>
        </w:tc>
        <w:tc>
          <w:tcPr>
            <w:tcW w:type="dxa" w:w="3022"/>
            <w:shd w:val="clear" w:color="auto" w:fill="EBF3FA"/>
          </w:tcPr>
          <w:p>
            <w:pPr>
              <w:spacing w:before="40" w:after="40"/>
            </w:pPr>
            <w:r>
              <w:rPr>
                <w:color w:val="1A1A1A"/>
                <w:sz w:val="18"/>
              </w:rPr>
              <w:t>~8% del sector (mid-corporativo + tech-enabled)</w:t>
            </w:r>
          </w:p>
        </w:tc>
      </w:tr>
      <w:tr>
        <w:tc>
          <w:tcPr>
            <w:tcW w:type="dxa" w:w="3022"/>
            <w:shd w:val="clear" w:color="auto" w:fill="FFFFFF"/>
          </w:tcPr>
          <w:p>
            <w:pPr>
              <w:spacing w:before="40" w:after="40"/>
            </w:pPr>
            <w:r>
              <w:rPr>
                <w:color w:val="1A1A1A"/>
                <w:sz w:val="18"/>
              </w:rPr>
              <w:t>5</w:t>
            </w:r>
          </w:p>
        </w:tc>
        <w:tc>
          <w:tcPr>
            <w:tcW w:type="dxa" w:w="3022"/>
            <w:shd w:val="clear" w:color="auto" w:fill="FFFFFF"/>
          </w:tcPr>
          <w:p>
            <w:pPr>
              <w:spacing w:before="40" w:after="40"/>
            </w:pPr>
            <w:r>
              <w:rPr>
                <w:color w:val="1A1A1A"/>
                <w:sz w:val="18"/>
              </w:rPr>
              <w:t>IA como core del negocio, decisiones en tiempo real</w:t>
            </w:r>
          </w:p>
        </w:tc>
        <w:tc>
          <w:tcPr>
            <w:tcW w:type="dxa" w:w="3022"/>
            <w:shd w:val="clear" w:color="auto" w:fill="FFFFFF"/>
          </w:tcPr>
          <w:p>
            <w:pPr>
              <w:spacing w:before="40" w:after="40"/>
            </w:pPr>
            <w:r>
              <w:rPr>
                <w:color w:val="1A1A1A"/>
                <w:sz w:val="18"/>
              </w:rPr>
              <w:t>~2% del sector (Nuvocargo, Flexport-MX, AduanApp como herramienta)</w:t>
            </w:r>
          </w:p>
        </w:tc>
      </w:tr>
    </w:tbl>
    <w:p/>
    <w:p>
      <w:pPr>
        <w:spacing w:before="160" w:after="40"/>
      </w:pPr>
      <w:r>
        <w:rPr>
          <w:b/>
          <w:color w:val="6B7280"/>
          <w:sz w:val="22"/>
        </w:rPr>
        <w:t>Justificación</w:t>
      </w:r>
    </w:p>
    <w:p>
      <w:pPr>
        <w:pStyle w:val="ListBullet"/>
        <w:spacing w:before="0" w:after="40"/>
      </w:pPr>
      <w:r>
        <w:rPr>
          <w:color w:val="1A1A1A"/>
          <w:sz w:val="20"/>
        </w:rPr>
        <w:t xml:space="preserve">La moda del sector es </w:t>
      </w:r>
      <w:r>
        <w:rPr>
          <w:b/>
          <w:color w:val="1A1A1A"/>
          <w:sz w:val="20"/>
        </w:rPr>
        <w:t>nivel 2/5</w:t>
      </w:r>
      <w:r>
        <w:rPr>
          <w:color w:val="1A1A1A"/>
          <w:sz w:val="20"/>
        </w:rPr>
        <w:t xml:space="preserve"> porque la mayoría de operadores tiene presencia digital básica (sitio web, ERP heredado, WhatsApp como canal) sin integración real entre sistemas.</w:t>
      </w:r>
    </w:p>
    <w:p>
      <w:pPr>
        <w:pStyle w:val="ListBullet"/>
        <w:spacing w:before="0" w:after="40"/>
      </w:pPr>
      <w:r>
        <w:rPr>
          <w:color w:val="1A1A1A"/>
          <w:sz w:val="20"/>
        </w:rPr>
        <w:t>Solo el tope (~10%) ha llegado a nivel 4-5; son los tech-enabled forwarders financiados con venture capital + algunas adopciones tempranas de IA en agencias específicas.</w:t>
      </w:r>
    </w:p>
    <w:p>
      <w:pPr>
        <w:pStyle w:val="ListBullet"/>
        <w:spacing w:before="0" w:after="40"/>
      </w:pPr>
      <w:r>
        <w:rPr>
          <w:color w:val="1A1A1A"/>
          <w:sz w:val="20"/>
        </w:rPr>
        <w:t>La distancia entre nivel 2 (la moda) y nivel 4 es donde Nexostrat puede ofrecer máximo valor con Quick Wins de IA específicos.</w:t>
      </w:r>
    </w:p>
    <w:p>
      <w:pPr>
        <w:spacing w:before="160" w:after="40"/>
      </w:pPr>
      <w:r>
        <w:rPr>
          <w:b/>
          <w:color w:val="6B7280"/>
          <w:sz w:val="22"/>
        </w:rPr>
        <w:t>Qué hace que avance o retroceda</w:t>
      </w:r>
    </w:p>
    <w:p>
      <w:pPr>
        <w:spacing w:before="80" w:after="40"/>
      </w:pPr>
      <w:r>
        <w:rPr>
          <w:b/>
          <w:color w:val="0C1A2E"/>
          <w:sz w:val="20"/>
        </w:rPr>
        <w:t>Acelera:</w:t>
      </w:r>
    </w:p>
    <w:p>
      <w:pPr>
        <w:pStyle w:val="ListBullet"/>
        <w:spacing w:before="0" w:after="40"/>
      </w:pPr>
      <w:r>
        <w:rPr>
          <w:color w:val="1A1A1A"/>
          <w:sz w:val="20"/>
        </w:rPr>
        <w:t>Adopción cliente final de visibility (push de retail → llega al B2B).</w:t>
      </w:r>
    </w:p>
    <w:p>
      <w:pPr>
        <w:pStyle w:val="ListBullet"/>
        <w:spacing w:before="0" w:after="40"/>
      </w:pPr>
      <w:r>
        <w:rPr>
          <w:color w:val="1A1A1A"/>
          <w:sz w:val="20"/>
        </w:rPr>
        <w:t>Commoditización de LLMs (bajó costo de implementación 5-10x en últimos 2 años).</w:t>
      </w:r>
    </w:p>
    <w:p>
      <w:pPr>
        <w:pStyle w:val="ListBullet"/>
        <w:spacing w:before="0" w:after="40"/>
      </w:pPr>
      <w:r>
        <w:rPr>
          <w:color w:val="1A1A1A"/>
          <w:sz w:val="20"/>
        </w:rPr>
        <w:t>Reforma Ley Aduanera fuerza modernización del compliance.</w:t>
      </w:r>
    </w:p>
    <w:p>
      <w:pPr>
        <w:pStyle w:val="ListBullet"/>
        <w:spacing w:before="0" w:after="40"/>
      </w:pPr>
      <w:r>
        <w:rPr>
          <w:color w:val="1A1A1A"/>
          <w:sz w:val="20"/>
        </w:rPr>
        <w:t>Disponibilidad de IA mexicana (AduanApp, Taxer, Moco) baja barrera de "tener que importar tech".</w:t>
      </w:r>
    </w:p>
    <w:p>
      <w:pPr>
        <w:spacing w:before="80" w:after="40"/>
      </w:pPr>
      <w:r>
        <w:rPr>
          <w:b/>
          <w:color w:val="0C1A2E"/>
          <w:sz w:val="20"/>
        </w:rPr>
        <w:t>Retrasa:</w:t>
      </w:r>
    </w:p>
    <w:p>
      <w:pPr>
        <w:pStyle w:val="ListBullet"/>
        <w:spacing w:before="0" w:after="40"/>
      </w:pPr>
      <w:r>
        <w:rPr>
          <w:color w:val="1A1A1A"/>
          <w:sz w:val="20"/>
        </w:rPr>
        <w:t>Cultura relacional + familiar del sector logístico mexicano.</w:t>
      </w:r>
    </w:p>
    <w:p>
      <w:pPr>
        <w:pStyle w:val="ListBullet"/>
        <w:spacing w:before="0" w:after="40"/>
      </w:pPr>
      <w:r>
        <w:rPr>
          <w:color w:val="1A1A1A"/>
          <w:sz w:val="20"/>
        </w:rPr>
        <w:t>Talento técnico escaso (driver de adopción más limitante que el dinero).</w:t>
      </w:r>
    </w:p>
    <w:p>
      <w:pPr>
        <w:pStyle w:val="ListBullet"/>
        <w:spacing w:before="0" w:after="40"/>
      </w:pPr>
      <w:r>
        <w:rPr>
          <w:color w:val="1A1A1A"/>
          <w:sz w:val="20"/>
        </w:rPr>
        <w:t>ROI percibido como "futuro" más que "presente".</w:t>
      </w:r>
    </w:p>
    <w:p>
      <w:pPr>
        <w:pStyle w:val="ListBullet"/>
        <w:spacing w:before="0" w:after="40"/>
      </w:pPr>
      <w:r>
        <w:rPr>
          <w:color w:val="1A1A1A"/>
          <w:sz w:val="20"/>
        </w:rPr>
        <w:t>Inestabilidad regulatoria post-2025 que hace que dueños posterguen inversión.</w:t>
      </w:r>
    </w:p>
    <w:p>
      <w:pPr>
        <w:spacing w:before="40" w:after="40"/>
      </w:pPr>
    </w:p>
    <w:p>
      <w:pPr>
        <w:spacing w:before="280" w:after="60"/>
        <w:pBdr>
          <w:bottom w:val="single" w:sz="4" w:space="1" w:color="0EA5E9"/>
        </w:pBdr>
      </w:pPr>
      <w:r>
        <w:rPr>
          <w:b/>
          <w:color w:val="0EA5E9"/>
          <w:sz w:val="28"/>
        </w:rPr>
        <w:t>10. SEÑALES DE OPORTUNIDAD PARA CONSULTORÍA DE IA</w:t>
      </w:r>
    </w:p>
    <w:p>
      <w:pPr>
        <w:spacing w:before="160" w:after="40"/>
      </w:pPr>
      <w:r>
        <w:rPr>
          <w:b/>
          <w:color w:val="6B7280"/>
          <w:sz w:val="22"/>
        </w:rPr>
        <w:t>Procesos repetitivos y costosos típicos del sector</w:t>
      </w:r>
    </w:p>
    <w:p>
      <w:pPr>
        <w:pStyle w:val="ListNumber"/>
        <w:spacing w:before="0" w:after="40"/>
      </w:pPr>
      <w:r>
        <w:rPr>
          <w:b/>
          <w:color w:val="1A1A1A"/>
          <w:sz w:val="20"/>
        </w:rPr>
        <w:t>Clasificación arancelaria de fracciones TIGIE/HS</w:t>
      </w:r>
      <w:r>
        <w:rPr>
          <w:color w:val="1A1A1A"/>
          <w:sz w:val="20"/>
        </w:rPr>
        <w:t xml:space="preserve"> — el cuello de botella histórico. Cada operación consume 15-90 minutos de un clasificador experto. IA lo lleva a 7-13 segundos.</w:t>
      </w:r>
    </w:p>
    <w:p>
      <w:pPr>
        <w:pStyle w:val="ListNumber"/>
        <w:spacing w:before="0" w:after="40"/>
      </w:pPr>
      <w:r>
        <w:rPr>
          <w:b/>
          <w:color w:val="1A1A1A"/>
          <w:sz w:val="20"/>
        </w:rPr>
        <w:t>Captura manual de pedimentos, BOLs, packing lists, cartas porte</w:t>
      </w:r>
      <w:r>
        <w:rPr>
          <w:color w:val="1A1A1A"/>
          <w:sz w:val="20"/>
        </w:rPr>
        <w:t xml:space="preserve"> — OCR + NER reduce 60-80% del tiempo. Beneficio adicional: detección de inconsistencias antes de enviar a aduanas.</w:t>
      </w:r>
    </w:p>
    <w:p>
      <w:pPr>
        <w:pStyle w:val="ListNumber"/>
        <w:spacing w:before="0" w:after="40"/>
      </w:pPr>
      <w:r>
        <w:rPr>
          <w:b/>
          <w:color w:val="1A1A1A"/>
          <w:sz w:val="20"/>
        </w:rPr>
        <w:t>Atención a inquiries de tracking ("¿dónde está mi envío?")</w:t>
      </w:r>
      <w:r>
        <w:rPr>
          <w:color w:val="1A1A1A"/>
          <w:sz w:val="20"/>
        </w:rPr>
        <w:t xml:space="preserve"> — entre 20-40% del tiempo de operaciones. Portales de tracking + alertas push lo reducen a 5-15%.</w:t>
      </w:r>
    </w:p>
    <w:p>
      <w:pPr>
        <w:pStyle w:val="ListNumber"/>
        <w:spacing w:before="0" w:after="40"/>
      </w:pPr>
      <w:r>
        <w:rPr>
          <w:b/>
          <w:color w:val="1A1A1A"/>
          <w:sz w:val="20"/>
        </w:rPr>
        <w:t>Cotización manual de RFQs recurrentes</w:t>
      </w:r>
      <w:r>
        <w:rPr>
          <w:color w:val="1A1A1A"/>
          <w:sz w:val="20"/>
        </w:rPr>
        <w:t xml:space="preserve"> — un operador puede tardar 30 min a 2 horas por cotización. Rate engines + APIs reducen a minutos.</w:t>
      </w:r>
    </w:p>
    <w:p>
      <w:pPr>
        <w:pStyle w:val="ListNumber"/>
        <w:spacing w:before="0" w:after="40"/>
      </w:pPr>
      <w:r>
        <w:rPr>
          <w:b/>
          <w:color w:val="1A1A1A"/>
          <w:sz w:val="20"/>
        </w:rPr>
        <w:t>Onboarding de nuevos clientes y captura de datos</w:t>
      </w:r>
      <w:r>
        <w:rPr>
          <w:color w:val="1A1A1A"/>
          <w:sz w:val="20"/>
        </w:rPr>
        <w:t xml:space="preserve"> — formularios manuales + verificación de RFC + creación en sistema. Automatizable con IA + OCR + validación SAT API.</w:t>
      </w:r>
    </w:p>
    <w:p>
      <w:pPr>
        <w:pStyle w:val="ListNumber"/>
        <w:spacing w:before="0" w:after="40"/>
      </w:pPr>
      <w:r>
        <w:rPr>
          <w:b/>
          <w:color w:val="1A1A1A"/>
          <w:sz w:val="20"/>
        </w:rPr>
        <w:t>Compliance check de Carta Porte / CFDI antes de timbrar</w:t>
      </w:r>
      <w:r>
        <w:rPr>
          <w:color w:val="1A1A1A"/>
          <w:sz w:val="20"/>
        </w:rPr>
        <w:t xml:space="preserve"> — verificación visual de campos críticos. IA puede detectar errores con 99%+ precisión.</w:t>
      </w:r>
    </w:p>
    <w:p>
      <w:pPr>
        <w:spacing w:before="160" w:after="40"/>
      </w:pPr>
      <w:r>
        <w:rPr>
          <w:b/>
          <w:color w:val="6B7280"/>
          <w:sz w:val="22"/>
        </w:rPr>
        <w:t>Quick Wins más replicables (válidos para cualquier prospecto del sector)</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Quick Win</w:t>
            </w:r>
          </w:p>
        </w:tc>
        <w:tc>
          <w:tcPr>
            <w:tcW w:type="dxa" w:w="2266"/>
            <w:shd w:val="clear" w:color="auto" w:fill="0C1A2E"/>
          </w:tcPr>
          <w:p>
            <w:pPr>
              <w:spacing w:before="40" w:after="40"/>
            </w:pPr>
            <w:r>
              <w:rPr>
                <w:b/>
                <w:color w:val="FFFFFF"/>
                <w:sz w:val="18"/>
              </w:rPr>
              <w:t>Proceso que reemplaza</w:t>
            </w:r>
          </w:p>
        </w:tc>
        <w:tc>
          <w:tcPr>
            <w:tcW w:type="dxa" w:w="2266"/>
            <w:shd w:val="clear" w:color="auto" w:fill="0C1A2E"/>
          </w:tcPr>
          <w:p>
            <w:pPr>
              <w:spacing w:before="40" w:after="40"/>
            </w:pPr>
            <w:r>
              <w:rPr>
                <w:b/>
                <w:color w:val="FFFFFF"/>
                <w:sz w:val="18"/>
              </w:rPr>
              <w:t>Herramienta sugerida</w:t>
            </w:r>
          </w:p>
        </w:tc>
        <w:tc>
          <w:tcPr>
            <w:tcW w:type="dxa" w:w="2266"/>
            <w:shd w:val="clear" w:color="auto" w:fill="0C1A2E"/>
          </w:tcPr>
          <w:p>
            <w:pPr>
              <w:spacing w:before="40" w:after="40"/>
            </w:pPr>
            <w:r>
              <w:rPr>
                <w:b/>
                <w:color w:val="FFFFFF"/>
                <w:sz w:val="18"/>
              </w:rPr>
              <w:t>Impacto esperado</w:t>
            </w:r>
          </w:p>
        </w:tc>
      </w:tr>
      <w:tr>
        <w:tc>
          <w:tcPr>
            <w:tcW w:type="dxa" w:w="2266"/>
            <w:shd w:val="clear" w:color="auto" w:fill="FFFFFF"/>
          </w:tcPr>
          <w:p>
            <w:pPr>
              <w:spacing w:before="40" w:after="40"/>
            </w:pPr>
            <w:r>
              <w:rPr>
                <w:color w:val="1A1A1A"/>
                <w:sz w:val="18"/>
              </w:rPr>
              <w:t>QW-Sector 1: Clasificación arancelaria asistida</w:t>
            </w:r>
          </w:p>
        </w:tc>
        <w:tc>
          <w:tcPr>
            <w:tcW w:type="dxa" w:w="2266"/>
            <w:shd w:val="clear" w:color="auto" w:fill="FFFFFF"/>
          </w:tcPr>
          <w:p>
            <w:pPr>
              <w:spacing w:before="40" w:after="40"/>
            </w:pPr>
            <w:r>
              <w:rPr>
                <w:color w:val="1A1A1A"/>
                <w:sz w:val="18"/>
              </w:rPr>
              <w:t>Operador manual clasificando 15-90 min por op</w:t>
            </w:r>
          </w:p>
        </w:tc>
        <w:tc>
          <w:tcPr>
            <w:tcW w:type="dxa" w:w="2266"/>
            <w:shd w:val="clear" w:color="auto" w:fill="FFFFFF"/>
          </w:tcPr>
          <w:p>
            <w:pPr>
              <w:spacing w:before="40" w:after="40"/>
            </w:pPr>
            <w:r>
              <w:rPr>
                <w:color w:val="1A1A1A"/>
                <w:sz w:val="18"/>
              </w:rPr>
              <w:t>AduanApp / Camtom / Moco AI o LLM custom sobre TIGIE</w:t>
            </w:r>
          </w:p>
        </w:tc>
        <w:tc>
          <w:tcPr>
            <w:tcW w:type="dxa" w:w="2266"/>
            <w:shd w:val="clear" w:color="auto" w:fill="FFFFFF"/>
          </w:tcPr>
          <w:p>
            <w:pPr>
              <w:spacing w:before="40" w:after="40"/>
            </w:pPr>
            <w:r>
              <w:rPr>
                <w:color w:val="1A1A1A"/>
                <w:sz w:val="18"/>
              </w:rPr>
              <w:t>80-95% reducción de tiempo; 30-50% reducción de errores</w:t>
            </w:r>
          </w:p>
        </w:tc>
      </w:tr>
      <w:tr>
        <w:tc>
          <w:tcPr>
            <w:tcW w:type="dxa" w:w="2266"/>
            <w:shd w:val="clear" w:color="auto" w:fill="EBF3FA"/>
          </w:tcPr>
          <w:p>
            <w:pPr>
              <w:spacing w:before="40" w:after="40"/>
            </w:pPr>
            <w:r>
              <w:rPr>
                <w:color w:val="1A1A1A"/>
                <w:sz w:val="18"/>
              </w:rPr>
              <w:t>QW-Sector 2: WhatsApp Business + bot inteligente</w:t>
            </w:r>
          </w:p>
        </w:tc>
        <w:tc>
          <w:tcPr>
            <w:tcW w:type="dxa" w:w="2266"/>
            <w:shd w:val="clear" w:color="auto" w:fill="EBF3FA"/>
          </w:tcPr>
          <w:p>
            <w:pPr>
              <w:spacing w:before="40" w:after="40"/>
            </w:pPr>
            <w:r>
              <w:rPr>
                <w:color w:val="1A1A1A"/>
                <w:sz w:val="18"/>
              </w:rPr>
              <w:t>Atención humana 24/7 sin estructura</w:t>
            </w:r>
          </w:p>
        </w:tc>
        <w:tc>
          <w:tcPr>
            <w:tcW w:type="dxa" w:w="2266"/>
            <w:shd w:val="clear" w:color="auto" w:fill="EBF3FA"/>
          </w:tcPr>
          <w:p>
            <w:pPr>
              <w:spacing w:before="40" w:after="40"/>
            </w:pPr>
            <w:r>
              <w:rPr>
                <w:color w:val="1A1A1A"/>
                <w:sz w:val="18"/>
              </w:rPr>
              <w:t>WhatsApp Business API + LLM con RAG sobre FAQ + derivación humana</w:t>
            </w:r>
          </w:p>
        </w:tc>
        <w:tc>
          <w:tcPr>
            <w:tcW w:type="dxa" w:w="2266"/>
            <w:shd w:val="clear" w:color="auto" w:fill="EBF3FA"/>
          </w:tcPr>
          <w:p>
            <w:pPr>
              <w:spacing w:before="40" w:after="40"/>
            </w:pPr>
            <w:r>
              <w:rPr>
                <w:color w:val="1A1A1A"/>
                <w:sz w:val="18"/>
              </w:rPr>
              <w:t>Captura 24/7; 40-60% reducción de carga del equipo</w:t>
            </w:r>
          </w:p>
        </w:tc>
      </w:tr>
      <w:tr>
        <w:tc>
          <w:tcPr>
            <w:tcW w:type="dxa" w:w="2266"/>
            <w:shd w:val="clear" w:color="auto" w:fill="FFFFFF"/>
          </w:tcPr>
          <w:p>
            <w:pPr>
              <w:spacing w:before="40" w:after="40"/>
            </w:pPr>
            <w:r>
              <w:rPr>
                <w:color w:val="1A1A1A"/>
                <w:sz w:val="18"/>
              </w:rPr>
              <w:t>QW-Sector 3: OCR documental aduanal</w:t>
            </w:r>
          </w:p>
        </w:tc>
        <w:tc>
          <w:tcPr>
            <w:tcW w:type="dxa" w:w="2266"/>
            <w:shd w:val="clear" w:color="auto" w:fill="FFFFFF"/>
          </w:tcPr>
          <w:p>
            <w:pPr>
              <w:spacing w:before="40" w:after="40"/>
            </w:pPr>
            <w:r>
              <w:rPr>
                <w:color w:val="1A1A1A"/>
                <w:sz w:val="18"/>
              </w:rPr>
              <w:t>Captura manual de pedimentos/BOLs/cartas porte</w:t>
            </w:r>
          </w:p>
        </w:tc>
        <w:tc>
          <w:tcPr>
            <w:tcW w:type="dxa" w:w="2266"/>
            <w:shd w:val="clear" w:color="auto" w:fill="FFFFFF"/>
          </w:tcPr>
          <w:p>
            <w:pPr>
              <w:spacing w:before="40" w:after="40"/>
            </w:pPr>
            <w:r>
              <w:rPr>
                <w:color w:val="1A1A1A"/>
                <w:sz w:val="18"/>
              </w:rPr>
              <w:t>OCR + NER + reglas SAT (custom o vía proveedor especializado)</w:t>
            </w:r>
          </w:p>
        </w:tc>
        <w:tc>
          <w:tcPr>
            <w:tcW w:type="dxa" w:w="2266"/>
            <w:shd w:val="clear" w:color="auto" w:fill="FFFFFF"/>
          </w:tcPr>
          <w:p>
            <w:pPr>
              <w:spacing w:before="40" w:after="40"/>
            </w:pPr>
            <w:r>
              <w:rPr>
                <w:color w:val="1A1A1A"/>
                <w:sz w:val="18"/>
              </w:rPr>
              <w:t>60-80% reducción de tiempo + prevención de multas</w:t>
            </w:r>
          </w:p>
        </w:tc>
      </w:tr>
      <w:tr>
        <w:tc>
          <w:tcPr>
            <w:tcW w:type="dxa" w:w="2266"/>
            <w:shd w:val="clear" w:color="auto" w:fill="EBF3FA"/>
          </w:tcPr>
          <w:p>
            <w:pPr>
              <w:spacing w:before="40" w:after="40"/>
            </w:pPr>
            <w:r>
              <w:rPr>
                <w:color w:val="1A1A1A"/>
                <w:sz w:val="18"/>
              </w:rPr>
              <w:t>QW-Sector 4: Portal cliente con tracking + ETA</w:t>
            </w:r>
          </w:p>
        </w:tc>
        <w:tc>
          <w:tcPr>
            <w:tcW w:type="dxa" w:w="2266"/>
            <w:shd w:val="clear" w:color="auto" w:fill="EBF3FA"/>
          </w:tcPr>
          <w:p>
            <w:pPr>
              <w:spacing w:before="40" w:after="40"/>
            </w:pPr>
            <w:r>
              <w:rPr>
                <w:color w:val="1A1A1A"/>
                <w:sz w:val="18"/>
              </w:rPr>
              <w:t>Llamadas/WhatsApps "¿dónde está mi envío?"</w:t>
            </w:r>
          </w:p>
        </w:tc>
        <w:tc>
          <w:tcPr>
            <w:tcW w:type="dxa" w:w="2266"/>
            <w:shd w:val="clear" w:color="auto" w:fill="EBF3FA"/>
          </w:tcPr>
          <w:p>
            <w:pPr>
              <w:spacing w:before="40" w:after="40"/>
            </w:pPr>
            <w:r>
              <w:rPr>
                <w:color w:val="1A1A1A"/>
                <w:sz w:val="18"/>
              </w:rPr>
              <w:t>White-label tracking SaaS o custom + integración GPS/APIs navieras</w:t>
            </w:r>
          </w:p>
        </w:tc>
        <w:tc>
          <w:tcPr>
            <w:tcW w:type="dxa" w:w="2266"/>
            <w:shd w:val="clear" w:color="auto" w:fill="EBF3FA"/>
          </w:tcPr>
          <w:p>
            <w:pPr>
              <w:spacing w:before="40" w:after="40"/>
            </w:pPr>
            <w:r>
              <w:rPr>
                <w:color w:val="1A1A1A"/>
                <w:sz w:val="18"/>
              </w:rPr>
              <w:t>30-50% reducción de inquiries; mejora retention</w:t>
            </w:r>
          </w:p>
        </w:tc>
      </w:tr>
      <w:tr>
        <w:tc>
          <w:tcPr>
            <w:tcW w:type="dxa" w:w="2266"/>
            <w:shd w:val="clear" w:color="auto" w:fill="FFFFFF"/>
          </w:tcPr>
          <w:p>
            <w:pPr>
              <w:spacing w:before="40" w:after="40"/>
            </w:pPr>
            <w:r>
              <w:rPr>
                <w:color w:val="1A1A1A"/>
                <w:sz w:val="18"/>
              </w:rPr>
              <w:t>QW-Sector 5: Compliance pre-check Carta Porte</w:t>
            </w:r>
          </w:p>
        </w:tc>
        <w:tc>
          <w:tcPr>
            <w:tcW w:type="dxa" w:w="2266"/>
            <w:shd w:val="clear" w:color="auto" w:fill="FFFFFF"/>
          </w:tcPr>
          <w:p>
            <w:pPr>
              <w:spacing w:before="40" w:after="40"/>
            </w:pPr>
            <w:r>
              <w:rPr>
                <w:color w:val="1A1A1A"/>
                <w:sz w:val="18"/>
              </w:rPr>
              <w:t>Verificación humana antes de timbrar CFDI</w:t>
            </w:r>
          </w:p>
        </w:tc>
        <w:tc>
          <w:tcPr>
            <w:tcW w:type="dxa" w:w="2266"/>
            <w:shd w:val="clear" w:color="auto" w:fill="FFFFFF"/>
          </w:tcPr>
          <w:p>
            <w:pPr>
              <w:spacing w:before="40" w:after="40"/>
            </w:pPr>
            <w:r>
              <w:rPr>
                <w:color w:val="1A1A1A"/>
                <w:sz w:val="18"/>
              </w:rPr>
              <w:t>Reglas de validación + LLM revisor + alertas</w:t>
            </w:r>
          </w:p>
        </w:tc>
        <w:tc>
          <w:tcPr>
            <w:tcW w:type="dxa" w:w="2266"/>
            <w:shd w:val="clear" w:color="auto" w:fill="FFFFFF"/>
          </w:tcPr>
          <w:p>
            <w:pPr>
              <w:spacing w:before="40" w:after="40"/>
            </w:pPr>
            <w:r>
              <w:rPr>
                <w:color w:val="1A1A1A"/>
                <w:sz w:val="18"/>
              </w:rPr>
              <w:t>Prevención de 90%+ de multas por error formal</w:t>
            </w:r>
          </w:p>
        </w:tc>
      </w:tr>
    </w:tbl>
    <w:p/>
    <w:p>
      <w:pPr>
        <w:spacing w:before="160" w:after="40"/>
      </w:pPr>
      <w:r>
        <w:rPr>
          <w:b/>
          <w:color w:val="6B7280"/>
          <w:sz w:val="22"/>
        </w:rPr>
        <w:t>Casos de éxito de IA en el sector referenciables</w:t>
      </w:r>
    </w:p>
    <w:p>
      <w:pPr>
        <w:pStyle w:val="ListBullet"/>
        <w:spacing w:before="0" w:after="40"/>
      </w:pPr>
      <w:r>
        <w:rPr>
          <w:b/>
          <w:color w:val="1A1A1A"/>
          <w:sz w:val="20"/>
        </w:rPr>
        <w:t>AduanApp en clientes anónimos:</w:t>
      </w:r>
      <w:r>
        <w:rPr>
          <w:color w:val="1A1A1A"/>
          <w:sz w:val="20"/>
        </w:rPr>
        <w:t xml:space="preserve"> </w:t>
      </w:r>
      <w:r>
        <w:rPr>
          <w:b/>
          <w:color w:val="1A1A1A"/>
          <w:sz w:val="20"/>
        </w:rPr>
        <w:t>95% precisión en clasificación arancelaria</w:t>
      </w:r>
      <w:r>
        <w:rPr>
          <w:color w:val="1A1A1A"/>
          <w:sz w:val="20"/>
        </w:rPr>
        <w:t xml:space="preserve"> con tiempos de 7-13 segundos por operación (fuente: aduaeasy.com, neuronbusinessmedia.mx).</w:t>
      </w:r>
    </w:p>
    <w:p>
      <w:pPr>
        <w:pStyle w:val="ListBullet"/>
        <w:spacing w:before="0" w:after="40"/>
      </w:pPr>
      <w:r>
        <w:rPr>
          <w:b/>
          <w:color w:val="1A1A1A"/>
          <w:sz w:val="20"/>
        </w:rPr>
        <w:t>Taxer:</w:t>
      </w:r>
      <w:r>
        <w:rPr>
          <w:color w:val="1A1A1A"/>
          <w:sz w:val="20"/>
        </w:rPr>
        <w:t xml:space="preserve"> </w:t>
      </w:r>
      <w:r>
        <w:rPr>
          <w:b/>
          <w:color w:val="1A1A1A"/>
          <w:sz w:val="20"/>
        </w:rPr>
        <w:t>56% reducción en tiempos de flujo</w:t>
      </w:r>
      <w:r>
        <w:rPr>
          <w:color w:val="1A1A1A"/>
          <w:sz w:val="20"/>
        </w:rPr>
        <w:t xml:space="preserve"> (fuente: caso público compartido por la propia plataforma).</w:t>
      </w:r>
    </w:p>
    <w:p>
      <w:pPr>
        <w:pStyle w:val="ListBullet"/>
        <w:spacing w:before="0" w:after="40"/>
      </w:pPr>
      <w:r>
        <w:rPr>
          <w:b/>
          <w:color w:val="1A1A1A"/>
          <w:sz w:val="20"/>
        </w:rPr>
        <w:t>AAADAM (Asociación de Agentes Aduanales de Aduanas Metropolitanas)</w:t>
      </w:r>
      <w:r>
        <w:rPr>
          <w:color w:val="1A1A1A"/>
          <w:sz w:val="20"/>
        </w:rPr>
        <w:t xml:space="preserve"> — primer concurso de proveedores de clasificación arancelaria NO HUMANA, noviembre 2024. Señal de que la industria reconoce el cambio.</w:t>
      </w:r>
    </w:p>
    <w:p>
      <w:pPr>
        <w:pStyle w:val="ListBullet"/>
        <w:spacing w:before="0" w:after="40"/>
      </w:pPr>
      <w:r>
        <w:rPr>
          <w:b/>
          <w:color w:val="1A1A1A"/>
          <w:sz w:val="20"/>
        </w:rPr>
        <w:t>Nuvocargo expansion 2024:</w:t>
      </w:r>
      <w:r>
        <w:rPr>
          <w:color w:val="1A1A1A"/>
          <w:sz w:val="20"/>
        </w:rPr>
        <w:t xml:space="preserve"> después de Series B de USD 36.5M, expandió de 1 cruce principal a TODOS los cruces principales US-MX en menos de un año. Indica que la tracción del modelo tech-enabled en el corredor es real y escalable.</w:t>
      </w:r>
    </w:p>
    <w:p>
      <w:pPr>
        <w:spacing w:before="160" w:after="40"/>
      </w:pPr>
      <w:r>
        <w:rPr>
          <w:b/>
          <w:color w:val="6B7280"/>
          <w:sz w:val="22"/>
        </w:rPr>
        <w:t>Perfil del decisor típico en este sector</w:t>
      </w:r>
    </w:p>
    <w:p>
      <w:pPr>
        <w:spacing w:before="80" w:after="40"/>
      </w:pPr>
      <w:r>
        <w:rPr>
          <w:b/>
          <w:color w:val="0C1A2E"/>
          <w:sz w:val="20"/>
        </w:rPr>
        <w:t>Hay dos arquetipos principales:</w:t>
      </w:r>
    </w:p>
    <w:p>
      <w:pPr>
        <w:spacing w:before="80" w:after="40"/>
      </w:pPr>
      <w:r>
        <w:rPr>
          <w:b/>
          <w:color w:val="0C1A2E"/>
          <w:sz w:val="20"/>
        </w:rPr>
        <w:t>Arquetipo A: Dueño-operador de PyME logística (40-60 años, perfil más común en Tijuana).</w:t>
      </w:r>
    </w:p>
    <w:p>
      <w:pPr>
        <w:pStyle w:val="ListBullet"/>
        <w:spacing w:before="0" w:after="40"/>
      </w:pPr>
      <w:r>
        <w:rPr>
          <w:color w:val="1A1A1A"/>
          <w:sz w:val="20"/>
        </w:rPr>
        <w:t>Cargo: Director General / Owner.</w:t>
      </w:r>
    </w:p>
    <w:p>
      <w:pPr>
        <w:pStyle w:val="ListBullet"/>
        <w:spacing w:before="0" w:after="40"/>
      </w:pPr>
      <w:r>
        <w:rPr>
          <w:color w:val="1A1A1A"/>
          <w:sz w:val="20"/>
        </w:rPr>
        <w:t xml:space="preserve">Conocimiento técnico: </w:t>
      </w:r>
      <w:r>
        <w:rPr>
          <w:b/>
          <w:color w:val="1A1A1A"/>
          <w:sz w:val="20"/>
        </w:rPr>
        <w:t>bajo a medio</w:t>
      </w:r>
      <w:r>
        <w:rPr>
          <w:color w:val="1A1A1A"/>
          <w:sz w:val="20"/>
        </w:rPr>
        <w:t xml:space="preserve"> en IA; alto en aduanal/operativo.</w:t>
      </w:r>
    </w:p>
    <w:p>
      <w:pPr>
        <w:pStyle w:val="ListBullet"/>
        <w:spacing w:before="0" w:after="40"/>
      </w:pPr>
      <w:r>
        <w:rPr>
          <w:color w:val="1A1A1A"/>
          <w:sz w:val="20"/>
        </w:rPr>
        <w:t>Principales preocupaciones: continuidad operativa, cash flow, no perder clientes a competidores.</w:t>
      </w:r>
    </w:p>
    <w:p>
      <w:pPr>
        <w:pStyle w:val="ListBullet"/>
        <w:spacing w:before="0" w:after="40"/>
      </w:pPr>
      <w:r>
        <w:rPr>
          <w:color w:val="1A1A1A"/>
          <w:sz w:val="20"/>
        </w:rPr>
        <w:t xml:space="preserve">Cómo compra consultoría: </w:t>
      </w:r>
      <w:r>
        <w:rPr>
          <w:b/>
          <w:color w:val="1A1A1A"/>
          <w:sz w:val="20"/>
        </w:rPr>
        <w:t>referencia personal &gt; frialdad outbound</w:t>
      </w:r>
      <w:r>
        <w:rPr>
          <w:color w:val="1A1A1A"/>
          <w:sz w:val="20"/>
        </w:rPr>
        <w:t>. Confía en quien le habla en su idioma operativo, no en jerga tech.</w:t>
      </w:r>
    </w:p>
    <w:p>
      <w:pPr>
        <w:pStyle w:val="ListBullet"/>
        <w:spacing w:before="0" w:after="40"/>
      </w:pPr>
      <w:r>
        <w:rPr>
          <w:color w:val="1A1A1A"/>
          <w:sz w:val="20"/>
        </w:rPr>
        <w:t>Tiempo de ciclo de compra: 4-12 semanas.</w:t>
      </w:r>
    </w:p>
    <w:p>
      <w:pPr>
        <w:pStyle w:val="ListBullet"/>
        <w:spacing w:before="0" w:after="40"/>
      </w:pPr>
      <w:r>
        <w:rPr>
          <w:color w:val="1A1A1A"/>
          <w:sz w:val="20"/>
        </w:rPr>
        <w:t>Presupuesto disponible: USD 5K-50K por proyecto inicial; retainer USD 2-8K/mes si demuestra valor.</w:t>
      </w:r>
    </w:p>
    <w:p>
      <w:pPr>
        <w:spacing w:before="80" w:after="40"/>
      </w:pPr>
      <w:r>
        <w:rPr>
          <w:b/>
          <w:color w:val="0C1A2E"/>
          <w:sz w:val="20"/>
        </w:rPr>
        <w:t>Arquetipo B: VP/Director de Operaciones de mid-corporativo (35-50 años).</w:t>
      </w:r>
    </w:p>
    <w:p>
      <w:pPr>
        <w:pStyle w:val="ListBullet"/>
        <w:spacing w:before="0" w:after="40"/>
      </w:pPr>
      <w:r>
        <w:rPr>
          <w:color w:val="1A1A1A"/>
          <w:sz w:val="20"/>
        </w:rPr>
        <w:t>Cargo: VP Operations / Director de Logística / Director de Comercio Exterior.</w:t>
      </w:r>
    </w:p>
    <w:p>
      <w:pPr>
        <w:pStyle w:val="ListBullet"/>
        <w:spacing w:before="0" w:after="40"/>
      </w:pPr>
      <w:r>
        <w:rPr>
          <w:color w:val="1A1A1A"/>
          <w:sz w:val="20"/>
        </w:rPr>
        <w:t xml:space="preserve">Conocimiento técnico: </w:t>
      </w:r>
      <w:r>
        <w:rPr>
          <w:b/>
          <w:color w:val="1A1A1A"/>
          <w:sz w:val="20"/>
        </w:rPr>
        <w:t>medio a alto</w:t>
      </w:r>
      <w:r>
        <w:rPr>
          <w:color w:val="1A1A1A"/>
          <w:sz w:val="20"/>
        </w:rPr>
        <w:t xml:space="preserve"> en IA; alto en logística.</w:t>
      </w:r>
    </w:p>
    <w:p>
      <w:pPr>
        <w:pStyle w:val="ListBullet"/>
        <w:spacing w:before="0" w:after="40"/>
      </w:pPr>
      <w:r>
        <w:rPr>
          <w:color w:val="1A1A1A"/>
          <w:sz w:val="20"/>
        </w:rPr>
        <w:t>Principales preocupaciones: cumplir KPIs operativos, compliance, escalabilidad.</w:t>
      </w:r>
    </w:p>
    <w:p>
      <w:pPr>
        <w:pStyle w:val="ListBullet"/>
        <w:spacing w:before="0" w:after="40"/>
      </w:pPr>
      <w:r>
        <w:rPr>
          <w:color w:val="1A1A1A"/>
          <w:sz w:val="20"/>
        </w:rPr>
        <w:t xml:space="preserve">Cómo compra consultoría: </w:t>
      </w:r>
      <w:r>
        <w:rPr>
          <w:b/>
          <w:color w:val="1A1A1A"/>
          <w:sz w:val="20"/>
        </w:rPr>
        <w:t>RFQ estructurado + referencias + PoC</w:t>
      </w:r>
      <w:r>
        <w:rPr>
          <w:color w:val="1A1A1A"/>
          <w:sz w:val="20"/>
        </w:rPr>
        <w:t>.</w:t>
      </w:r>
    </w:p>
    <w:p>
      <w:pPr>
        <w:pStyle w:val="ListBullet"/>
        <w:spacing w:before="0" w:after="40"/>
      </w:pPr>
      <w:r>
        <w:rPr>
          <w:color w:val="1A1A1A"/>
          <w:sz w:val="20"/>
        </w:rPr>
        <w:t>Tiempo de ciclo de compra: 3-9 meses.</w:t>
      </w:r>
    </w:p>
    <w:p>
      <w:pPr>
        <w:pStyle w:val="ListBullet"/>
        <w:spacing w:before="0" w:after="40"/>
      </w:pPr>
      <w:r>
        <w:rPr>
          <w:color w:val="1A1A1A"/>
          <w:sz w:val="20"/>
        </w:rPr>
        <w:t>Presupuesto disponible: USD 50K-300K por proyecto; retainer USD 10-30K/mes.</w:t>
      </w:r>
    </w:p>
    <w:p>
      <w:pPr>
        <w:spacing w:before="20" w:after="60"/>
      </w:pPr>
      <w:r>
        <w:rPr>
          <w:color w:val="1A1A1A"/>
          <w:sz w:val="20"/>
        </w:rPr>
        <w:t xml:space="preserve">&gt; 🔍 </w:t>
      </w:r>
      <w:r>
        <w:rPr>
          <w:b/>
          <w:color w:val="1A1A1A"/>
          <w:sz w:val="20"/>
        </w:rPr>
        <w:t>Análisis:</w:t>
      </w:r>
      <w:r>
        <w:rPr>
          <w:color w:val="1A1A1A"/>
          <w:sz w:val="20"/>
        </w:rPr>
        <w:t xml:space="preserve"> El cliente Trixx es claramente Arquetipo A (dueño-operador en Tijuana). Nexostrat debe presentarse en el lenguaje operativo del dueño, no en jerga tech corporate.</w:t>
      </w:r>
    </w:p>
    <w:p>
      <w:pPr>
        <w:spacing w:before="160" w:after="40"/>
      </w:pPr>
      <w:r>
        <w:rPr>
          <w:b/>
          <w:color w:val="6B7280"/>
          <w:sz w:val="22"/>
        </w:rPr>
        <w:t>Señales de alerta (empresas del sector donde la venta será difícil)</w:t>
      </w:r>
    </w:p>
    <w:p>
      <w:pPr>
        <w:pStyle w:val="ListBullet"/>
        <w:spacing w:before="0" w:after="40"/>
      </w:pPr>
      <w:r>
        <w:rPr>
          <w:color w:val="1A1A1A"/>
          <w:sz w:val="20"/>
        </w:rPr>
        <w:t xml:space="preserve">⚠️ </w:t>
      </w:r>
      <w:r>
        <w:rPr>
          <w:b/>
          <w:color w:val="1A1A1A"/>
          <w:sz w:val="20"/>
        </w:rPr>
        <w:t>Empresa con menos de 5 años de operación:</w:t>
      </w:r>
      <w:r>
        <w:rPr>
          <w:color w:val="1A1A1A"/>
          <w:sz w:val="20"/>
        </w:rPr>
        <w:t xml:space="preserve"> probablemente no tiene volumen para justificar inversión en IA + cultura no consolidada para adoptar.</w:t>
      </w:r>
    </w:p>
    <w:p>
      <w:pPr>
        <w:pStyle w:val="ListBullet"/>
        <w:spacing w:before="0" w:after="40"/>
      </w:pPr>
      <w:r>
        <w:rPr>
          <w:color w:val="1A1A1A"/>
          <w:sz w:val="20"/>
        </w:rPr>
        <w:t xml:space="preserve">⚠️ </w:t>
      </w:r>
      <w:r>
        <w:rPr>
          <w:b/>
          <w:color w:val="1A1A1A"/>
          <w:sz w:val="20"/>
        </w:rPr>
        <w:t>Patente aduanal en proceso de cancelación o sin renovar:</w:t>
      </w:r>
      <w:r>
        <w:rPr>
          <w:color w:val="1A1A1A"/>
          <w:sz w:val="20"/>
        </w:rPr>
        <w:t xml:space="preserve"> litigio o sanción regulatoria → no compran proyectos nuevos.</w:t>
      </w:r>
    </w:p>
    <w:p>
      <w:pPr>
        <w:pStyle w:val="ListBullet"/>
        <w:spacing w:before="0" w:after="40"/>
      </w:pPr>
      <w:r>
        <w:rPr>
          <w:color w:val="1A1A1A"/>
          <w:sz w:val="20"/>
        </w:rPr>
        <w:t xml:space="preserve">⚠️ </w:t>
      </w:r>
      <w:r>
        <w:rPr>
          <w:b/>
          <w:color w:val="1A1A1A"/>
          <w:sz w:val="20"/>
        </w:rPr>
        <w:t>Dueño con perfil 100% comercial sin involvement operativo:</w:t>
      </w:r>
      <w:r>
        <w:rPr>
          <w:color w:val="1A1A1A"/>
          <w:sz w:val="20"/>
        </w:rPr>
        <w:t xml:space="preserve"> decisiones de tech requieren involvement del operativo; el dueño puramente comercial pospone.</w:t>
      </w:r>
    </w:p>
    <w:p>
      <w:pPr>
        <w:pStyle w:val="ListBullet"/>
        <w:spacing w:before="0" w:after="40"/>
      </w:pPr>
      <w:r>
        <w:rPr>
          <w:color w:val="1A1A1A"/>
          <w:sz w:val="20"/>
        </w:rPr>
        <w:t xml:space="preserve">⚠️ </w:t>
      </w:r>
      <w:r>
        <w:rPr>
          <w:b/>
          <w:color w:val="1A1A1A"/>
          <w:sz w:val="20"/>
        </w:rPr>
        <w:t>Empresa con TI in-house grande y soberbio:</w:t>
      </w:r>
      <w:r>
        <w:rPr>
          <w:color w:val="1A1A1A"/>
          <w:sz w:val="20"/>
        </w:rPr>
        <w:t xml:space="preserve"> "ya tenemos eso adentro" — resistencia política a consultoría externa.</w:t>
      </w:r>
    </w:p>
    <w:p>
      <w:pPr>
        <w:pStyle w:val="ListBullet"/>
        <w:spacing w:before="0" w:after="40"/>
      </w:pPr>
      <w:r>
        <w:rPr>
          <w:color w:val="1A1A1A"/>
          <w:sz w:val="20"/>
        </w:rPr>
        <w:t xml:space="preserve">⚠️ </w:t>
      </w:r>
      <w:r>
        <w:rPr>
          <w:b/>
          <w:color w:val="1A1A1A"/>
          <w:sz w:val="20"/>
        </w:rPr>
        <w:t>PyME con flujo de caja apretado en 6 meses:</w:t>
      </w:r>
      <w:r>
        <w:rPr>
          <w:color w:val="1A1A1A"/>
          <w:sz w:val="20"/>
        </w:rPr>
        <w:t xml:space="preserve"> la decisión se posterga indefinidamente.</w:t>
      </w:r>
    </w:p>
    <w:p>
      <w:pPr>
        <w:spacing w:before="40" w:after="40"/>
      </w:pPr>
    </w:p>
    <w:p>
      <w:pPr>
        <w:spacing w:before="280" w:after="60"/>
        <w:pBdr>
          <w:bottom w:val="single" w:sz="4" w:space="1" w:color="0EA5E9"/>
        </w:pBdr>
      </w:pPr>
      <w:r>
        <w:rPr>
          <w:b/>
          <w:color w:val="0EA5E9"/>
          <w:sz w:val="28"/>
        </w:rPr>
        <w:t>FUENTES CONSULTADAS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Fuente</w:t>
            </w:r>
          </w:p>
        </w:tc>
        <w:tc>
          <w:tcPr>
            <w:tcW w:type="dxa" w:w="2266"/>
            <w:shd w:val="clear" w:color="auto" w:fill="0C1A2E"/>
          </w:tcPr>
          <w:p>
            <w:pPr>
              <w:spacing w:before="40" w:after="40"/>
            </w:pPr>
            <w:r>
              <w:rPr>
                <w:b/>
                <w:color w:val="FFFFFF"/>
                <w:sz w:val="18"/>
              </w:rPr>
              <w:t>URL</w:t>
            </w:r>
          </w:p>
        </w:tc>
        <w:tc>
          <w:tcPr>
            <w:tcW w:type="dxa" w:w="2266"/>
            <w:shd w:val="clear" w:color="auto" w:fill="0C1A2E"/>
          </w:tcPr>
          <w:p>
            <w:pPr>
              <w:spacing w:before="40" w:after="40"/>
            </w:pPr>
            <w:r>
              <w:rPr>
                <w:b/>
                <w:color w:val="FFFFFF"/>
                <w:sz w:val="18"/>
              </w:rPr>
              <w:t>Fecha consulta</w:t>
            </w:r>
          </w:p>
        </w:tc>
        <w:tc>
          <w:tcPr>
            <w:tcW w:type="dxa" w:w="2266"/>
            <w:shd w:val="clear" w:color="auto" w:fill="0C1A2E"/>
          </w:tcPr>
          <w:p>
            <w:pPr>
              <w:spacing w:before="40" w:after="40"/>
            </w:pPr>
            <w:r>
              <w:rPr>
                <w:b/>
                <w:color w:val="FFFFFF"/>
                <w:sz w:val="18"/>
              </w:rPr>
              <w:t>Información obtenida</w:t>
            </w:r>
          </w:p>
        </w:tc>
      </w:tr>
      <w:tr>
        <w:tc>
          <w:tcPr>
            <w:tcW w:type="dxa" w:w="2266"/>
            <w:shd w:val="clear" w:color="auto" w:fill="FFFFFF"/>
          </w:tcPr>
          <w:p>
            <w:pPr>
              <w:spacing w:before="40" w:after="40"/>
            </w:pPr>
            <w:r>
              <w:rPr>
                <w:color w:val="1A1A1A"/>
                <w:sz w:val="18"/>
              </w:rPr>
              <w:t>INEGI EAT 2024</w:t>
            </w:r>
          </w:p>
        </w:tc>
        <w:tc>
          <w:tcPr>
            <w:tcW w:type="dxa" w:w="2266"/>
            <w:shd w:val="clear" w:color="auto" w:fill="FFFFFF"/>
          </w:tcPr>
          <w:p>
            <w:pPr>
              <w:spacing w:before="40" w:after="40"/>
            </w:pPr>
            <w:r>
              <w:rPr>
                <w:color w:val="1A1A1A"/>
                <w:sz w:val="18"/>
              </w:rPr>
              <w:t>inegi.org.mx/contenidos/saladeprensa/boletines/2025/eat/EAT2024_CP.pdf</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PIB sectorial, volumen tonelaje</w:t>
            </w:r>
          </w:p>
        </w:tc>
      </w:tr>
      <w:tr>
        <w:tc>
          <w:tcPr>
            <w:tcW w:type="dxa" w:w="2266"/>
            <w:shd w:val="clear" w:color="auto" w:fill="EBF3FA"/>
          </w:tcPr>
          <w:p>
            <w:pPr>
              <w:spacing w:before="40" w:after="40"/>
            </w:pPr>
            <w:r>
              <w:rPr>
                <w:color w:val="1A1A1A"/>
                <w:sz w:val="18"/>
              </w:rPr>
              <w:t>Revista TyT (Transporte y Turismo)</w:t>
            </w:r>
          </w:p>
        </w:tc>
        <w:tc>
          <w:tcPr>
            <w:tcW w:type="dxa" w:w="2266"/>
            <w:shd w:val="clear" w:color="auto" w:fill="EBF3FA"/>
          </w:tcPr>
          <w:p>
            <w:pPr>
              <w:spacing w:before="40" w:after="40"/>
            </w:pPr>
            <w:r>
              <w:rPr>
                <w:color w:val="1A1A1A"/>
                <w:sz w:val="18"/>
              </w:rPr>
              <w:t>tyt.com.mx</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Cifras PIB 2024-2025, panorama crecimiento</w:t>
            </w:r>
          </w:p>
        </w:tc>
      </w:tr>
      <w:tr>
        <w:tc>
          <w:tcPr>
            <w:tcW w:type="dxa" w:w="2266"/>
            <w:shd w:val="clear" w:color="auto" w:fill="FFFFFF"/>
          </w:tcPr>
          <w:p>
            <w:pPr>
              <w:spacing w:before="40" w:after="40"/>
            </w:pPr>
            <w:r>
              <w:rPr>
                <w:color w:val="1A1A1A"/>
                <w:sz w:val="18"/>
              </w:rPr>
              <w:t>Nación Transporte</w:t>
            </w:r>
          </w:p>
        </w:tc>
        <w:tc>
          <w:tcPr>
            <w:tcW w:type="dxa" w:w="2266"/>
            <w:shd w:val="clear" w:color="auto" w:fill="FFFFFF"/>
          </w:tcPr>
          <w:p>
            <w:pPr>
              <w:spacing w:before="40" w:after="40"/>
            </w:pPr>
            <w:r>
              <w:rPr>
                <w:color w:val="1A1A1A"/>
                <w:sz w:val="18"/>
              </w:rPr>
              <w:t>naciontransporte.com</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4% PIB nacional autotransporte</w:t>
            </w:r>
          </w:p>
        </w:tc>
      </w:tr>
      <w:tr>
        <w:tc>
          <w:tcPr>
            <w:tcW w:type="dxa" w:w="2266"/>
            <w:shd w:val="clear" w:color="auto" w:fill="EBF3FA"/>
          </w:tcPr>
          <w:p>
            <w:pPr>
              <w:spacing w:before="40" w:after="40"/>
            </w:pPr>
            <w:r>
              <w:rPr>
                <w:color w:val="1A1A1A"/>
                <w:sz w:val="18"/>
              </w:rPr>
              <w:t>Autocosmos México</w:t>
            </w:r>
          </w:p>
        </w:tc>
        <w:tc>
          <w:tcPr>
            <w:tcW w:type="dxa" w:w="2266"/>
            <w:shd w:val="clear" w:color="auto" w:fill="EBF3FA"/>
          </w:tcPr>
          <w:p>
            <w:pPr>
              <w:spacing w:before="40" w:after="40"/>
            </w:pPr>
            <w:r>
              <w:rPr>
                <w:color w:val="1A1A1A"/>
                <w:sz w:val="18"/>
              </w:rPr>
              <w:t>noticias.autocosmos.com.mx</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430M toneladas, 4% PIB nacional</w:t>
            </w:r>
          </w:p>
        </w:tc>
      </w:tr>
      <w:tr>
        <w:tc>
          <w:tcPr>
            <w:tcW w:type="dxa" w:w="2266"/>
            <w:shd w:val="clear" w:color="auto" w:fill="FFFFFF"/>
          </w:tcPr>
          <w:p>
            <w:pPr>
              <w:spacing w:before="40" w:after="40"/>
            </w:pPr>
            <w:r>
              <w:rPr>
                <w:color w:val="1A1A1A"/>
                <w:sz w:val="18"/>
              </w:rPr>
              <w:t>ANTP (Asociación Nacional Transporte Privado)</w:t>
            </w:r>
          </w:p>
        </w:tc>
        <w:tc>
          <w:tcPr>
            <w:tcW w:type="dxa" w:w="2266"/>
            <w:shd w:val="clear" w:color="auto" w:fill="FFFFFF"/>
          </w:tcPr>
          <w:p>
            <w:pPr>
              <w:spacing w:before="40" w:after="40"/>
            </w:pPr>
            <w:r>
              <w:rPr>
                <w:color w:val="1A1A1A"/>
                <w:sz w:val="18"/>
              </w:rPr>
              <w:t>antp.org.mx/archivos/indicadores/abril2024/</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Indicadores ANTP abril 2024</w:t>
            </w:r>
          </w:p>
        </w:tc>
      </w:tr>
      <w:tr>
        <w:tc>
          <w:tcPr>
            <w:tcW w:type="dxa" w:w="2266"/>
            <w:shd w:val="clear" w:color="auto" w:fill="EBF3FA"/>
          </w:tcPr>
          <w:p>
            <w:pPr>
              <w:spacing w:before="40" w:after="40"/>
            </w:pPr>
            <w:r>
              <w:rPr>
                <w:color w:val="1A1A1A"/>
                <w:sz w:val="18"/>
              </w:rPr>
              <w:t>T21</w:t>
            </w:r>
          </w:p>
        </w:tc>
        <w:tc>
          <w:tcPr>
            <w:tcW w:type="dxa" w:w="2266"/>
            <w:shd w:val="clear" w:color="auto" w:fill="EBF3FA"/>
          </w:tcPr>
          <w:p>
            <w:pPr>
              <w:spacing w:before="40" w:after="40"/>
            </w:pPr>
            <w:r>
              <w:rPr>
                <w:color w:val="1A1A1A"/>
                <w:sz w:val="18"/>
              </w:rPr>
              <w:t>t21.com.mx</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Distintivo CANACAR, autotransporte especializado</w:t>
            </w:r>
          </w:p>
        </w:tc>
      </w:tr>
      <w:tr>
        <w:tc>
          <w:tcPr>
            <w:tcW w:type="dxa" w:w="2266"/>
            <w:shd w:val="clear" w:color="auto" w:fill="FFFFFF"/>
          </w:tcPr>
          <w:p>
            <w:pPr>
              <w:spacing w:before="40" w:after="40"/>
            </w:pPr>
            <w:r>
              <w:rPr>
                <w:color w:val="1A1A1A"/>
                <w:sz w:val="18"/>
              </w:rPr>
              <w:t>The Logistics World</w:t>
            </w:r>
          </w:p>
        </w:tc>
        <w:tc>
          <w:tcPr>
            <w:tcW w:type="dxa" w:w="2266"/>
            <w:shd w:val="clear" w:color="auto" w:fill="FFFFFF"/>
          </w:tcPr>
          <w:p>
            <w:pPr>
              <w:spacing w:before="40" w:after="40"/>
            </w:pPr>
            <w:r>
              <w:rPr>
                <w:color w:val="1A1A1A"/>
                <w:sz w:val="18"/>
              </w:rPr>
              <w:t>thelogisticsworld.com</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Tijuana, nearshoring, Contecon Manzanillo, retos PyME</w:t>
            </w:r>
          </w:p>
        </w:tc>
      </w:tr>
      <w:tr>
        <w:tc>
          <w:tcPr>
            <w:tcW w:type="dxa" w:w="2266"/>
            <w:shd w:val="clear" w:color="auto" w:fill="EBF3FA"/>
          </w:tcPr>
          <w:p>
            <w:pPr>
              <w:spacing w:before="40" w:after="40"/>
            </w:pPr>
            <w:r>
              <w:rPr>
                <w:color w:val="1A1A1A"/>
                <w:sz w:val="18"/>
              </w:rPr>
              <w:t>Mexico Business News</w:t>
            </w:r>
          </w:p>
        </w:tc>
        <w:tc>
          <w:tcPr>
            <w:tcW w:type="dxa" w:w="2266"/>
            <w:shd w:val="clear" w:color="auto" w:fill="EBF3FA"/>
          </w:tcPr>
          <w:p>
            <w:pPr>
              <w:spacing w:before="40" w:after="40"/>
            </w:pPr>
            <w:r>
              <w:rPr>
                <w:color w:val="1A1A1A"/>
                <w:sz w:val="18"/>
              </w:rPr>
              <w:t>mexicobusiness.news</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Supply chains, USMCA tariffs, nearshoring</w:t>
            </w:r>
          </w:p>
        </w:tc>
      </w:tr>
      <w:tr>
        <w:tc>
          <w:tcPr>
            <w:tcW w:type="dxa" w:w="2266"/>
            <w:shd w:val="clear" w:color="auto" w:fill="FFFFFF"/>
          </w:tcPr>
          <w:p>
            <w:pPr>
              <w:spacing w:before="40" w:after="40"/>
            </w:pPr>
            <w:r>
              <w:rPr>
                <w:color w:val="1A1A1A"/>
                <w:sz w:val="18"/>
              </w:rPr>
              <w:t>Cello Square</w:t>
            </w:r>
          </w:p>
        </w:tc>
        <w:tc>
          <w:tcPr>
            <w:tcW w:type="dxa" w:w="2266"/>
            <w:shd w:val="clear" w:color="auto" w:fill="FFFFFF"/>
          </w:tcPr>
          <w:p>
            <w:pPr>
              <w:spacing w:before="40" w:after="40"/>
            </w:pPr>
            <w:r>
              <w:rPr>
                <w:color w:val="1A1A1A"/>
                <w:sz w:val="18"/>
              </w:rPr>
              <w:t>cello-square.com/en/marketupdates/view-2213.do</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USMCA 2026 timing + aranceles</w:t>
            </w:r>
          </w:p>
        </w:tc>
      </w:tr>
      <w:tr>
        <w:tc>
          <w:tcPr>
            <w:tcW w:type="dxa" w:w="2266"/>
            <w:shd w:val="clear" w:color="auto" w:fill="EBF3FA"/>
          </w:tcPr>
          <w:p>
            <w:pPr>
              <w:spacing w:before="40" w:after="40"/>
            </w:pPr>
            <w:r>
              <w:rPr>
                <w:color w:val="1A1A1A"/>
                <w:sz w:val="18"/>
              </w:rPr>
              <w:t>Trade.gov</w:t>
            </w:r>
          </w:p>
        </w:tc>
        <w:tc>
          <w:tcPr>
            <w:tcW w:type="dxa" w:w="2266"/>
            <w:shd w:val="clear" w:color="auto" w:fill="EBF3FA"/>
          </w:tcPr>
          <w:p>
            <w:pPr>
              <w:spacing w:before="40" w:after="40"/>
            </w:pPr>
            <w:r>
              <w:rPr>
                <w:color w:val="1A1A1A"/>
                <w:sz w:val="18"/>
              </w:rPr>
              <w:t>trade.gov/market-intelligence/mexico-customs-law-reform</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Reforma Ley Aduanera</w:t>
            </w:r>
          </w:p>
        </w:tc>
      </w:tr>
      <w:tr>
        <w:tc>
          <w:tcPr>
            <w:tcW w:type="dxa" w:w="2266"/>
            <w:shd w:val="clear" w:color="auto" w:fill="FFFFFF"/>
          </w:tcPr>
          <w:p>
            <w:pPr>
              <w:spacing w:before="40" w:after="40"/>
            </w:pPr>
            <w:r>
              <w:rPr>
                <w:color w:val="1A1A1A"/>
                <w:sz w:val="18"/>
              </w:rPr>
              <w:t>RethinkTrade USMCA 2026</w:t>
            </w:r>
          </w:p>
        </w:tc>
        <w:tc>
          <w:tcPr>
            <w:tcW w:type="dxa" w:w="2266"/>
            <w:shd w:val="clear" w:color="auto" w:fill="FFFFFF"/>
          </w:tcPr>
          <w:p>
            <w:pPr>
              <w:spacing w:before="40" w:after="40"/>
            </w:pPr>
            <w:r>
              <w:rPr>
                <w:color w:val="1A1A1A"/>
                <w:sz w:val="18"/>
              </w:rPr>
              <w:t>rethinktrade.org/trackingusmca2026/</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Cronograma review</w:t>
            </w:r>
          </w:p>
        </w:tc>
      </w:tr>
      <w:tr>
        <w:tc>
          <w:tcPr>
            <w:tcW w:type="dxa" w:w="2266"/>
            <w:shd w:val="clear" w:color="auto" w:fill="EBF3FA"/>
          </w:tcPr>
          <w:p>
            <w:pPr>
              <w:spacing w:before="40" w:after="40"/>
            </w:pPr>
            <w:r>
              <w:rPr>
                <w:color w:val="1A1A1A"/>
                <w:sz w:val="18"/>
              </w:rPr>
              <w:t>White &amp; Case LLP</w:t>
            </w:r>
          </w:p>
        </w:tc>
        <w:tc>
          <w:tcPr>
            <w:tcW w:type="dxa" w:w="2266"/>
            <w:shd w:val="clear" w:color="auto" w:fill="EBF3FA"/>
          </w:tcPr>
          <w:p>
            <w:pPr>
              <w:spacing w:before="40" w:after="40"/>
            </w:pPr>
            <w:r>
              <w:rPr>
                <w:color w:val="1A1A1A"/>
                <w:sz w:val="18"/>
              </w:rPr>
              <w:t>whitecase.com/insight-our-thinking/latin-america-focus-2025/usmca-review-mexican-industry</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Impacto industria mexicana</w:t>
            </w:r>
          </w:p>
        </w:tc>
      </w:tr>
      <w:tr>
        <w:tc>
          <w:tcPr>
            <w:tcW w:type="dxa" w:w="2266"/>
            <w:shd w:val="clear" w:color="auto" w:fill="FFFFFF"/>
          </w:tcPr>
          <w:p>
            <w:pPr>
              <w:spacing w:before="40" w:after="40"/>
            </w:pPr>
            <w:r>
              <w:rPr>
                <w:color w:val="1A1A1A"/>
                <w:sz w:val="18"/>
              </w:rPr>
              <w:t>Atlantic Council</w:t>
            </w:r>
          </w:p>
        </w:tc>
        <w:tc>
          <w:tcPr>
            <w:tcW w:type="dxa" w:w="2266"/>
            <w:shd w:val="clear" w:color="auto" w:fill="FFFFFF"/>
          </w:tcPr>
          <w:p>
            <w:pPr>
              <w:spacing w:before="40" w:after="40"/>
            </w:pPr>
            <w:r>
              <w:rPr>
                <w:color w:val="1A1A1A"/>
                <w:sz w:val="18"/>
              </w:rPr>
              <w:t>atlanticcouncil.org/in-depth-research-reports/issue-brief/using-the-usmca-review-to-strengthen-regional-integration/</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Integración regional</w:t>
            </w:r>
          </w:p>
        </w:tc>
      </w:tr>
      <w:tr>
        <w:tc>
          <w:tcPr>
            <w:tcW w:type="dxa" w:w="2266"/>
            <w:shd w:val="clear" w:color="auto" w:fill="EBF3FA"/>
          </w:tcPr>
          <w:p>
            <w:pPr>
              <w:spacing w:before="40" w:after="40"/>
            </w:pPr>
            <w:r>
              <w:rPr>
                <w:color w:val="1A1A1A"/>
                <w:sz w:val="18"/>
              </w:rPr>
              <w:t>CSIS USMCA</w:t>
            </w:r>
          </w:p>
        </w:tc>
        <w:tc>
          <w:tcPr>
            <w:tcW w:type="dxa" w:w="2266"/>
            <w:shd w:val="clear" w:color="auto" w:fill="EBF3FA"/>
          </w:tcPr>
          <w:p>
            <w:pPr>
              <w:spacing w:before="40" w:after="40"/>
            </w:pPr>
            <w:r>
              <w:rPr>
                <w:color w:val="1A1A1A"/>
                <w:sz w:val="18"/>
              </w:rPr>
              <w:t>csis.org/analysis/usmca-review-2026</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Análisis estratégico</w:t>
            </w:r>
          </w:p>
        </w:tc>
      </w:tr>
      <w:tr>
        <w:tc>
          <w:tcPr>
            <w:tcW w:type="dxa" w:w="2266"/>
            <w:shd w:val="clear" w:color="auto" w:fill="FFFFFF"/>
          </w:tcPr>
          <w:p>
            <w:pPr>
              <w:spacing w:before="40" w:after="40"/>
            </w:pPr>
            <w:r>
              <w:rPr>
                <w:color w:val="1A1A1A"/>
                <w:sz w:val="18"/>
              </w:rPr>
              <w:t>BBVA Educación Financiera</w:t>
            </w:r>
          </w:p>
        </w:tc>
        <w:tc>
          <w:tcPr>
            <w:tcW w:type="dxa" w:w="2266"/>
            <w:shd w:val="clear" w:color="auto" w:fill="FFFFFF"/>
          </w:tcPr>
          <w:p>
            <w:pPr>
              <w:spacing w:before="40" w:after="40"/>
            </w:pPr>
            <w:r>
              <w:rPr>
                <w:color w:val="1A1A1A"/>
                <w:sz w:val="18"/>
              </w:rPr>
              <w:t>bbva.mx/educacion-financiera/empresa/oportunidades-de-nearshoring-y-smartshoring.html</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Nearshoring + smartshoring</w:t>
            </w:r>
          </w:p>
        </w:tc>
      </w:tr>
      <w:tr>
        <w:tc>
          <w:tcPr>
            <w:tcW w:type="dxa" w:w="2266"/>
            <w:shd w:val="clear" w:color="auto" w:fill="EBF3FA"/>
          </w:tcPr>
          <w:p>
            <w:pPr>
              <w:spacing w:before="40" w:after="40"/>
            </w:pPr>
            <w:r>
              <w:rPr>
                <w:color w:val="1A1A1A"/>
                <w:sz w:val="18"/>
              </w:rPr>
              <w:t>Proyectos México</w:t>
            </w:r>
          </w:p>
        </w:tc>
        <w:tc>
          <w:tcPr>
            <w:tcW w:type="dxa" w:w="2266"/>
            <w:shd w:val="clear" w:color="auto" w:fill="EBF3FA"/>
          </w:tcPr>
          <w:p>
            <w:pPr>
              <w:spacing w:before="40" w:after="40"/>
            </w:pPr>
            <w:r>
              <w:rPr>
                <w:color w:val="1A1A1A"/>
                <w:sz w:val="18"/>
              </w:rPr>
              <w:t>proyectosmexico.gob.mx/en/library/nearshoring-in-mexico/</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Nearshoring gobierno MX</w:t>
            </w:r>
          </w:p>
        </w:tc>
      </w:tr>
      <w:tr>
        <w:tc>
          <w:tcPr>
            <w:tcW w:type="dxa" w:w="2266"/>
            <w:shd w:val="clear" w:color="auto" w:fill="FFFFFF"/>
          </w:tcPr>
          <w:p>
            <w:pPr>
              <w:spacing w:before="40" w:after="40"/>
            </w:pPr>
            <w:r>
              <w:rPr>
                <w:color w:val="1A1A1A"/>
                <w:sz w:val="18"/>
              </w:rPr>
              <w:t>El Financiero</w:t>
            </w:r>
          </w:p>
        </w:tc>
        <w:tc>
          <w:tcPr>
            <w:tcW w:type="dxa" w:w="2266"/>
            <w:shd w:val="clear" w:color="auto" w:fill="FFFFFF"/>
          </w:tcPr>
          <w:p>
            <w:pPr>
              <w:spacing w:before="40" w:after="40"/>
            </w:pPr>
            <w:r>
              <w:rPr>
                <w:color w:val="1A1A1A"/>
                <w:sz w:val="18"/>
              </w:rPr>
              <w:t>elfinanciero.com.mx/economia/2024/03/15/mexico-la-ruta-que-china-usa-para-llegar-al-mercado-de-eu/</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China-MX-USA ruta</w:t>
            </w:r>
          </w:p>
        </w:tc>
      </w:tr>
      <w:tr>
        <w:tc>
          <w:tcPr>
            <w:tcW w:type="dxa" w:w="2266"/>
            <w:shd w:val="clear" w:color="auto" w:fill="EBF3FA"/>
          </w:tcPr>
          <w:p>
            <w:pPr>
              <w:spacing w:before="40" w:after="40"/>
            </w:pPr>
            <w:r>
              <w:rPr>
                <w:color w:val="1A1A1A"/>
                <w:sz w:val="18"/>
              </w:rPr>
              <w:t>La Jornada</w:t>
            </w:r>
          </w:p>
        </w:tc>
        <w:tc>
          <w:tcPr>
            <w:tcW w:type="dxa" w:w="2266"/>
            <w:shd w:val="clear" w:color="auto" w:fill="EBF3FA"/>
          </w:tcPr>
          <w:p>
            <w:pPr>
              <w:spacing w:before="40" w:after="40"/>
            </w:pPr>
            <w:r>
              <w:rPr>
                <w:color w:val="1A1A1A"/>
                <w:sz w:val="18"/>
              </w:rPr>
              <w:t>jornada.com.mx</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Importaciones chinas en México</w:t>
            </w:r>
          </w:p>
        </w:tc>
      </w:tr>
      <w:tr>
        <w:tc>
          <w:tcPr>
            <w:tcW w:type="dxa" w:w="2266"/>
            <w:shd w:val="clear" w:color="auto" w:fill="FFFFFF"/>
          </w:tcPr>
          <w:p>
            <w:pPr>
              <w:spacing w:before="40" w:after="40"/>
            </w:pPr>
            <w:r>
              <w:rPr>
                <w:color w:val="1A1A1A"/>
                <w:sz w:val="18"/>
              </w:rPr>
              <w:t>El Imparcial</w:t>
            </w:r>
          </w:p>
        </w:tc>
        <w:tc>
          <w:tcPr>
            <w:tcW w:type="dxa" w:w="2266"/>
            <w:shd w:val="clear" w:color="auto" w:fill="FFFFFF"/>
          </w:tcPr>
          <w:p>
            <w:pPr>
              <w:spacing w:before="40" w:after="40"/>
            </w:pPr>
            <w:r>
              <w:rPr>
                <w:color w:val="1A1A1A"/>
                <w:sz w:val="18"/>
              </w:rPr>
              <w:t>elimparcial.com/dinero/2026/05/18/las-importaciones-desde-taiwan/</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Taiwán +400%</w:t>
            </w:r>
          </w:p>
        </w:tc>
      </w:tr>
      <w:tr>
        <w:tc>
          <w:tcPr>
            <w:tcW w:type="dxa" w:w="2266"/>
            <w:shd w:val="clear" w:color="auto" w:fill="EBF3FA"/>
          </w:tcPr>
          <w:p>
            <w:pPr>
              <w:spacing w:before="40" w:after="40"/>
            </w:pPr>
            <w:r>
              <w:rPr>
                <w:color w:val="1A1A1A"/>
                <w:sz w:val="18"/>
              </w:rPr>
              <w:t>Data México (Secretaría de Economía)</w:t>
            </w:r>
          </w:p>
        </w:tc>
        <w:tc>
          <w:tcPr>
            <w:tcW w:type="dxa" w:w="2266"/>
            <w:shd w:val="clear" w:color="auto" w:fill="EBF3FA"/>
          </w:tcPr>
          <w:p>
            <w:pPr>
              <w:spacing w:before="40" w:after="40"/>
            </w:pPr>
            <w:r>
              <w:rPr>
                <w:color w:val="1A1A1A"/>
                <w:sz w:val="18"/>
              </w:rPr>
              <w:t>economia.gob.mx/datamexico/es/profile/country/china-chn</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Comercio bilateral MX-China</w:t>
            </w:r>
          </w:p>
        </w:tc>
      </w:tr>
      <w:tr>
        <w:tc>
          <w:tcPr>
            <w:tcW w:type="dxa" w:w="2266"/>
            <w:shd w:val="clear" w:color="auto" w:fill="FFFFFF"/>
          </w:tcPr>
          <w:p>
            <w:pPr>
              <w:spacing w:before="40" w:after="40"/>
            </w:pPr>
            <w:r>
              <w:rPr>
                <w:color w:val="1A1A1A"/>
                <w:sz w:val="18"/>
              </w:rPr>
              <w:t>Embamex SRE (Embajada MX en China)</w:t>
            </w:r>
          </w:p>
        </w:tc>
        <w:tc>
          <w:tcPr>
            <w:tcW w:type="dxa" w:w="2266"/>
            <w:shd w:val="clear" w:color="auto" w:fill="FFFFFF"/>
          </w:tcPr>
          <w:p>
            <w:pPr>
              <w:spacing w:before="40" w:after="40"/>
            </w:pPr>
            <w:r>
              <w:rPr>
                <w:color w:val="1A1A1A"/>
                <w:sz w:val="18"/>
              </w:rPr>
              <w:t>embamex.sre.gob.mx/china</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Relación económica</w:t>
            </w:r>
          </w:p>
        </w:tc>
      </w:tr>
      <w:tr>
        <w:tc>
          <w:tcPr>
            <w:tcW w:type="dxa" w:w="2266"/>
            <w:shd w:val="clear" w:color="auto" w:fill="EBF3FA"/>
          </w:tcPr>
          <w:p>
            <w:pPr>
              <w:spacing w:before="40" w:after="40"/>
            </w:pPr>
            <w:r>
              <w:rPr>
                <w:color w:val="1A1A1A"/>
                <w:sz w:val="18"/>
              </w:rPr>
              <w:t>SAT — Carta Porte</w:t>
            </w:r>
          </w:p>
        </w:tc>
        <w:tc>
          <w:tcPr>
            <w:tcW w:type="dxa" w:w="2266"/>
            <w:shd w:val="clear" w:color="auto" w:fill="EBF3FA"/>
          </w:tcPr>
          <w:p>
            <w:pPr>
              <w:spacing w:before="40" w:after="40"/>
            </w:pPr>
            <w:r>
              <w:rPr>
                <w:color w:val="1A1A1A"/>
                <w:sz w:val="18"/>
              </w:rPr>
              <w:t>sat.gob.mx/consultas/68823/complemento-carta-porte-</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Marco oficial Carta Porte</w:t>
            </w:r>
          </w:p>
        </w:tc>
      </w:tr>
      <w:tr>
        <w:tc>
          <w:tcPr>
            <w:tcW w:type="dxa" w:w="2266"/>
            <w:shd w:val="clear" w:color="auto" w:fill="FFFFFF"/>
          </w:tcPr>
          <w:p>
            <w:pPr>
              <w:spacing w:before="40" w:after="40"/>
            </w:pPr>
            <w:r>
              <w:rPr>
                <w:color w:val="1A1A1A"/>
                <w:sz w:val="18"/>
              </w:rPr>
              <w:t>Fiscal Cloud</w:t>
            </w:r>
          </w:p>
        </w:tc>
        <w:tc>
          <w:tcPr>
            <w:tcW w:type="dxa" w:w="2266"/>
            <w:shd w:val="clear" w:color="auto" w:fill="FFFFFF"/>
          </w:tcPr>
          <w:p>
            <w:pPr>
              <w:spacing w:before="40" w:after="40"/>
            </w:pPr>
            <w:r>
              <w:rPr>
                <w:color w:val="1A1A1A"/>
                <w:sz w:val="18"/>
              </w:rPr>
              <w:t>fiscalcloud.mx</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Carta Porte 3.1 obligaciones</w:t>
            </w:r>
          </w:p>
        </w:tc>
      </w:tr>
      <w:tr>
        <w:tc>
          <w:tcPr>
            <w:tcW w:type="dxa" w:w="2266"/>
            <w:shd w:val="clear" w:color="auto" w:fill="EBF3FA"/>
          </w:tcPr>
          <w:p>
            <w:pPr>
              <w:spacing w:before="40" w:after="40"/>
            </w:pPr>
            <w:r>
              <w:rPr>
                <w:color w:val="1A1A1A"/>
                <w:sz w:val="18"/>
              </w:rPr>
              <w:t>Aspel / Siigo</w:t>
            </w:r>
          </w:p>
        </w:tc>
        <w:tc>
          <w:tcPr>
            <w:tcW w:type="dxa" w:w="2266"/>
            <w:shd w:val="clear" w:color="auto" w:fill="EBF3FA"/>
          </w:tcPr>
          <w:p>
            <w:pPr>
              <w:spacing w:before="40" w:after="40"/>
            </w:pPr>
            <w:r>
              <w:rPr>
                <w:color w:val="1A1A1A"/>
                <w:sz w:val="18"/>
              </w:rPr>
              <w:t>siigo.com/mx/blog/obligaciones-fiscales/complemento-carta-porte/</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Multas + obligaciones</w:t>
            </w:r>
          </w:p>
        </w:tc>
      </w:tr>
      <w:tr>
        <w:tc>
          <w:tcPr>
            <w:tcW w:type="dxa" w:w="2266"/>
            <w:shd w:val="clear" w:color="auto" w:fill="FFFFFF"/>
          </w:tcPr>
          <w:p>
            <w:pPr>
              <w:spacing w:before="40" w:after="40"/>
            </w:pPr>
            <w:r>
              <w:rPr>
                <w:color w:val="1A1A1A"/>
                <w:sz w:val="18"/>
              </w:rPr>
              <w:t>PwC México</w:t>
            </w:r>
          </w:p>
        </w:tc>
        <w:tc>
          <w:tcPr>
            <w:tcW w:type="dxa" w:w="2266"/>
            <w:shd w:val="clear" w:color="auto" w:fill="FFFFFF"/>
          </w:tcPr>
          <w:p>
            <w:pPr>
              <w:spacing w:before="40" w:after="40"/>
            </w:pPr>
            <w:r>
              <w:rPr>
                <w:color w:val="1A1A1A"/>
                <w:sz w:val="18"/>
              </w:rPr>
              <w:t>pwc.com/mx/es/impuestos/novedades-fiscales/decreto-reforma-diversas-disposiciones-ley-aduanera.html</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Reforma aduanera 2025</w:t>
            </w:r>
          </w:p>
        </w:tc>
      </w:tr>
      <w:tr>
        <w:tc>
          <w:tcPr>
            <w:tcW w:type="dxa" w:w="2266"/>
            <w:shd w:val="clear" w:color="auto" w:fill="EBF3FA"/>
          </w:tcPr>
          <w:p>
            <w:pPr>
              <w:spacing w:before="40" w:after="40"/>
            </w:pPr>
            <w:r>
              <w:rPr>
                <w:color w:val="1A1A1A"/>
                <w:sz w:val="18"/>
              </w:rPr>
              <w:t>Grant Thornton MX</w:t>
            </w:r>
          </w:p>
        </w:tc>
        <w:tc>
          <w:tcPr>
            <w:tcW w:type="dxa" w:w="2266"/>
            <w:shd w:val="clear" w:color="auto" w:fill="EBF3FA"/>
          </w:tcPr>
          <w:p>
            <w:pPr>
              <w:spacing w:before="40" w:after="40"/>
            </w:pPr>
            <w:r>
              <w:rPr>
                <w:color w:val="1A1A1A"/>
                <w:sz w:val="18"/>
              </w:rPr>
              <w:t>grantthornton.mx/AlertasGT/alerta39.2025/</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Detalle reforma Ley Aduanera</w:t>
            </w:r>
          </w:p>
        </w:tc>
      </w:tr>
      <w:tr>
        <w:tc>
          <w:tcPr>
            <w:tcW w:type="dxa" w:w="2266"/>
            <w:shd w:val="clear" w:color="auto" w:fill="FFFFFF"/>
          </w:tcPr>
          <w:p>
            <w:pPr>
              <w:spacing w:before="40" w:after="40"/>
            </w:pPr>
            <w:r>
              <w:rPr>
                <w:color w:val="1A1A1A"/>
                <w:sz w:val="18"/>
              </w:rPr>
              <w:t>KPMG México</w:t>
            </w:r>
          </w:p>
        </w:tc>
        <w:tc>
          <w:tcPr>
            <w:tcW w:type="dxa" w:w="2266"/>
            <w:shd w:val="clear" w:color="auto" w:fill="FFFFFF"/>
          </w:tcPr>
          <w:p>
            <w:pPr>
              <w:spacing w:before="40" w:after="40"/>
            </w:pPr>
            <w:r>
              <w:rPr>
                <w:color w:val="1A1A1A"/>
                <w:sz w:val="18"/>
              </w:rPr>
              <w:t>kpmg.com/mx/es/tendencias/2025/11/flash-reformas-a-la-ley-aduanera.html</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Reformas aduanera</w:t>
            </w:r>
          </w:p>
        </w:tc>
      </w:tr>
      <w:tr>
        <w:tc>
          <w:tcPr>
            <w:tcW w:type="dxa" w:w="2266"/>
            <w:shd w:val="clear" w:color="auto" w:fill="EBF3FA"/>
          </w:tcPr>
          <w:p>
            <w:pPr>
              <w:spacing w:before="40" w:after="40"/>
            </w:pPr>
            <w:r>
              <w:rPr>
                <w:color w:val="1A1A1A"/>
                <w:sz w:val="18"/>
              </w:rPr>
              <w:t>Justia México Blog</w:t>
            </w:r>
          </w:p>
        </w:tc>
        <w:tc>
          <w:tcPr>
            <w:tcW w:type="dxa" w:w="2266"/>
            <w:shd w:val="clear" w:color="auto" w:fill="EBF3FA"/>
          </w:tcPr>
          <w:p>
            <w:pPr>
              <w:spacing w:before="40" w:after="40"/>
            </w:pPr>
            <w:r>
              <w:rPr>
                <w:color w:val="1A1A1A"/>
                <w:sz w:val="18"/>
              </w:rPr>
              <w:t>mexico.justia.com/blog/reforma-a-la-ley-aduanera-los-cambios-propuestos-al-sistema-aduanero-en-mexico/</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Cambios sistema aduanero</w:t>
            </w:r>
          </w:p>
        </w:tc>
      </w:tr>
      <w:tr>
        <w:tc>
          <w:tcPr>
            <w:tcW w:type="dxa" w:w="2266"/>
            <w:shd w:val="clear" w:color="auto" w:fill="FFFFFF"/>
          </w:tcPr>
          <w:p>
            <w:pPr>
              <w:spacing w:before="40" w:after="40"/>
            </w:pPr>
            <w:r>
              <w:rPr>
                <w:color w:val="1A1A1A"/>
                <w:sz w:val="18"/>
              </w:rPr>
              <w:t>CAAAREM</w:t>
            </w:r>
          </w:p>
        </w:tc>
        <w:tc>
          <w:tcPr>
            <w:tcW w:type="dxa" w:w="2266"/>
            <w:shd w:val="clear" w:color="auto" w:fill="FFFFFF"/>
          </w:tcPr>
          <w:p>
            <w:pPr>
              <w:spacing w:before="40" w:after="40"/>
            </w:pPr>
            <w:r>
              <w:rPr>
                <w:color w:val="1A1A1A"/>
                <w:sz w:val="18"/>
              </w:rPr>
              <w:t>caaarem.mx</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Confederación agentes aduanales, 99% representatividad</w:t>
            </w:r>
          </w:p>
        </w:tc>
      </w:tr>
      <w:tr>
        <w:tc>
          <w:tcPr>
            <w:tcW w:type="dxa" w:w="2266"/>
            <w:shd w:val="clear" w:color="auto" w:fill="EBF3FA"/>
          </w:tcPr>
          <w:p>
            <w:pPr>
              <w:spacing w:before="40" w:after="40"/>
            </w:pPr>
            <w:r>
              <w:rPr>
                <w:color w:val="1A1A1A"/>
                <w:sz w:val="18"/>
              </w:rPr>
              <w:t>CAAAREM Directorio</w:t>
            </w:r>
          </w:p>
        </w:tc>
        <w:tc>
          <w:tcPr>
            <w:tcW w:type="dxa" w:w="2266"/>
            <w:shd w:val="clear" w:color="auto" w:fill="EBF3FA"/>
          </w:tcPr>
          <w:p>
            <w:pPr>
              <w:spacing w:before="40" w:after="40"/>
            </w:pPr>
            <w:r>
              <w:rPr>
                <w:color w:val="1A1A1A"/>
                <w:sz w:val="18"/>
              </w:rPr>
              <w:t>caaarem.mx/directorio.html</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Patentes activas</w:t>
            </w:r>
          </w:p>
        </w:tc>
      </w:tr>
      <w:tr>
        <w:tc>
          <w:tcPr>
            <w:tcW w:type="dxa" w:w="2266"/>
            <w:shd w:val="clear" w:color="auto" w:fill="FFFFFF"/>
          </w:tcPr>
          <w:p>
            <w:pPr>
              <w:spacing w:before="40" w:after="40"/>
            </w:pPr>
            <w:r>
              <w:rPr>
                <w:color w:val="1A1A1A"/>
                <w:sz w:val="18"/>
              </w:rPr>
              <w:t>Revista Aduanas CAAAREM</w:t>
            </w:r>
          </w:p>
        </w:tc>
        <w:tc>
          <w:tcPr>
            <w:tcW w:type="dxa" w:w="2266"/>
            <w:shd w:val="clear" w:color="auto" w:fill="FFFFFF"/>
          </w:tcPr>
          <w:p>
            <w:pPr>
              <w:spacing w:before="40" w:after="40"/>
            </w:pPr>
            <w:r>
              <w:rPr>
                <w:color w:val="1A1A1A"/>
                <w:sz w:val="18"/>
              </w:rPr>
              <w:t>caaarem.mx/assets/pdf/Revista-Aduanas-2024.pdf</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Edición Q3 2024</w:t>
            </w:r>
          </w:p>
        </w:tc>
      </w:tr>
      <w:tr>
        <w:tc>
          <w:tcPr>
            <w:tcW w:type="dxa" w:w="2266"/>
            <w:shd w:val="clear" w:color="auto" w:fill="EBF3FA"/>
          </w:tcPr>
          <w:p>
            <w:pPr>
              <w:spacing w:before="40" w:after="40"/>
            </w:pPr>
            <w:r>
              <w:rPr>
                <w:color w:val="1A1A1A"/>
                <w:sz w:val="18"/>
              </w:rPr>
              <w:t>ANAM</w:t>
            </w:r>
          </w:p>
        </w:tc>
        <w:tc>
          <w:tcPr>
            <w:tcW w:type="dxa" w:w="2266"/>
            <w:shd w:val="clear" w:color="auto" w:fill="EBF3FA"/>
          </w:tcPr>
          <w:p>
            <w:pPr>
              <w:spacing w:before="40" w:after="40"/>
            </w:pPr>
            <w:r>
              <w:rPr>
                <w:color w:val="1A1A1A"/>
                <w:sz w:val="18"/>
              </w:rPr>
              <w:t>anam.gob.mx</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Aduana Tijuana + agentes aduanales</w:t>
            </w:r>
          </w:p>
        </w:tc>
      </w:tr>
      <w:tr>
        <w:tc>
          <w:tcPr>
            <w:tcW w:type="dxa" w:w="2266"/>
            <w:shd w:val="clear" w:color="auto" w:fill="FFFFFF"/>
          </w:tcPr>
          <w:p>
            <w:pPr>
              <w:spacing w:before="40" w:after="40"/>
            </w:pPr>
            <w:r>
              <w:rPr>
                <w:color w:val="1A1A1A"/>
                <w:sz w:val="18"/>
              </w:rPr>
              <w:t>Asociación Agentes Aduanales Tijuana y Tecate</w:t>
            </w:r>
          </w:p>
        </w:tc>
        <w:tc>
          <w:tcPr>
            <w:tcW w:type="dxa" w:w="2266"/>
            <w:shd w:val="clear" w:color="auto" w:fill="FFFFFF"/>
          </w:tcPr>
          <w:p>
            <w:pPr>
              <w:spacing w:before="40" w:after="40"/>
            </w:pPr>
            <w:r>
              <w:rPr>
                <w:color w:val="1A1A1A"/>
                <w:sz w:val="18"/>
              </w:rPr>
              <w:t>agentesaduanales.org.mx</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Asociación local</w:t>
            </w:r>
          </w:p>
        </w:tc>
      </w:tr>
      <w:tr>
        <w:tc>
          <w:tcPr>
            <w:tcW w:type="dxa" w:w="2266"/>
            <w:shd w:val="clear" w:color="auto" w:fill="EBF3FA"/>
          </w:tcPr>
          <w:p>
            <w:pPr>
              <w:spacing w:before="40" w:after="40"/>
            </w:pPr>
            <w:r>
              <w:rPr>
                <w:color w:val="1A1A1A"/>
                <w:sz w:val="18"/>
              </w:rPr>
              <w:t>AduaEasy</w:t>
            </w:r>
          </w:p>
        </w:tc>
        <w:tc>
          <w:tcPr>
            <w:tcW w:type="dxa" w:w="2266"/>
            <w:shd w:val="clear" w:color="auto" w:fill="EBF3FA"/>
          </w:tcPr>
          <w:p>
            <w:pPr>
              <w:spacing w:before="40" w:after="40"/>
            </w:pPr>
            <w:r>
              <w:rPr>
                <w:color w:val="1A1A1A"/>
                <w:sz w:val="18"/>
              </w:rPr>
              <w:t>aduaeasy.com/blog/puede-la-ia-transformar-las-aduanas-de-m%C3%A9xico-sin-perder-el-toque-humano</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IA en aduanas MX</w:t>
            </w:r>
          </w:p>
        </w:tc>
      </w:tr>
      <w:tr>
        <w:tc>
          <w:tcPr>
            <w:tcW w:type="dxa" w:w="2266"/>
            <w:shd w:val="clear" w:color="auto" w:fill="FFFFFF"/>
          </w:tcPr>
          <w:p>
            <w:pPr>
              <w:spacing w:before="40" w:after="40"/>
            </w:pPr>
            <w:r>
              <w:rPr>
                <w:color w:val="1A1A1A"/>
                <w:sz w:val="18"/>
              </w:rPr>
              <w:t>AduanApp</w:t>
            </w:r>
          </w:p>
        </w:tc>
        <w:tc>
          <w:tcPr>
            <w:tcW w:type="dxa" w:w="2266"/>
            <w:shd w:val="clear" w:color="auto" w:fill="FFFFFF"/>
          </w:tcPr>
          <w:p>
            <w:pPr>
              <w:spacing w:before="40" w:after="40"/>
            </w:pPr>
            <w:r>
              <w:rPr>
                <w:color w:val="1A1A1A"/>
                <w:sz w:val="18"/>
              </w:rPr>
              <w:t>neuronbusinessmedia.mx/aduanapp-digitalizando-las-aduanas-mexicanas-con-inteligencia-y-velocidad/</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Métricas AduanApp 7-13s/95%</w:t>
            </w:r>
          </w:p>
        </w:tc>
      </w:tr>
      <w:tr>
        <w:tc>
          <w:tcPr>
            <w:tcW w:type="dxa" w:w="2266"/>
            <w:shd w:val="clear" w:color="auto" w:fill="EBF3FA"/>
          </w:tcPr>
          <w:p>
            <w:pPr>
              <w:spacing w:before="40" w:after="40"/>
            </w:pPr>
            <w:r>
              <w:rPr>
                <w:color w:val="1A1A1A"/>
                <w:sz w:val="18"/>
              </w:rPr>
              <w:t>AMITI</w:t>
            </w:r>
          </w:p>
        </w:tc>
        <w:tc>
          <w:tcPr>
            <w:tcW w:type="dxa" w:w="2266"/>
            <w:shd w:val="clear" w:color="auto" w:fill="EBF3FA"/>
          </w:tcPr>
          <w:p>
            <w:pPr>
              <w:spacing w:before="40" w:after="40"/>
            </w:pPr>
            <w:r>
              <w:rPr>
                <w:color w:val="1A1A1A"/>
                <w:sz w:val="18"/>
              </w:rPr>
              <w:t>amiti.org.mx/en/11311/los-avances-tecnologicos-no-esperan-a-nadie-las-agencias-aduanales-se-reinventan-en-la-era-de-la-inteligencia-artificial/</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Agencias aduanales + IA</w:t>
            </w:r>
          </w:p>
        </w:tc>
      </w:tr>
      <w:tr>
        <w:tc>
          <w:tcPr>
            <w:tcW w:type="dxa" w:w="2266"/>
            <w:shd w:val="clear" w:color="auto" w:fill="FFFFFF"/>
          </w:tcPr>
          <w:p>
            <w:pPr>
              <w:spacing w:before="40" w:after="40"/>
            </w:pPr>
            <w:r>
              <w:rPr>
                <w:color w:val="1A1A1A"/>
                <w:sz w:val="18"/>
              </w:rPr>
              <w:t>Camtom Blog</w:t>
            </w:r>
          </w:p>
        </w:tc>
        <w:tc>
          <w:tcPr>
            <w:tcW w:type="dxa" w:w="2266"/>
            <w:shd w:val="clear" w:color="auto" w:fill="FFFFFF"/>
          </w:tcPr>
          <w:p>
            <w:pPr>
              <w:spacing w:before="40" w:after="40"/>
            </w:pPr>
            <w:r>
              <w:rPr>
                <w:color w:val="1A1A1A"/>
                <w:sz w:val="18"/>
              </w:rPr>
              <w:t>camtomx.com/en/blog/el-papel-de-la-inteligencia-artificial-en-la-clasificacion-arancelaria-y-el-comercio-internacional</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IA en clasificación</w:t>
            </w:r>
          </w:p>
        </w:tc>
      </w:tr>
      <w:tr>
        <w:tc>
          <w:tcPr>
            <w:tcW w:type="dxa" w:w="2266"/>
            <w:shd w:val="clear" w:color="auto" w:fill="EBF3FA"/>
          </w:tcPr>
          <w:p>
            <w:pPr>
              <w:spacing w:before="40" w:after="40"/>
            </w:pPr>
            <w:r>
              <w:rPr>
                <w:color w:val="1A1A1A"/>
                <w:sz w:val="18"/>
              </w:rPr>
              <w:t>T21 Concurso Clasificación</w:t>
            </w:r>
          </w:p>
        </w:tc>
        <w:tc>
          <w:tcPr>
            <w:tcW w:type="dxa" w:w="2266"/>
            <w:shd w:val="clear" w:color="auto" w:fill="EBF3FA"/>
          </w:tcPr>
          <w:p>
            <w:pPr>
              <w:spacing w:before="40" w:after="40"/>
            </w:pPr>
            <w:r>
              <w:rPr>
                <w:color w:val="1A1A1A"/>
                <w:sz w:val="18"/>
              </w:rPr>
              <w:t>t21.com.mx/proveedores-usan-inteligencia-artificial-en-competencia-de-clasificacion-arancelaria/</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Primer concurso AAADAM nov 2024</w:t>
            </w:r>
          </w:p>
        </w:tc>
      </w:tr>
      <w:tr>
        <w:tc>
          <w:tcPr>
            <w:tcW w:type="dxa" w:w="2266"/>
            <w:shd w:val="clear" w:color="auto" w:fill="FFFFFF"/>
          </w:tcPr>
          <w:p>
            <w:pPr>
              <w:spacing w:before="40" w:after="40"/>
            </w:pPr>
            <w:r>
              <w:rPr>
                <w:color w:val="1A1A1A"/>
                <w:sz w:val="18"/>
              </w:rPr>
              <w:t>Moco AI</w:t>
            </w:r>
          </w:p>
        </w:tc>
        <w:tc>
          <w:tcPr>
            <w:tcW w:type="dxa" w:w="2266"/>
            <w:shd w:val="clear" w:color="auto" w:fill="FFFFFF"/>
          </w:tcPr>
          <w:p>
            <w:pPr>
              <w:spacing w:before="40" w:after="40"/>
            </w:pPr>
            <w:r>
              <w:rPr>
                <w:color w:val="1A1A1A"/>
                <w:sz w:val="18"/>
              </w:rPr>
              <w:t>moco.mx/blog/agentes-aduanales-en-mexico-2025/</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Agentes aduanales 2025</w:t>
            </w:r>
          </w:p>
        </w:tc>
      </w:tr>
      <w:tr>
        <w:tc>
          <w:tcPr>
            <w:tcW w:type="dxa" w:w="2266"/>
            <w:shd w:val="clear" w:color="auto" w:fill="EBF3FA"/>
          </w:tcPr>
          <w:p>
            <w:pPr>
              <w:spacing w:before="40" w:after="40"/>
            </w:pPr>
            <w:r>
              <w:rPr>
                <w:color w:val="1A1A1A"/>
                <w:sz w:val="18"/>
              </w:rPr>
              <w:t>Estrategia Aduanera</w:t>
            </w:r>
          </w:p>
        </w:tc>
        <w:tc>
          <w:tcPr>
            <w:tcW w:type="dxa" w:w="2266"/>
            <w:shd w:val="clear" w:color="auto" w:fill="EBF3FA"/>
          </w:tcPr>
          <w:p>
            <w:pPr>
              <w:spacing w:before="40" w:after="40"/>
            </w:pPr>
            <w:r>
              <w:rPr>
                <w:color w:val="1A1A1A"/>
                <w:sz w:val="18"/>
              </w:rPr>
              <w:t>estrategiaaduanera.mx/inteligencia-artificial-y-la-clasificacion-arancelaria/</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IA y clasificación</w:t>
            </w:r>
          </w:p>
        </w:tc>
      </w:tr>
      <w:tr>
        <w:tc>
          <w:tcPr>
            <w:tcW w:type="dxa" w:w="2266"/>
            <w:shd w:val="clear" w:color="auto" w:fill="FFFFFF"/>
          </w:tcPr>
          <w:p>
            <w:pPr>
              <w:spacing w:before="40" w:after="40"/>
            </w:pPr>
            <w:r>
              <w:rPr>
                <w:color w:val="1A1A1A"/>
                <w:sz w:val="18"/>
              </w:rPr>
              <w:t>Nuvocargo</w:t>
            </w:r>
          </w:p>
        </w:tc>
        <w:tc>
          <w:tcPr>
            <w:tcW w:type="dxa" w:w="2266"/>
            <w:shd w:val="clear" w:color="auto" w:fill="FFFFFF"/>
          </w:tcPr>
          <w:p>
            <w:pPr>
              <w:spacing w:before="40" w:after="40"/>
            </w:pPr>
            <w:r>
              <w:rPr>
                <w:color w:val="1A1A1A"/>
                <w:sz w:val="18"/>
              </w:rPr>
              <w:t>nuvocargo.com</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Plataforma AI freight US-MX</w:t>
            </w:r>
          </w:p>
        </w:tc>
      </w:tr>
      <w:tr>
        <w:tc>
          <w:tcPr>
            <w:tcW w:type="dxa" w:w="2266"/>
            <w:shd w:val="clear" w:color="auto" w:fill="EBF3FA"/>
          </w:tcPr>
          <w:p>
            <w:pPr>
              <w:spacing w:before="40" w:after="40"/>
            </w:pPr>
            <w:r>
              <w:rPr>
                <w:color w:val="1A1A1A"/>
                <w:sz w:val="18"/>
              </w:rPr>
              <w:t>Contrary Research Nuvocargo</w:t>
            </w:r>
          </w:p>
        </w:tc>
        <w:tc>
          <w:tcPr>
            <w:tcW w:type="dxa" w:w="2266"/>
            <w:shd w:val="clear" w:color="auto" w:fill="EBF3FA"/>
          </w:tcPr>
          <w:p>
            <w:pPr>
              <w:spacing w:before="40" w:after="40"/>
            </w:pPr>
            <w:r>
              <w:rPr>
                <w:color w:val="1A1A1A"/>
                <w:sz w:val="18"/>
              </w:rPr>
              <w:t>research.contrary.com/company/nuvocargo</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Funding rounds + business breakdown</w:t>
            </w:r>
          </w:p>
        </w:tc>
      </w:tr>
      <w:tr>
        <w:tc>
          <w:tcPr>
            <w:tcW w:type="dxa" w:w="2266"/>
            <w:shd w:val="clear" w:color="auto" w:fill="FFFFFF"/>
          </w:tcPr>
          <w:p>
            <w:pPr>
              <w:spacing w:before="40" w:after="40"/>
            </w:pPr>
            <w:r>
              <w:rPr>
                <w:color w:val="1A1A1A"/>
                <w:sz w:val="18"/>
              </w:rPr>
              <w:t>TechCrunch</w:t>
            </w:r>
          </w:p>
        </w:tc>
        <w:tc>
          <w:tcPr>
            <w:tcW w:type="dxa" w:w="2266"/>
            <w:shd w:val="clear" w:color="auto" w:fill="FFFFFF"/>
          </w:tcPr>
          <w:p>
            <w:pPr>
              <w:spacing w:before="40" w:after="40"/>
            </w:pPr>
            <w:r>
              <w:rPr>
                <w:color w:val="1A1A1A"/>
                <w:sz w:val="18"/>
              </w:rPr>
              <w:t>techcrunch.com/2021/12/10/nuvocargo-raises-20-5m-at-a-180m-valuation-to-bolster-trade-between-the-us-and-mexico/</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Funding history</w:t>
            </w:r>
          </w:p>
        </w:tc>
      </w:tr>
      <w:tr>
        <w:tc>
          <w:tcPr>
            <w:tcW w:type="dxa" w:w="2266"/>
            <w:shd w:val="clear" w:color="auto" w:fill="EBF3FA"/>
          </w:tcPr>
          <w:p>
            <w:pPr>
              <w:spacing w:before="40" w:after="40"/>
            </w:pPr>
            <w:r>
              <w:rPr>
                <w:color w:val="1A1A1A"/>
                <w:sz w:val="18"/>
              </w:rPr>
              <w:t>FreightWaves</w:t>
            </w:r>
          </w:p>
        </w:tc>
        <w:tc>
          <w:tcPr>
            <w:tcW w:type="dxa" w:w="2266"/>
            <w:shd w:val="clear" w:color="auto" w:fill="EBF3FA"/>
          </w:tcPr>
          <w:p>
            <w:pPr>
              <w:spacing w:before="40" w:after="40"/>
            </w:pPr>
            <w:r>
              <w:rPr>
                <w:color w:val="1A1A1A"/>
                <w:sz w:val="18"/>
              </w:rPr>
              <w:t>freightwaves.com/news/nuvocargo-raises-20-5m-to-boost-trade-between-us-and-mexico</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Cobertura Nuvocargo</w:t>
            </w:r>
          </w:p>
        </w:tc>
      </w:tr>
      <w:tr>
        <w:tc>
          <w:tcPr>
            <w:tcW w:type="dxa" w:w="2266"/>
            <w:shd w:val="clear" w:color="auto" w:fill="FFFFFF"/>
          </w:tcPr>
          <w:p>
            <w:pPr>
              <w:spacing w:before="40" w:after="40"/>
            </w:pPr>
            <w:r>
              <w:rPr>
                <w:color w:val="1A1A1A"/>
                <w:sz w:val="18"/>
              </w:rPr>
              <w:t>McKinsey (Logistics Disruptors)</w:t>
            </w:r>
          </w:p>
        </w:tc>
        <w:tc>
          <w:tcPr>
            <w:tcW w:type="dxa" w:w="2266"/>
            <w:shd w:val="clear" w:color="auto" w:fill="FFFFFF"/>
          </w:tcPr>
          <w:p>
            <w:pPr>
              <w:spacing w:before="40" w:after="40"/>
            </w:pPr>
            <w:r>
              <w:rPr>
                <w:color w:val="1A1A1A"/>
                <w:sz w:val="18"/>
              </w:rPr>
              <w:t>mckinsey.com/industries/logistics/our-insights/logistics-disruptors-a-shared-digital-platform-for-us-mexico-logistics</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Entrevista Nuvocargo founder</w:t>
            </w:r>
          </w:p>
        </w:tc>
      </w:tr>
      <w:tr>
        <w:tc>
          <w:tcPr>
            <w:tcW w:type="dxa" w:w="2266"/>
            <w:shd w:val="clear" w:color="auto" w:fill="EBF3FA"/>
          </w:tcPr>
          <w:p>
            <w:pPr>
              <w:spacing w:before="40" w:after="40"/>
            </w:pPr>
            <w:r>
              <w:rPr>
                <w:color w:val="1A1A1A"/>
                <w:sz w:val="18"/>
              </w:rPr>
              <w:t>Tetakawi Insights</w:t>
            </w:r>
          </w:p>
        </w:tc>
        <w:tc>
          <w:tcPr>
            <w:tcW w:type="dxa" w:w="2266"/>
            <w:shd w:val="clear" w:color="auto" w:fill="EBF3FA"/>
          </w:tcPr>
          <w:p>
            <w:pPr>
              <w:spacing w:before="40" w:after="40"/>
            </w:pPr>
            <w:r>
              <w:rPr>
                <w:color w:val="1A1A1A"/>
                <w:sz w:val="18"/>
              </w:rPr>
              <w:t>insights.tetakawi.com/mexico-tariffs-2026-what-manufacturers-actually-need-to-know</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Aranceles 2026 manufactura</w:t>
            </w:r>
          </w:p>
        </w:tc>
      </w:tr>
      <w:tr>
        <w:tc>
          <w:tcPr>
            <w:tcW w:type="dxa" w:w="2266"/>
            <w:shd w:val="clear" w:color="auto" w:fill="FFFFFF"/>
          </w:tcPr>
          <w:p>
            <w:pPr>
              <w:spacing w:before="40" w:after="40"/>
            </w:pPr>
            <w:r>
              <w:rPr>
                <w:color w:val="1A1A1A"/>
                <w:sz w:val="18"/>
              </w:rPr>
              <w:t>Crown XT</w:t>
            </w:r>
          </w:p>
        </w:tc>
        <w:tc>
          <w:tcPr>
            <w:tcW w:type="dxa" w:w="2266"/>
            <w:shd w:val="clear" w:color="auto" w:fill="FFFFFF"/>
          </w:tcPr>
          <w:p>
            <w:pPr>
              <w:spacing w:before="40" w:after="40"/>
            </w:pPr>
            <w:r>
              <w:rPr>
                <w:color w:val="1A1A1A"/>
                <w:sz w:val="18"/>
              </w:rPr>
              <w:t>crownxt.com/nearshoring-drayage-cross-border-logistics/</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Nearshoring + drayage</w:t>
            </w:r>
          </w:p>
        </w:tc>
      </w:tr>
      <w:tr>
        <w:tc>
          <w:tcPr>
            <w:tcW w:type="dxa" w:w="2266"/>
            <w:shd w:val="clear" w:color="auto" w:fill="EBF3FA"/>
          </w:tcPr>
          <w:p>
            <w:pPr>
              <w:spacing w:before="40" w:after="40"/>
            </w:pPr>
            <w:r>
              <w:rPr>
                <w:color w:val="1A1A1A"/>
                <w:sz w:val="18"/>
              </w:rPr>
              <w:t>Trixx company report</w:t>
            </w:r>
          </w:p>
        </w:tc>
        <w:tc>
          <w:tcPr>
            <w:tcW w:type="dxa" w:w="2266"/>
            <w:shd w:val="clear" w:color="auto" w:fill="EBF3FA"/>
          </w:tcPr>
          <w:p>
            <w:pPr>
              <w:spacing w:before="40" w:after="40"/>
            </w:pPr>
            <w:r>
              <w:rPr>
                <w:color w:val="1A1A1A"/>
                <w:sz w:val="18"/>
              </w:rPr>
              <w:t>pipeline/clients/trixx-logistics/01_company_analysis/runs/2026-05-18_mode-a/final_report.md</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Input específico de la compañía</w:t>
            </w:r>
          </w:p>
        </w:tc>
      </w:tr>
    </w:tbl>
    <w:p/>
    <w:p>
      <w:pPr>
        <w:spacing w:before="40" w:after="40"/>
      </w:pPr>
    </w:p>
    <w:p>
      <w:pPr>
        <w:spacing w:before="20" w:after="60"/>
      </w:pPr>
      <w:r>
        <w:rPr>
          <w:color w:val="1A1A1A"/>
          <w:sz w:val="20"/>
        </w:rPr>
        <w:t>Reporte generado por skill industry-analyst v1 — Nexostrat</w:t>
      </w:r>
    </w:p>
    <w:p>
      <w:pPr>
        <w:spacing w:before="20" w:after="60"/>
      </w:pPr>
      <w:r>
        <w:rPr>
          <w:color w:val="1A1A1A"/>
          <w:sz w:val="20"/>
        </w:rPr>
        <w:t>Para uso interno exclusivo. Reutilizable para todos los prospectos del sector logística cross-border MX-USA + agencia aduanal hasta ~diciembre 2026.</w:t>
      </w:r>
    </w:p>
    <w:p>
      <w:pPr>
        <w:spacing w:before="20" w:after="60"/>
      </w:pPr>
      <w:r>
        <w:rPr>
          <w:color w:val="1A1A1A"/>
          <w:sz w:val="20"/>
        </w:rPr>
        <w:t>Fecha: 2026-05-18</w:t>
      </w:r>
    </w:p>
    <w:sectPr w:rsidR="00FC693F" w:rsidRPr="0006063C" w:rsidSect="00034616">
      <w:headerReference w:type="default" r:id="rId10"/>
      <w:footerReference w:type="default" r:id="rId11"/>
      <w:pgSz w:w="12240" w:h="15840"/>
      <w:pgMar w:top="1417" w:right="1587" w:bottom="1417"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B7280"/>
        <w:sz w:val="18"/>
      </w:rPr>
      <w:t xml:space="preserve">nexostrat.com  ·  Pág. </w:t>
    </w:r>
    <w:r>
      <w:rPr>
        <w:rFonts w:ascii="Inter" w:hAnsi="Inter"/>
        <w:color w:val="6B72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EA5E9"/>
      </w:pBdr>
    </w:pPr>
    <w:r>
      <w:rPr>
        <w:rFonts w:ascii="Inter" w:hAnsi="Inter"/>
        <w:b/>
        <w:color w:val="0C1A2E"/>
        <w:sz w:val="22"/>
      </w:rPr>
      <w:t>NEXOSTRAT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