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 w:sz="0"/>
              <w:left w:val="none" w:sz="0"/>
              <w:bottom w:val="none" w:sz="0"/>
              <w:right w:val="none" w:sz="0"/>
            </w:tcBorders>
            <w:shd w:fill="0C1A2E" w:val="clear"/>
            <w:tcMar>
              <w:top w:type="dxa" w:w="3600"/>
              <w:left w:type="dxa" w:w="1440"/>
              <w:bottom w:type="dxa" w:w="0"/>
              <w:right w:type="dxa" w:w="144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657600" cy="809829"/>
                  <wp:effectExtent l="0" t="0" r="0" b="0"/>
                  <wp:docPr id="101" name="Logo Nexostrat Portada" descr="Nexostrat logotipo horizon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Logo Nexostrat Port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80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0"/>
            </w:pPr>
            <w:r>
              <w:rPr>
                <w:rFonts w:ascii="Calibri" w:cs="Calibri" w:eastAsia="Calibri" w:hAnsi="Calibri"/>
                <w:color w:val="0EA5E9"/>
                <w:sz w:val="24"/>
                <w:szCs w:val="24"/>
              </w:rPr>
              <w:t xml:space="preserve">──────────────────────────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EA5E9"/>
                <w:sz w:val="36"/>
                <w:szCs w:val="36"/>
              </w:rPr>
              <w:t xml:space="preserve">BRAND IDENTITY GUIDE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6B7280"/>
                <w:sz w:val="26"/>
                <w:szCs w:val="26"/>
              </w:rPr>
              <w:t xml:space="preserve">Guía de Identidad de Marca</w:t>
            </w:r>
          </w:p>
          <w:p>
            <w:pPr>
              <w:spacing w:after="1200" w:before="2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F0FBFF"/>
                <w:sz w:val="30"/>
                <w:szCs w:val="30"/>
              </w:rPr>
              <w:t xml:space="preserve">Crece sin contratar. Escala sin complicarte.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Versión 1.0  ·  Mayo 2026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Confidencial — uso interno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60" w:before="360"/>
        <w:pBdr>
          <w:bottom w:val="single" w:color="0EA5E9" w:sz="4" w:space="4"/>
        </w:pBdr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ÍNDICE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C1A2E"/>
          <w:sz w:val="48"/>
          <w:szCs w:val="48"/>
        </w:rPr>
        <w:t xml:space="preserve">Tabla de Contenidos</w:t>
      </w:r>
    </w:p>
    <w:p>
      <w:pPr>
        <w:spacing w:after="60" w:before="60"/>
      </w:pPr>
      <w:r>
        <w:t xml:space="preserv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 w:before="360"/>
        <w:pBdr>
          <w:bottom w:val="single" w:color="0EA5E9" w:sz="4" w:space="4"/>
        </w:pBdr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01 — FILOSOFÍA DE MARCA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C1A2E"/>
          <w:sz w:val="48"/>
          <w:szCs w:val="48"/>
        </w:rPr>
        <w:t xml:space="preserve">Filosofía de Marca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  <w:shd w:fill="0EA5E9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sz="0"/>
              <w:left w:val="none" w:sz="0"/>
              <w:bottom w:val="none" w:sz="0"/>
              <w:right w:val="none" w:sz="0"/>
            </w:tcBorders>
            <w:shd w:fill="F0FB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"Democratizar la inteligencia empresarial.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Las herramientas de IA que usan las corporaciones ya existen para las PYMEs — lo que falta es el proceso correcto para implementarlas bien."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Nexostrat nació de una convicción simple: una PYME bien asesorada puede competir con la inteligencia operativa de una corporación. La brecha no es de tecnología — es de acceso, proceso y acompañamiento.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Nuestra identidad refleja esa misión: somos rigurosos sin ser fríos, tecnológicos sin ser distantes, estratégicos sin ser abstractos.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Principios de Marca</w:t>
      </w:r>
    </w:p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Claridad ante todo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Cada mensaje debe poder ser entendido por el dueño de una PYME sin contexto previo de IA. Si requiere explicación, se simplifica.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Proceso sobre promesas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 vendemos tecnología — vendemos resultados a través de un proceso estructurado. Los números concretos reemplazan los superlativos vacíos.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Soluciones a medida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 vendemos plantillas. Cada solución se diseña sobre la operación del cliente, sus datos reales y su equipo específico.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Accesibilidad técnica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sofisticación técnica se traduce al lenguaje del negocio. El cliente no necesita entender la tecnología — necesita ver el resultado.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Honestidad radical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 el diagnóstico revela que no hay oportunidad real, lo decimos. La confianza de largo plazo vale más que cualquier venta.</w:t>
            </w:r>
          </w:p>
        </w:tc>
      </w:tr>
    </w:tbl>
    <w:p>
      <w:r>
        <w:br w:type="page"/>
      </w:r>
    </w:p>
    <w:p>
      <w:pPr>
        <w:spacing w:after="60" w:before="360"/>
        <w:pBdr>
          <w:bottom w:val="single" w:color="0EA5E9" w:sz="4" w:space="4"/>
        </w:pBdr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02 — PALETA DE COLORES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C1A2E"/>
          <w:sz w:val="48"/>
          <w:szCs w:val="48"/>
        </w:rPr>
        <w:t xml:space="preserve">Paleta de Colores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paleta Aurora evoca confianza, innovación y proximidad. Los tonos profundos de azul transmiten rigor y profesionalismo; el Sky Blue y el Emerald comunican tecnología y resultados positivos; el Amber Gold actúa como acento de alta energía para llamadas a la acción.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Colores Primarios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1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Muestra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1A2E"/>
                <w:sz w:val="22"/>
                <w:szCs w:val="22"/>
              </w:rPr>
              <w:t xml:space="preserve">Midnight Blue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#0C1A2E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A6B"/>
                <w:sz w:val="22"/>
                <w:szCs w:val="22"/>
              </w:rPr>
              <w:t xml:space="preserve">Base Primaria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Fondos de portada, headers principales, texto de alto contraste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4A6B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1A2E"/>
                <w:sz w:val="22"/>
                <w:szCs w:val="22"/>
              </w:rPr>
              <w:t xml:space="preserve">Ocean Deep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#0D4A6B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A6B"/>
                <w:sz w:val="22"/>
                <w:szCs w:val="22"/>
              </w:rPr>
              <w:t xml:space="preserve">Estructural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Fondos secundarios, subtítulos, bordes de secciones, iconos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A5E9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1A2E"/>
                <w:sz w:val="22"/>
                <w:szCs w:val="22"/>
              </w:rPr>
              <w:t xml:space="preserve">Sky Blue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#0EA5E9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A6B"/>
                <w:sz w:val="22"/>
                <w:szCs w:val="22"/>
              </w:rPr>
              <w:t xml:space="preserve">Acento Interactivo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Links, iconos, CTAs secundarios, líneas decorativas, etiquetas de sección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1A2E"/>
                <w:sz w:val="22"/>
                <w:szCs w:val="22"/>
              </w:rPr>
              <w:t xml:space="preserve">Emerald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#10B981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A6B"/>
                <w:sz w:val="22"/>
                <w:szCs w:val="22"/>
              </w:rPr>
              <w:t xml:space="preserve">Validación / Éxito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Checkmarks, badges de beneficio, indicadores positivos, "GRATUITO"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Colores Secundarios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1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Muestra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1A2E"/>
                <w:sz w:val="22"/>
                <w:szCs w:val="22"/>
              </w:rPr>
              <w:t xml:space="preserve">Amber Gold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#F59E0B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A6B"/>
                <w:sz w:val="22"/>
                <w:szCs w:val="22"/>
              </w:rPr>
              <w:t xml:space="preserve">⚠ CTA Exclusivo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SOLO: números estadísticos clave y botones CTA primarios. Nunca en texto corrido.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1A2E"/>
                <w:sz w:val="22"/>
                <w:szCs w:val="22"/>
              </w:rPr>
              <w:t xml:space="preserve">Arctic White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#F0FBFF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A6B"/>
                <w:sz w:val="22"/>
                <w:szCs w:val="22"/>
              </w:rPr>
              <w:t xml:space="preserve">Fondo Claro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 de documentos, propuestas, callout boxes, secciones claras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1A2E"/>
                <w:sz w:val="22"/>
                <w:szCs w:val="22"/>
              </w:rPr>
              <w:t xml:space="preserve">Gray 100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#F5F5F5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A6B"/>
                <w:sz w:val="22"/>
                <w:szCs w:val="22"/>
              </w:rPr>
              <w:t xml:space="preserve">Fondo Alterno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Fondos de filas alternas en tablas, cards secundarias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1A2E"/>
                <w:sz w:val="22"/>
                <w:szCs w:val="22"/>
              </w:rPr>
              <w:t xml:space="preserve">Gray 500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#6B7280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A6B"/>
                <w:sz w:val="22"/>
                <w:szCs w:val="22"/>
              </w:rPr>
              <w:t xml:space="preserve">Texto Secundario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Subtítulos, fechas, notas al pie, texto de apoyo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Proporciones de Color por Canal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40"/>
        <w:gridCol w:w="2440"/>
        <w:gridCol w:w="244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Proporción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Documentos (.docx)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Presentaciones (.pptx)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 / Digital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70%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Arctic White + espacios en blanco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Arctic White (fondos diapositivas)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Arctic White + Midnight alternados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20%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Midnight Blue (headers, bordes)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Midnight Blue (fondos oscuros)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Midnight Blue + Ocean Deep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7%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Sky Blue (líneas, etiquetas)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Sky Blue (acentos, iconos)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Sky Blue (CTAs secundarios, links)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3%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Amber Gold (datos clave únicamente)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Amber Gold (stat numbers, CTAs)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Amber Gold (botones primarios)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  <w:shd w:fill="F59E0B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sz="0"/>
              <w:left w:val="none" w:sz="0"/>
              <w:bottom w:val="none" w:sz="0"/>
              <w:right w:val="none" w:sz="0"/>
            </w:tcBorders>
            <w:shd w:fill="F0FB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Regla Amber Gold — CRÍTICO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 Amber Gold (#F59E0B) es el color de mayor impacto visual de la paleta. Su poder depende de su escasez. Úsalo exclusivamente en: (1) números estadísticos prominentes y (2) botones CTA primarios. En ningún caso como fondo de sección, texto corrido, iconos decorativos o encabezados.</w:t>
            </w:r>
          </w:p>
        </w:tc>
      </w:tr>
    </w:tbl>
    <w:p>
      <w:r>
        <w:br w:type="page"/>
      </w:r>
    </w:p>
    <w:p>
      <w:pPr>
        <w:spacing w:after="60" w:before="360"/>
        <w:pBdr>
          <w:bottom w:val="single" w:color="0EA5E9" w:sz="4" w:space="4"/>
        </w:pBdr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03 — USO Y RESTRICCIONES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C1A2E"/>
          <w:sz w:val="48"/>
          <w:szCs w:val="48"/>
        </w:rPr>
        <w:t xml:space="preserve">Combinaciones Prohibidas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Las siguientes combinaciones están explícitamente prohibidas en todos los materiales de Nexostrat. Cada restricción existe por una razón funcional o perceptual.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Combinación Prohibida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Amber Gold como fondo de sección o encabezado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Satura visualmente y destruye el efecto de acento estratégico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Midnight Blue texto sobre Ocean Deep fondo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Contraste insuficiente — incumple WCAG AA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Emerald + Amber Gold juntos en el mismo elemento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Choque visual — dos colores de acento compiten entre sí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Más de 3 colores de la paleta en una composición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Fragmenta la identidad visual y reduce sofisticación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Gradientes entre colores de la paleta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Apariencia de "startup tech" inconsistente con el posicionamiento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Sky Blue como fondo de texto extenso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Fatiga visual — no cumple requisitos de contraste para cuerpo de texto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Arctic White sobre blanco puro (#FFFFFF)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Contraste insuficiente — el límite desaparece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Amber Gold en texto corrido o párrafos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Reservado exclusivamente para números clave y botones CTA</w:t>
            </w:r>
          </w:p>
        </w:tc>
      </w:tr>
    </w:tbl>
    <w:p>
      <w:r>
        <w:br w:type="page"/>
      </w:r>
    </w:p>
    <w:p>
      <w:pPr>
        <w:spacing w:after="60" w:before="360"/>
        <w:pBdr>
          <w:bottom w:val="single" w:color="0EA5E9" w:sz="4" w:space="4"/>
        </w:pBdr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04 — SISTEMA DE LOGOS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C1A2E"/>
          <w:sz w:val="48"/>
          <w:szCs w:val="48"/>
        </w:rPr>
        <w:t xml:space="preserve">Sistema de Logos</w:t>
      </w:r>
    </w:p>
    <w:p>
      <w:pPr>
        <w:shd w:fill="10B981" w:val="clear"/>
        <w:spacing w:before="60" w:after="60"/>
        <w:ind w:left="120" w:right="120"/>
      </w:pPr>
      <w:r>
        <w:rPr>
          <w:b/>
          <w:bCs/>
          <w:color w:val="FFFFFF"/>
          <w:sz w:val="16"/>
          <w:szCs w:val="16"/>
        </w:rPr>
        <w:t>✓  Sistema Finalizado · Mayo 2026</w:t>
      </w:r>
    </w:p>
    <w:p>
      <w:pPr>
        <w:spacing w:before="120" w:after="160"/>
      </w:pPr>
      <w:r>
        <w:rPr>
          <w:color w:val="0C1A2E"/>
          <w:sz w:val="20"/>
          <w:szCs w:val="20"/>
        </w:rPr>
        <w:t xml:space="preserve">El sistema de logos de Nexostrat está finalizado. El logotipo combina el wordmark tipográfico "nexo" con el bloque Sky Blue que contiene "strat", reforzando visualmente la promesa de marca: nexo (conexión) + strat (estrategia). Se han definido variantes para todos los contextos de uso.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shd w:fill="F0FBF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60" w:after="60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474720" cy="768874"/>
                  <wp:effectExtent l="0" t="0" r="0" b="0"/>
                  <wp:docPr id="27" name="logo_arctic" descr="logo_arct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logo_arctic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768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>Logo principal · Fondos claros y blancos</w:t>
            </w:r>
          </w:p>
        </w:tc>
      </w:tr>
      <w:tr>
        <w:tc>
          <w:tcPr>
            <w:tcW w:type="dxa" w:w="9360"/>
            <w:shd w:fill="0C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60" w:after="60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474720" cy="768874"/>
                  <wp:effectExtent l="0" t="0" r="0" b="0"/>
                  <wp:docPr id="28" name="logo_midnight" descr="logo_midn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logo_midnight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768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>Logo sobre Midnight Blue · Material premium y portadas</w:t>
            </w:r>
          </w:p>
        </w:tc>
      </w:tr>
      <w:tr>
        <w:tc>
          <w:tcPr>
            <w:tcW w:type="dxa" w:w="9360"/>
            <w:shd w:fill="0EA5E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60" w:after="60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474720" cy="768874"/>
                  <wp:effectExtent l="0" t="0" r="0" b="0"/>
                  <wp:docPr id="29" name="logo_skyblue" descr="logo_skybl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logo_skyblue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768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>Logo sobre Sky Blue · Fondos de acento de marca</w:t>
            </w:r>
          </w:p>
        </w:tc>
      </w:tr>
      <w:tr>
        <w:tc>
          <w:tcPr>
            <w:tcW w:type="dxa" w:w="9360"/>
            <w:shd w:fill="FFFFF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60" w:after="60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474720" cy="768874"/>
                  <wp:effectExtent l="0" t="0" r="0" b="0"/>
                  <wp:docPr id="30" name="logo_mono_dark" descr="logo_mono_d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logo_mono_dark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768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>Versión monocromática oscura · Uso en escala de grises o impresión B&amp;W</w:t>
            </w:r>
          </w:p>
        </w:tc>
      </w:tr>
      <w:tr>
        <w:tc>
          <w:tcPr>
            <w:tcW w:type="dxa" w:w="9360"/>
            <w:shd w:fill="0C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60" w:after="60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474720" cy="768874"/>
                  <wp:effectExtent l="0" t="0" r="0" b="0"/>
                  <wp:docPr id="31" name="logo_mono_light" descr="logo_mono_l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logo_mono_light"/>
                          <pic:cNvPicPr/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768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>Versión monocromática clara · Fondos oscuros sin color de marca</w:t>
            </w:r>
          </w:p>
        </w:tc>
      </w:tr>
    </w:tbl>
    <w:p>
      <w:pPr>
        <w:spacing w:before="60" w:after="60"/>
      </w:pPr>
      <w:r>
        <w:rPr>
          <w:color w:val="0C1A2E"/>
          <w:sz w:val="20"/>
          <w:szCs w:val="20"/>
        </w:rPr>
        <w:t xml:space="preserve"/>
      </w:r>
    </w:p>
    <w:p>
      <w:pPr>
        <w:pStyle w:val="Normal"/>
        <w:spacing w:before="240" w:after="120"/>
      </w:pPr>
      <w:r>
        <w:rPr>
          <w:b/>
          <w:bCs/>
          <w:color w:val="0C1A2E"/>
          <w:sz w:val="28"/>
          <w:szCs w:val="28"/>
        </w:rPr>
        <w:t>Variante Ícono</w:t>
      </w:r>
    </w:p>
    <w:p>
      <w:pPr>
        <w:spacing w:before="80" w:after="120"/>
      </w:pPr>
      <w:r>
        <w:rPr>
          <w:color w:val="0C1A2E"/>
          <w:sz w:val="20"/>
          <w:szCs w:val="20"/>
        </w:rPr>
        <w:t xml:space="preserve">Para espacios reducidos — avatares, favicons, app icons, badges y sellos — se usa el ícono cuadrado. La "n" ocupa el bloque superior; "strat" aparece en la banda de color inferior.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>
        <w:tc>
          <w:tcPr>
            <w:tcW w:type="dxa" w:w="4680"/>
            <w:shd w:fill="0C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280160" cy="1488558"/>
                  <wp:effectExtent l="0" t="0" r="0" b="0"/>
                  <wp:docPr id="32" name="icono_midnight" descr="icono_midn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cono_midnight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488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shd w:fill="0D4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280160" cy="1488558"/>
                  <wp:effectExtent l="0" t="0" r="0" b="0"/>
                  <wp:docPr id="33" name="icono_ocean" descr="icono_oce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cono_ocean"/>
                          <pic:cNvPicPr/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488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>Ícono · Fondo Midnight Blue</w:t>
            </w:r>
          </w:p>
        </w:tc>
        <w:tc>
          <w:tcPr>
            <w:tcW w:type="dxa" w:w="4680"/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>Ícono · Fondo Ocean Deep</w:t>
            </w:r>
          </w:p>
        </w:tc>
      </w:tr>
    </w:tbl>
    <w:p>
      <w:pPr>
        <w:spacing w:before="60" w:after="60"/>
      </w:pPr>
      <w:r>
        <w:rPr>
          <w:color w:val="0C1A2E"/>
          <w:sz w:val="20"/>
          <w:szCs w:val="20"/>
        </w:rPr>
        <w:t xml:space="preserve"/>
      </w:r>
    </w:p>
    <w:p>
      <w:pPr>
        <w:pStyle w:val="Normal"/>
        <w:spacing w:before="240" w:after="120"/>
      </w:pPr>
      <w:r>
        <w:rPr>
          <w:b/>
          <w:bCs/>
          <w:color w:val="0C1A2E"/>
          <w:sz w:val="28"/>
          <w:szCs w:val="28"/>
        </w:rPr>
        <w:t>Variantes del Sistema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shd w:fill="0C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0FBFF"/>
                <w:sz w:val="18"/>
                <w:szCs w:val="18"/>
              </w:rPr>
              <w:t>Archivo</w:t>
            </w:r>
          </w:p>
        </w:tc>
        <w:tc>
          <w:tcPr>
            <w:tcW w:type="dxa" w:w="2800"/>
            <w:shd w:fill="0C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0FBFF"/>
                <w:sz w:val="18"/>
                <w:szCs w:val="18"/>
              </w:rPr>
              <w:t>Variante</w:t>
            </w:r>
          </w:p>
        </w:tc>
        <w:tc>
          <w:tcPr>
            <w:tcW w:type="dxa" w:w="4560"/>
            <w:shd w:fill="0C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0FBFF"/>
                <w:sz w:val="18"/>
                <w:szCs w:val="18"/>
              </w:rPr>
              <w:t>Uso recomendado</w:t>
            </w:r>
          </w:p>
        </w:tc>
      </w:tr>
      <w:tr>
        <w:tc>
          <w:tcPr>
            <w:tcW w:type="dxa" w:w="2000"/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  <w:rFonts w:ascii="Courier New" w:hAnsi="Courier New"/>
              </w:rPr>
              <w:t xml:space="preserve">Nexostrat_Logo_Fondo_Arctic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</w:rPr>
              <w:t>Lockup · Fondo Arctic</w:t>
            </w:r>
          </w:p>
        </w:tc>
        <w:tc>
          <w:tcPr>
            <w:tcW w:type="dxa" w:w="4560"/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6B7280"/>
                <w:sz w:val="16"/>
                <w:szCs w:val="16"/>
              </w:rPr>
              <w:t>Uso principal en web, documentos, fondos blancos o claros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  <w:rFonts w:ascii="Courier New" w:hAnsi="Courier New"/>
              </w:rPr>
              <w:t xml:space="preserve">Nexostrat_Logo_Fondo_Midnight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</w:rPr>
              <w:t>Lockup · Fondo Midnight</w:t>
            </w:r>
          </w:p>
        </w:tc>
        <w:tc>
          <w:tcPr>
            <w:tcW w:type="dxa" w:w="4560"/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6B7280"/>
                <w:sz w:val="16"/>
                <w:szCs w:val="16"/>
              </w:rPr>
              <w:t>Portadas, material premium, fondos oscuros de marca</w:t>
            </w:r>
          </w:p>
        </w:tc>
      </w:tr>
      <w:tr>
        <w:tc>
          <w:tcPr>
            <w:tcW w:type="dxa" w:w="2000"/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  <w:rFonts w:ascii="Courier New" w:hAnsi="Courier New"/>
              </w:rPr>
              <w:t xml:space="preserve">Nexostrat_Logo_Fondo_SkyBlue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</w:rPr>
              <w:t>Lockup · Fondo Sky Blue</w:t>
            </w:r>
          </w:p>
        </w:tc>
        <w:tc>
          <w:tcPr>
            <w:tcW w:type="dxa" w:w="4560"/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6B7280"/>
                <w:sz w:val="16"/>
                <w:szCs w:val="16"/>
              </w:rPr>
              <w:t>Banners, fondos de color de acento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  <w:rFonts w:ascii="Courier New" w:hAnsi="Courier New"/>
              </w:rPr>
              <w:t xml:space="preserve">Nexostrat_Logo_Monocromatico_Oscuro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</w:rPr>
              <w:t>Lockup · Mono Oscuro</w:t>
            </w:r>
          </w:p>
        </w:tc>
        <w:tc>
          <w:tcPr>
            <w:tcW w:type="dxa" w:w="4560"/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6B7280"/>
                <w:sz w:val="16"/>
                <w:szCs w:val="16"/>
              </w:rPr>
              <w:t>Impresión B&amp;W, bordados, serigrafía</w:t>
            </w:r>
          </w:p>
        </w:tc>
      </w:tr>
      <w:tr>
        <w:tc>
          <w:tcPr>
            <w:tcW w:type="dxa" w:w="2000"/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  <w:rFonts w:ascii="Courier New" w:hAnsi="Courier New"/>
              </w:rPr>
              <w:t xml:space="preserve">Nexostrat_Logo_Monocromatico_Claro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</w:rPr>
              <w:t>Lockup · Mono Claro</w:t>
            </w:r>
          </w:p>
        </w:tc>
        <w:tc>
          <w:tcPr>
            <w:tcW w:type="dxa" w:w="4560"/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6B7280"/>
                <w:sz w:val="16"/>
                <w:szCs w:val="16"/>
              </w:rPr>
              <w:t>Grabado, impresión sobre fondos oscuros sin tinta de color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  <w:rFonts w:ascii="Courier New" w:hAnsi="Courier New"/>
              </w:rPr>
              <w:t xml:space="preserve">Nexostrat_Icono_Midnight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</w:rPr>
              <w:t>Ícono · Fondo Midnight</w:t>
            </w:r>
          </w:p>
        </w:tc>
        <w:tc>
          <w:tcPr>
            <w:tcW w:type="dxa" w:w="4560"/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6B7280"/>
                <w:sz w:val="16"/>
                <w:szCs w:val="16"/>
              </w:rPr>
              <w:t>Avatar, favicon 512px, app icon, espacio reducido</w:t>
            </w:r>
          </w:p>
        </w:tc>
      </w:tr>
      <w:tr>
        <w:tc>
          <w:tcPr>
            <w:tcW w:type="dxa" w:w="2000"/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  <w:rFonts w:ascii="Courier New" w:hAnsi="Courier New"/>
              </w:rPr>
              <w:t xml:space="preserve">Nexostrat_Icono_Ocean_Deep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0C1A2E"/>
                <w:sz w:val="16"/>
                <w:szCs w:val="16"/>
              </w:rPr>
              <w:t>Ícono · Fondo Ocean Deep</w:t>
            </w:r>
          </w:p>
        </w:tc>
        <w:tc>
          <w:tcPr>
            <w:tcW w:type="dxa" w:w="4560"/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6B7280"/>
                <w:sz w:val="16"/>
                <w:szCs w:val="16"/>
              </w:rPr>
              <w:t>Variante de ícono sobre fondos azules profundos</w:t>
            </w:r>
          </w:p>
        </w:tc>
      </w:tr>
    </w:tbl>
    <w:p>
      <w:pPr>
        <w:spacing w:before="120" w:after="80"/>
      </w:pPr>
      <w:r>
        <w:rPr>
          <w:color w:val="6B7280"/>
          <w:sz w:val="18"/>
          <w:szCs w:val="18"/>
        </w:rPr>
        <w:t xml:space="preserve">Todos los archivos están disponibles en formatos PNG (fondo sólido) y PNG transparente. Usar siempre la variante correcta según el fondo de la superficie de aplicación.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4A6B"/>
          <w:sz w:val="22"/>
          <w:szCs w:val="22"/>
        </w:rPr>
        <w:t xml:space="preserve">Zona de Protección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logo debe tener siempre un espacio de protección igual a la altura de la letra "N" en todas sus variantes. Ningún elemento ajeno debe entrar en esa zona.</w:t>
      </w:r>
    </w:p>
    <w:p>
      <w:r>
        <w:br w:type="page"/>
      </w:r>
    </w:p>
    <w:p>
      <w:pPr>
        <w:spacing w:after="60" w:before="360"/>
        <w:pBdr>
          <w:bottom w:val="single" w:color="0EA5E9" w:sz="4" w:space="4"/>
        </w:pBdr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05 — TIPOGRAFÍA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C1A2E"/>
          <w:sz w:val="48"/>
          <w:szCs w:val="48"/>
        </w:rPr>
        <w:t xml:space="preserve">Sistema Tipográfico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Nexostrat usa sistemas tipográficos diferenciados por canal: uno optimizado para documentos impresos y uno para medios digitales. La consistencia entre canales se mantiene a través de jerarquías proporcionales y roles idénticos.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Tipografía para Documentos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4A6B"/>
          <w:sz w:val="22"/>
          <w:szCs w:val="22"/>
        </w:rPr>
        <w:t xml:space="preserve">Canal: Propuestas · Hoja de Ruta · Contratos · Informes · Presentaciones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1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Título / H1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Calibri 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28–36pt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Midnight Blue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Portada, título de sección principal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Calibri 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18–22pt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Midnight Blue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Subsecciones, encabezados de tabla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Calibri 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13–15pt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Ocean Deep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Títulos de bloque, categorías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Cuerpo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Calibri Regular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11–12pt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Dark 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Párrafos, descripciones, contenido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Calibri Regular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9–10pt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Gray 500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Notas al pie, fuentes, meta-datos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Stat / Dato Clave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Calibri 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36–52pt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Amber Gold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Números de impacto únicamente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Tipografía para Medios Digitales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4A6B"/>
          <w:sz w:val="22"/>
          <w:szCs w:val="22"/>
        </w:rPr>
        <w:t xml:space="preserve">Canal: Web · Email · Redes Sociales · Aplicaciones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1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 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40–56px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White / Midnight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Hero, portadas de sección web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 SemiBold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28–36px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Midnight Blue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Subtítulos de sección, tarjetas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 SemiBold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20–24px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Ocean Deep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Encabezados de componente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Cuerpo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 Regular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15–17px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Dark Text / Arctic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Párrafos, listas de beneficios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Label / Badge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 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11–13px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Sky Blue / Emerald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Etiquetas, indicadores, chips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CTA Button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 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15–17px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Midnight Blue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Texto de botón (fondo Amber Gold)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  <w:shd w:fill="0EA5E9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sz="0"/>
              <w:left w:val="none" w:sz="0"/>
              <w:bottom w:val="none" w:sz="0"/>
              <w:right w:val="none" w:sz="0"/>
            </w:tcBorders>
            <w:shd w:fill="F0FB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Reglas de Tipografía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1. Máximo 2 familias tipográficas en cualquier composición.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2. Nunca mezclar Calibri e Inter en el mismo canal o documento.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3. El interlineado mínimo para cuerpo de texto es 1.4× el tamaño de fuente.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4. El Amber Gold en tipografía se reserva exclusivamente para números de impacto (estadísticas, precios en contexto de valor).</w:t>
            </w:r>
          </w:p>
        </w:tc>
      </w:tr>
    </w:tbl>
    <w:p>
      <w:r>
        <w:br w:type="page"/>
      </w:r>
    </w:p>
    <w:p>
      <w:pPr>
        <w:spacing w:after="60" w:before="360"/>
        <w:pBdr>
          <w:bottom w:val="single" w:color="0EA5E9" w:sz="4" w:space="4"/>
        </w:pBdr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06 — VOZ Y TONO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C1A2E"/>
          <w:sz w:val="48"/>
          <w:szCs w:val="48"/>
        </w:rPr>
        <w:t xml:space="preserve">Voz y Tono de Marca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voz de Nexostrat es constante — siempre experta, honesta, directa. El tono varía según el contexto: más técnico en propuestas, más cercano en redes sociales, más formal en contratos. La voz define quiénes somos; el tono define cómo nos adaptamos.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Personalidad de Marca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significa para nosotros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se manifiesta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2"/>
                <w:szCs w:val="22"/>
              </w:rPr>
              <w:t xml:space="preserve">Experto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Conocemos profundamente la IA y su aplicación a PYMEs colombianas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Datos verificados, cifras concretas, proceso documentado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2"/>
                <w:szCs w:val="22"/>
              </w:rPr>
              <w:t xml:space="preserve">Honesto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Decimos lo que encontramos, aunque no sea lo que el cliente quiere escuchar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Garantía de diagnóstico, sin presión de cierre, lenguaje sin eufemismos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2"/>
                <w:szCs w:val="22"/>
              </w:rPr>
              <w:t xml:space="preserve">Transparente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El cliente siempre sabe qué esperar: entregables, tiempos y precios claramente comunicados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Precios publicados, metodología documentada, diagnóstico sin costo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2"/>
                <w:szCs w:val="22"/>
              </w:rPr>
              <w:t xml:space="preserve">Profesional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Rigor metodológico y calidad de entrega en todo contacto con el cliente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Documentos bien formateados, comunicación puntual, seguimiento consistente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2"/>
                <w:szCs w:val="22"/>
              </w:rPr>
              <w:t xml:space="preserve">Innovador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Adoptamos primero las herramientas que recomendamos; nos mantenemos un paso adelante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Herramientas actuales, casos de uso reales, propuestas concretas no genéricas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Correcto vs. Incorrecto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✓  VOZ CORRECTA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✗  VOZ INCORRECTA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"El 83% de las empresas que adoptan IA reportan incremento en ingresos — en promedio un 16%."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"¡La IA va a TRANSFORMAR tu empresa y llevarla al siguiente nivel! 🚀"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"Si al terminar el diagnóstico no identificamos al menos una oportunidad concreta, no continuamos."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"Somos los #1 en IA para PYMEs. Los mejores del mercado. No te pierdas esta oportunidad única."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"No vendemos plantillas. Cada solución se diseña sobre tu operación, tus datos y tu equipo."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"Tenemos soluciones de IA para todos los tipos de empresas y todos los presupuestos."</w:t>
            </w:r>
          </w:p>
        </w:tc>
      </w:tr>
    </w:tbl>
    <w:p>
      <w:r>
        <w:br w:type="page"/>
      </w:r>
    </w:p>
    <w:p>
      <w:pPr>
        <w:spacing w:after="60" w:before="360"/>
        <w:pBdr>
          <w:bottom w:val="single" w:color="0EA5E9" w:sz="4" w:space="4"/>
        </w:pBdr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07 — AUDIENCIA OBJETIVO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C1A2E"/>
          <w:sz w:val="48"/>
          <w:szCs w:val="48"/>
        </w:rPr>
        <w:t xml:space="preserve">Audiencia Objetivo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Perfil Principal — Decisor de PYME Colombiana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Cargo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Dueño, CEO, Gerente General o Director de Operaciones de una PYME colombiana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Tamaño empresa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 5 a 200 empleados — PYMEs en crecimiento o en proceso de formalización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Sector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Servicios, comercio, manufactura ligera, salud, educación, agencias — cualquier sector operativamente intensivo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Contexto geográfico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Colombia (principalmente Bogotá, Medellín, Cali, Barranquilla). Operamos de forma remota.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Relación con tecnología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Usa herramientas básicas (WhatsApp, Excel, Google Workspace). Curiosidad sobre IA pero sin claridad sobre cómo implementarla.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Dolor principal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Tiempo del equipo en tareas repetitivas, decisiones sin datos en tiempo real, crecimiento frenado por operación manual.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Motivación clave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Crecer sin contratar más personal. Competir con empresas más grandes. No quedarse atrás en adopción tecnológica.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Objeción frecuente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"Eso es para empresas grandes." "Es muy costoso." "No tenemos tiempo para implementarlo."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Cómo hablarle a nuestra audiencia</w:t>
      </w:r>
    </w:p>
    <w:p>
      <w:pPr>
        <w:pStyle w:val="ListParagraph"/>
        <w:spacing w:after="60" w:before="40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Usar lenguaje de negocio, no jerga técnica — hablar de "horas recuperadas" y "porcentaje de cierre", no de "modelos de lenguaje" o "automatización RPA".</w:t>
      </w:r>
    </w:p>
    <w:p>
      <w:pPr>
        <w:pStyle w:val="ListParagraph"/>
        <w:spacing w:after="60" w:before="40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Anclar siempre en resultados concretos y verificables — nunca en promesas abstractas.</w:t>
      </w:r>
    </w:p>
    <w:p>
      <w:pPr>
        <w:pStyle w:val="ListParagraph"/>
        <w:spacing w:after="60" w:before="40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Reconocer las limitaciones reales de recursos — tiempo, presupuesto, equipo pequeño — y hablar desde esa realidad.</w:t>
      </w:r>
    </w:p>
    <w:p>
      <w:pPr>
        <w:pStyle w:val="ListParagraph"/>
        <w:spacing w:after="60" w:before="40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Usar el diagnóstico gratuito como reductor de riesgo — elimina la barrera de entrada del "¿y si no funciona para mi empresa?"</w:t>
      </w:r>
    </w:p>
    <w:p>
      <w:pPr>
        <w:pStyle w:val="ListParagraph"/>
        <w:spacing w:after="60" w:before="40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El canal preferido es WhatsApp — flujo rápido, confianza alta, respuesta humana.</w:t>
      </w:r>
    </w:p>
    <w:p>
      <w:r>
        <w:br w:type="page"/>
      </w:r>
    </w:p>
    <w:p>
      <w:pPr>
        <w:spacing w:after="60" w:before="360"/>
        <w:pBdr>
          <w:bottom w:val="single" w:color="0EA5E9" w:sz="4" w:space="4"/>
        </w:pBdr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08 — APLICACIONES POR CANAL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C1A2E"/>
          <w:sz w:val="48"/>
          <w:szCs w:val="48"/>
        </w:rPr>
        <w:t xml:space="preserve">Aplicaciones por Canal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Documentos Word (.docx)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4A6B"/>
          <w:sz w:val="22"/>
          <w:szCs w:val="22"/>
        </w:rPr>
        <w:t xml:space="preserve">Propuestas · Hoja de Ruta · Informes · Contratos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 de página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Blanco puro (#FFFFFF) o Arctic White (#F0FBFF)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"NEXOSTRAT" Calibri Bold 11pt Midnight Blue + línea Sky Blue 1pt inferior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"nexostrat.com · Pág. X" Calibri 9pt Gray 500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Portada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 Midnight Blue, texto Arctic White, acento Sky Blue, logo completo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Títulos H1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Calibri Bold 28pt, Midnight Blue, sin subrayado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Callout boxes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Borde izquierdo 4pt Sky Blue + fondo Arctic White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Tablas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Header Midnight Blue / texto blanco. Filas alternas: blanco / Gray 100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Datos de impacto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Calibri Bold 36pt+ Amber Gold — uso excepcional únicamente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Presentaciones (.pptx)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4A6B"/>
          <w:sz w:val="22"/>
          <w:szCs w:val="22"/>
        </w:rPr>
        <w:t xml:space="preserve">Propuestas comerciales · Flujos de proceso · Sesiones de trabajo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Diapositiva portada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 Midnight Blue, título Arctic White en Inter Bold 48pt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Diapositivas de contenido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 Arctic White o blanco, texto Midnight Blue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Diapositivas de cifras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 Ocean Deep, número en Amber Gold Inter Bold 64pt, label en Arctic White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Iconos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Sky Blue o Emerald (nunca Amber, nunca más de 2 colores en la misma diapositiva)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CTA final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 Sky Blue oscuro, botón Amber Gold, texto Midnight Blue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Web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4A6B"/>
          <w:sz w:val="22"/>
          <w:szCs w:val="22"/>
        </w:rPr>
        <w:t xml:space="preserve">nexostrat.com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Tratamiento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Navbar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 Midnight Blue, logo Arctic White, CTA primario Amber Gold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Hero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 Midnight Blue degradado → Ocean Deep, título Inter Bold Arctic White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Secciones de contenido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Alternancia Arctic White / blanco para crear ritmo visual sin usar color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Estadísticas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Número en Amber Gold Bold 52px, label en Arctic White, fondo Ocean Deep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CTAs primarios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Amber Gold fondo + Midnight Blue texto, border-radius 8px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CTAs secundarios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Borde 1.5px Sky Blue + texto Sky Blue (outlined), fondo transparente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 Midnight Blue, texto Arctic White, links Sky Blue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C1A2E"/>
          <w:sz w:val="28"/>
          <w:szCs w:val="28"/>
        </w:rPr>
        <w:t xml:space="preserve">Redes Sociales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4A6B"/>
          <w:sz w:val="22"/>
          <w:szCs w:val="22"/>
        </w:rPr>
        <w:t xml:space="preserve">LinkedIn · WhatsApp Business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Foto de perfil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Logo NX-icon sobre fondo Midnight Blue, sin texto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Banner LinkedIn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 Midnight Blue, tagline en Arctic White, acento Sky Blue inferior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Posts con dato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 Ocean Deep, número Amber Gold Bold, texto Arctic White, logo pequeño esquina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Posts de proceso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Fondo Arctic White, íconos Sky Blue, texto Midnight Blue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Tono LinkedIn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Autoridad sin arrogancia. Datos concretos, perspectiva de experto. Sin emojis salvo excepciones.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Tono más cercano y conversacional. Respuestas directas. Nunca plantillas genéricas.</w:t>
            </w:r>
          </w:p>
        </w:tc>
      </w:tr>
    </w:tbl>
    <w:p>
      <w:r>
        <w:br w:type="page"/>
      </w:r>
    </w:p>
    <w:p>
      <w:pPr>
        <w:spacing w:after="60" w:before="360"/>
        <w:pBdr>
          <w:bottom w:val="single" w:color="0EA5E9" w:sz="4" w:space="4"/>
        </w:pBdr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09 — PROPUESTAS DE TAGLINE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C1A2E"/>
          <w:sz w:val="48"/>
          <w:szCs w:val="48"/>
        </w:rPr>
        <w:t xml:space="preserve">Taglines — Propuestas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Las siguientes propuestas capturan distintas facetas del posicionamiento de Nexostrat. Cada una está diseñada para funcionar en un contexto específico y puede ser evaluada según la dirección estratégica que se quiera priorizar.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sz="0"/>
              <w:left w:val="none" w:sz="0"/>
              <w:bottom w:val="none" w:sz="0"/>
              <w:right w:val="none" w:sz="0"/>
            </w:tcBorders>
            <w:shd w:fill="0EA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80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1A2E"/>
                <w:sz w:val="26"/>
                <w:szCs w:val="26"/>
              </w:rPr>
              <w:t xml:space="preserve">"Inteligencia que trabaja para tu negocio."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Directo, centrado en el cliente. Conecta IA con resultados concretos. Funciona como tagline general y en contextos de primer contacto.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sz="0"/>
              <w:left w:val="none" w:sz="0"/>
              <w:bottom w:val="none" w:sz="0"/>
              <w:right w:val="none" w:sz="0"/>
            </w:tcBorders>
            <w:shd w:fill="0EA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80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1A2E"/>
                <w:sz w:val="26"/>
                <w:szCs w:val="26"/>
              </w:rPr>
              <w:t xml:space="preserve">"La IA que las corporaciones ya usan — para tu PYME."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Apela directamente a la asimetría que Nexostrat resuelve. Genera aspiración y urgencia. Más efectivo en LinkedIn y en la web hero.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sz="0"/>
              <w:left w:val="none" w:sz="0"/>
              <w:bottom w:val="none" w:sz="0"/>
              <w:right w:val="none" w:sz="0"/>
            </w:tcBorders>
            <w:shd w:fill="0EA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80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1A2E"/>
                <w:sz w:val="26"/>
                <w:szCs w:val="26"/>
              </w:rPr>
              <w:t xml:space="preserve">"De la operación al crecimiento, con IA."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Marca el arco de transformación: del problema (operación manual) al resultado (crecimiento). Ideal para propuestas y materiales de proceso.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sz="0"/>
              <w:left w:val="none" w:sz="0"/>
              <w:bottom w:val="none" w:sz="0"/>
              <w:right w:val="none" w:sz="0"/>
            </w:tcBorders>
            <w:shd w:fill="0EA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80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1A2E"/>
                <w:sz w:val="26"/>
                <w:szCs w:val="26"/>
              </w:rPr>
              <w:t xml:space="preserve">"Estrategia clara. IA aplicada. Resultados desde la primera semana."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Más larga pero extremadamente específica. Ideal para CTAs contextuales en web, correos de seguimiento o presentaciones.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sz="0"/>
              <w:left w:val="none" w:sz="0"/>
              <w:bottom w:val="none" w:sz="0"/>
              <w:right w:val="none" w:sz="0"/>
            </w:tcBorders>
            <w:shd w:fill="0EA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80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1A2E"/>
                <w:sz w:val="26"/>
                <w:szCs w:val="26"/>
              </w:rPr>
              <w:t xml:space="preserve">"No vendemos tecnología. Vendemos resultados."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El más disruptivo — desafía la norma del sector. Genera contraste con competidores que solo hablan de herramientas. Funciona para LinkedIn y email.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  <w:shd w:fill="0EA5E9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sz="0"/>
              <w:left w:val="none" w:sz="0"/>
              <w:bottom w:val="none" w:sz="0"/>
              <w:right w:val="none" w:sz="0"/>
            </w:tcBorders>
            <w:shd w:fill="F0FB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Criterio de selección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 tagline definitivo debe: (1) sobrevivir en una tarjeta de presentación, (2) funcionar como headline en la web, y (3) poder ser dicho en voz alta en una llamada sin sonar forzado. Se recomienda hacer pruebas de reacción con 3-5 clientes actuales antes de seleccionar el definitivo.</w:t>
            </w:r>
          </w:p>
        </w:tc>
      </w:tr>
    </w:tbl>
    <w:p>
      <w:r>
        <w:br w:type="page"/>
      </w:r>
    </w:p>
    <w:p>
      <w:pPr>
        <w:spacing w:after="60" w:before="360"/>
        <w:pBdr>
          <w:bottom w:val="single" w:color="0EA5E9" w:sz="4" w:space="4"/>
        </w:pBdr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10 — CHECKLIST DE MARCA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0C1A2E"/>
          <w:sz w:val="48"/>
          <w:szCs w:val="48"/>
        </w:rPr>
        <w:t xml:space="preserve">Checklist de Consistencia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Antes de publicar o entregar cualquier material de Nexostrat, verificar que cumple con los siguientes criterios: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de Consistencia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Los colores usados pertenecen exclusivamente a la paleta Aurora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El Amber Gold aparece SOLO en números estadísticos o botones CTA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 se usan más de 3 colores en ninguna composición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tipografía es Calibri (documentos) o Inter (digital) — no mezcladas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El logo está en su variante correcta según el fondo (oscuro/claro)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El tono es directo, específico y basado en datos — sin superlativos vacíos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Las estadísticas tienen fuente citada (Microsoft LatAm 2024, SAP 2025, IT Reseller 2024)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 hay menciones a México — solo Colombia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El diagnóstico gratuito está correctamente referenciado donde aplica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frase "no vendemos plantillas" está presente en contextos relevantes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El precio de la Hoja de Ruta (desde COP $900.000) está correctamente indicado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garantía del diagnóstico está visible cerca de cada CTA primario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320" w:before="480"/>
        <w:jc w:val="center"/>
      </w:pPr>
      <w:r>
        <w:rPr>
          <w:rFonts w:ascii="Calibri" w:cs="Calibri" w:eastAsia="Calibri" w:hAnsi="Calibri"/>
          <w:i/>
          <w:iCs/>
          <w:color w:val="0EA5E9"/>
          <w:sz w:val="36"/>
          <w:szCs w:val="36"/>
        </w:rPr>
        <w:t xml:space="preserve">Crece sin contratar. Escala sin complicarte.</w:t>
      </w:r>
    </w:p>
    <w:p>
      <w:pPr>
        <w:spacing w:after="120" w:before="120"/>
        <w:pBdr>
          <w:bottom w:val="single" w:color="D1D5DB" w:sz="2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0C1A2E"/>
          <w:sz w:val="24"/>
          <w:szCs w:val="24"/>
        </w:rPr>
        <w:t xml:space="preserve">NEXOSTRAT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nexostrat.com  ·  contacto@nexostrat.com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Brand Identity Guide v1.0  ·  Documento Confidencial  ·  Mayo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720"/>
      </w:tabs>
    </w:pPr>
    <w:r>
      <w:rPr>
        <w:rFonts w:ascii="Calibri" w:cs="Calibri" w:eastAsia="Calibri" w:hAnsi="Calibri"/>
        <w:color w:val="6B7280"/>
        <w:sz w:val="18"/>
        <w:szCs w:val="18"/>
      </w:rPr>
      <w:t xml:space="preserve">nexostrat.com</w:t>
    </w:r>
    <w:r>
      <w:t xml:space="preserve">	</w:t>
    </w:r>
    <w:r>
      <w:rPr>
        <w:rFonts w:ascii="Calibri" w:cs="Calibri" w:eastAsia="Calibri" w:hAnsi="Calibri"/>
        <w:color w:val="6B7280"/>
        <w:sz w:val="18"/>
        <w:szCs w:val="18"/>
      </w:rPr>
      <w:t xml:space="preserve">Página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  <w:tabs>
        <w:tab w:val="right" w:pos="9720"/>
      </w:tabs>
    </w:pPr>
    <w:r>
      <w:rPr>
        <w:rFonts w:ascii="Calibri" w:cs="Calibri" w:eastAsia="Calibri" w:hAnsi="Calibri"/>
        <w:b/>
        <w:bCs/>
        <w:color w:val="0C1A2E"/>
        <w:sz w:val="18"/>
        <w:szCs w:val="18"/>
      </w:rPr>
      <w:t xml:space="preserve">NEXOSTRAT</w:t>
    </w:r>
    <w:r>
      <w:rPr>
        <w:rFonts w:ascii="Calibri" w:cs="Calibri" w:eastAsia="Calibri" w:hAnsi="Calibri"/>
        <w:color w:val="6B7280"/>
        <w:sz w:val="18"/>
        <w:szCs w:val="18"/>
      </w:rPr>
      <w:t xml:space="preserve">  ·  Brand Identity Guide</w:t>
    </w:r>
    <w:r/>
    <w:r>
      <w:rPr>
        <w:rFonts w:ascii="Calibri" w:cs="Calibri" w:eastAsia="Calibri" w:hAnsi="Calibri"/>
        <w:color w:val="6B7280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0C1A2E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C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D4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Nexostrat_Logo_Fondo_Arctic.png"/><Relationship Id="rId11" Type="http://schemas.openxmlformats.org/officeDocument/2006/relationships/image" Target="media/Nexostrat_Logo_Fondo_Midnight.png"/><Relationship Id="rId12" Type="http://schemas.openxmlformats.org/officeDocument/2006/relationships/image" Target="media/Nexostrat_Logo_Fondo_SkyBlue.png"/><Relationship Id="rId13" Type="http://schemas.openxmlformats.org/officeDocument/2006/relationships/image" Target="media/Nexostrat_Logo_Monocromatico_Oscuro.png"/><Relationship Id="rId14" Type="http://schemas.openxmlformats.org/officeDocument/2006/relationships/image" Target="media/Nexostrat_Logo_Monocromatico_Claro.png"/><Relationship Id="rId15" Type="http://schemas.openxmlformats.org/officeDocument/2006/relationships/image" Target="media/Nexostrat_Icono_Midnight.png"/><Relationship Id="rId16" Type="http://schemas.openxmlformats.org/officeDocument/2006/relationships/image" Target="media/Nexostrat_Icono_Ocean_Deep.png"/><Relationship Id="rId17" Type="http://schemas.openxmlformats.org/officeDocument/2006/relationships/image" Target="media/Nexostrat_Logo_Fondo_Midnight_Transparente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2026-05-15T09:57:05.247Z</dcterms:created>
  <dcterms:modified xsi:type="dcterms:W3CDTF">2026-05-15T09:57:05.247Z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