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2E4A"/>
          <w:sz w:val="52"/>
        </w:rPr>
        <w:t>ANÁLISIS DE COMPAÑÍA: CONSTRUCTORA ASCENSO S.A.S.</w:t>
      </w:r>
    </w:p>
    <w:p>
      <w:pPr>
        <w:jc w:val="center"/>
      </w:pPr>
      <w:r>
        <w:rPr>
          <w:i/>
          <w:color w:val="556577"/>
          <w:sz w:val="20"/>
        </w:rPr>
        <w:t>Nexostrat — Uso Interno  ·  17 May 2026</w:t>
      </w:r>
    </w:p>
    <w:p>
      <w:r>
        <w:br w:type="page"/>
      </w:r>
    </w:p>
    <w:p>
      <w:pPr>
        <w:spacing w:before="20" w:after="60"/>
      </w:pPr>
      <w:r>
        <w:rPr>
          <w:b/>
          <w:color w:val="1A1A1A"/>
          <w:sz w:val="20"/>
        </w:rPr>
        <w:t>Clasificación:</w:t>
      </w:r>
      <w:r>
        <w:rPr>
          <w:color w:val="1A1A1A"/>
          <w:sz w:val="20"/>
        </w:rPr>
        <w:t xml:space="preserve"> Interno — Uso exclusivo Nexostrat</w:t>
      </w:r>
    </w:p>
    <w:p>
      <w:pPr>
        <w:spacing w:before="20" w:after="60"/>
      </w:pPr>
      <w:r>
        <w:rPr>
          <w:b/>
          <w:color w:val="1A1A1A"/>
          <w:sz w:val="20"/>
        </w:rPr>
        <w:t>Fecha de análisis:</w:t>
      </w:r>
      <w:r>
        <w:rPr>
          <w:color w:val="1A1A1A"/>
          <w:sz w:val="20"/>
        </w:rPr>
        <w:t xml:space="preserve"> 2026-05-17</w:t>
      </w:r>
    </w:p>
    <w:p>
      <w:pPr>
        <w:spacing w:before="20" w:after="60"/>
      </w:pPr>
      <w:r>
        <w:rPr>
          <w:b/>
          <w:color w:val="1A1A1A"/>
          <w:sz w:val="20"/>
        </w:rPr>
        <w:t>Analista:</w:t>
      </w:r>
      <w:r>
        <w:rPr>
          <w:color w:val="1A1A1A"/>
          <w:sz w:val="20"/>
        </w:rPr>
        <w:t xml:space="preserve"> Skill de Análisis de Compañías v1</w:t>
      </w:r>
    </w:p>
    <w:p>
      <w:pPr>
        <w:spacing w:before="20" w:after="60"/>
      </w:pPr>
      <w:r>
        <w:rPr>
          <w:b/>
          <w:color w:val="1A1A1A"/>
          <w:sz w:val="20"/>
        </w:rPr>
        <w:t>NIT:</w:t>
      </w:r>
      <w:r>
        <w:rPr>
          <w:color w:val="1A1A1A"/>
          <w:sz w:val="20"/>
        </w:rPr>
        <w:t xml:space="preserve"> 901.042.249</w:t>
      </w:r>
    </w:p>
    <w:p>
      <w:pPr>
        <w:spacing w:before="20" w:after="60"/>
      </w:pPr>
      <w:r>
        <w:rPr>
          <w:b/>
          <w:color w:val="1A1A1A"/>
          <w:sz w:val="20"/>
        </w:rPr>
        <w:t>CIIU:</w:t>
      </w:r>
      <w:r>
        <w:rPr>
          <w:color w:val="1A1A1A"/>
          <w:sz w:val="20"/>
        </w:rPr>
        <w:t xml:space="preserve"> F4111 — Construcción de edificios residenciales</w:t>
      </w:r>
    </w:p>
    <w:p>
      <w:pPr>
        <w:spacing w:before="20" w:after="60"/>
      </w:pPr>
      <w:r>
        <w:rPr>
          <w:b/>
          <w:color w:val="1A1A1A"/>
          <w:sz w:val="20"/>
        </w:rPr>
        <w:t>Sector:</w:t>
      </w:r>
      <w:r>
        <w:rPr>
          <w:color w:val="1A1A1A"/>
          <w:sz w:val="20"/>
        </w:rPr>
        <w:t xml:space="preserve"> Construcción residencial — Vivienda de Interés Social (VIS), NO VIS y turística</w:t>
      </w:r>
    </w:p>
    <w:p>
      <w:pPr>
        <w:spacing w:before="280" w:after="60"/>
        <w:pBdr>
          <w:bottom w:val="single" w:sz="4" w:space="1" w:color="007AC3"/>
        </w:pBdr>
      </w:pPr>
      <w:r>
        <w:rPr>
          <w:b/>
          <w:color w:val="007AC3"/>
          <w:sz w:val="28"/>
        </w:rPr>
        <w:t>1. PERFIL GENERAL</w:t>
      </w:r>
    </w:p>
    <w:p>
      <w:pPr>
        <w:spacing w:before="20" w:after="60"/>
      </w:pPr>
      <w:r>
        <w:rPr>
          <w:b/>
          <w:color w:val="1A1A1A"/>
          <w:sz w:val="20"/>
        </w:rPr>
        <w:t>Historia y fundación:</w:t>
      </w:r>
      <w:r>
        <w:rPr>
          <w:color w:val="1A1A1A"/>
          <w:sz w:val="20"/>
        </w:rPr>
        <w:t xml:space="preserve"> Constituida formalmente el </w:t>
      </w:r>
      <w:r>
        <w:rPr>
          <w:b/>
          <w:color w:val="1A1A1A"/>
          <w:sz w:val="20"/>
        </w:rPr>
        <w:t>22 de diciembre de 2016</w:t>
      </w:r>
      <w:r>
        <w:rPr>
          <w:color w:val="1A1A1A"/>
          <w:sz w:val="20"/>
        </w:rPr>
        <w:t>. Aproximadamente 9 años de operación. Marca comercial "Ascenso" — también se identifica como "Ascenso Ingeniería" en Facebook y "Ascenso Construcción y Desarrollo" en algunas comunicaciones.</w:t>
      </w:r>
    </w:p>
    <w:p>
      <w:pPr>
        <w:spacing w:before="20" w:after="60"/>
      </w:pPr>
      <w:r>
        <w:rPr>
          <w:b/>
          <w:color w:val="1A1A1A"/>
          <w:sz w:val="20"/>
        </w:rPr>
        <w:t>Fundadores / Directivos:</w:t>
      </w:r>
      <w:r>
        <w:rPr>
          <w:color w:val="1A1A1A"/>
          <w:sz w:val="20"/>
        </w:rPr>
        <w:t xml:space="preserve"> No identificados con nombre propio en fuentes públicas consultadas (web, RUES, redes). Es un gap importante que debe levantarse en pre-reunión vía LinkedIn directo o referencia.</w:t>
      </w:r>
    </w:p>
    <w:p>
      <w:pPr>
        <w:spacing w:before="20" w:after="60"/>
      </w:pPr>
      <w:r>
        <w:rPr>
          <w:b/>
          <w:color w:val="1A1A1A"/>
          <w:sz w:val="20"/>
        </w:rPr>
        <w:t>Sede principal:</w:t>
      </w:r>
      <w:r>
        <w:rPr>
          <w:color w:val="1A1A1A"/>
          <w:sz w:val="20"/>
        </w:rPr>
        <w:t xml:space="preserve"> Calle 2 # 20-50, Edificio Q Office (Oficina 607), Medellín, Antioquia.</w:t>
      </w:r>
    </w:p>
    <w:p>
      <w:pPr>
        <w:spacing w:before="20" w:after="60"/>
      </w:pPr>
      <w:r>
        <w:rPr>
          <w:b/>
          <w:color w:val="1A1A1A"/>
          <w:sz w:val="20"/>
        </w:rPr>
        <w:t>Cobertura geográfica:</w:t>
      </w:r>
      <w:r>
        <w:rPr>
          <w:color w:val="1A1A1A"/>
          <w:sz w:val="20"/>
        </w:rPr>
        <w:t xml:space="preserve"> Medellín, Sabaneta, Itagüí (Valle de Aburrá), Cartagena (Bolívar), Coveñas (Sucre) y Montería (Córdoba). Foco principal sur del Valle de Aburrá + corredor caribe-turístico.</w:t>
      </w:r>
    </w:p>
    <w:p>
      <w:pPr>
        <w:spacing w:before="20" w:after="60"/>
      </w:pPr>
      <w:r>
        <w:rPr>
          <w:b/>
          <w:color w:val="1A1A1A"/>
          <w:sz w:val="20"/>
        </w:rPr>
        <w:t>Tamaño estimado:</w:t>
      </w:r>
      <w:r>
        <w:rPr>
          <w:color w:val="1A1A1A"/>
          <w:sz w:val="20"/>
        </w:rPr>
        <w:t xml:space="preserve"> Clasificada como "</w:t>
      </w:r>
      <w:r>
        <w:rPr>
          <w:b/>
          <w:color w:val="1A1A1A"/>
          <w:sz w:val="20"/>
        </w:rPr>
        <w:t>Large</w:t>
      </w:r>
      <w:r>
        <w:rPr>
          <w:color w:val="1A1A1A"/>
          <w:sz w:val="20"/>
        </w:rPr>
        <w:t xml:space="preserve">" por directorios empresariales (informacolombia / larepublica empresas), pero </w:t>
      </w:r>
      <w:r>
        <w:rPr>
          <w:b/>
          <w:color w:val="1A1A1A"/>
          <w:sz w:val="20"/>
        </w:rPr>
        <w:t>no figura con estados financieros completos en Supersociedades</w:t>
      </w:r>
      <w:r>
        <w:rPr>
          <w:color w:val="1A1A1A"/>
          <w:sz w:val="20"/>
        </w:rPr>
        <w:t xml:space="preserve"> — la única coincidencia con "Ascenso" en Antioquia fue Ascensores Schindler de Colombia SAS (distinta). Por inferencia (&gt;65.000 m² desarrollados en 9 años + cobertura multi-ciudad + portafolio activo VIS), tamaño operativo de </w:t>
      </w:r>
      <w:r>
        <w:rPr>
          <w:b/>
          <w:color w:val="1A1A1A"/>
          <w:sz w:val="20"/>
        </w:rPr>
        <w:t>mediana empresa de construcción regional</w:t>
      </w:r>
      <w:r>
        <w:rPr>
          <w:color w:val="1A1A1A"/>
          <w:sz w:val="20"/>
        </w:rPr>
        <w:t>.</w:t>
      </w:r>
    </w:p>
    <w:p>
      <w:pPr>
        <w:spacing w:before="20" w:after="60"/>
      </w:pPr>
      <w:r>
        <w:rPr>
          <w:b/>
          <w:color w:val="1A1A1A"/>
          <w:sz w:val="20"/>
        </w:rPr>
        <w:t>Tipo societario:</w:t>
      </w:r>
      <w:r>
        <w:rPr>
          <w:color w:val="1A1A1A"/>
          <w:sz w:val="20"/>
        </w:rPr>
        <w:t xml:space="preserve"> S.A.S. (Sociedad por Acciones Simplificada).</w:t>
      </w:r>
    </w:p>
    <w:p>
      <w:pPr>
        <w:spacing w:before="20" w:after="60"/>
      </w:pPr>
      <w:r>
        <w:rPr>
          <w:b/>
          <w:color w:val="1A1A1A"/>
          <w:sz w:val="20"/>
        </w:rPr>
        <w:t>Estado legal:</w:t>
      </w:r>
      <w:r>
        <w:rPr>
          <w:color w:val="1A1A1A"/>
          <w:sz w:val="20"/>
        </w:rPr>
        <w:t xml:space="preserve"> </w:t>
      </w:r>
      <w:r>
        <w:rPr>
          <w:b/>
          <w:color w:val="1A1A1A"/>
          <w:sz w:val="20"/>
        </w:rPr>
        <w:t>Matrícula activa RUES</w:t>
      </w:r>
      <w:r>
        <w:rPr>
          <w:color w:val="1A1A1A"/>
          <w:sz w:val="20"/>
        </w:rPr>
        <w:t xml:space="preserve"> (vigente).</w:t>
      </w:r>
    </w:p>
    <w:p>
      <w:pPr>
        <w:spacing w:before="20" w:after="60"/>
      </w:pPr>
      <w:r>
        <w:rPr>
          <w:b/>
          <w:color w:val="1A1A1A"/>
          <w:sz w:val="20"/>
        </w:rPr>
        <w:t>Estructura corporativa:</w:t>
      </w:r>
      <w:r>
        <w:rPr>
          <w:color w:val="1A1A1A"/>
          <w:sz w:val="20"/>
        </w:rPr>
        <w:t xml:space="preserve"> Empresa independiente. Sin grupo empresarial declarado públicamente. Vínculo gremial fuerte: miembro de </w:t>
      </w:r>
      <w:r>
        <w:rPr>
          <w:b/>
          <w:color w:val="1A1A1A"/>
          <w:sz w:val="20"/>
        </w:rPr>
        <w:t>Camacol</w:t>
      </w:r>
      <w:r>
        <w:rPr>
          <w:color w:val="1A1A1A"/>
          <w:sz w:val="20"/>
        </w:rPr>
        <w:t xml:space="preserve"> (Cámara Colombiana de la Construcción), </w:t>
      </w:r>
      <w:r>
        <w:rPr>
          <w:b/>
          <w:color w:val="1A1A1A"/>
          <w:sz w:val="20"/>
        </w:rPr>
        <w:t>La Lonja</w:t>
      </w:r>
      <w:r>
        <w:rPr>
          <w:color w:val="1A1A1A"/>
          <w:sz w:val="20"/>
        </w:rPr>
        <w:t xml:space="preserve"> (Lonja de Propiedad Raíz de Medellín y Antioquia) y </w:t>
      </w:r>
      <w:r>
        <w:rPr>
          <w:b/>
          <w:color w:val="1A1A1A"/>
          <w:sz w:val="20"/>
        </w:rPr>
        <w:t>CCCS</w:t>
      </w:r>
      <w:r>
        <w:rPr>
          <w:color w:val="1A1A1A"/>
          <w:sz w:val="20"/>
        </w:rPr>
        <w:t xml:space="preserve"> (Consejo Colombiano de Construcción Sostenible).</w:t>
      </w:r>
    </w:p>
    <w:p>
      <w:pPr>
        <w:spacing w:before="20" w:after="60"/>
      </w:pPr>
      <w:r>
        <w:rPr>
          <w:color w:val="1A1A1A"/>
          <w:sz w:val="20"/>
        </w:rPr>
        <w:t>Fuentes consultadas: ascenso.co, empresas.larepublica.co/colombia/antioquia/medellin/constructora-ascenso-s-a-s-901042249, cccs.org.co/directorio/constructora-ascenso, informacolombia.com.</w:t>
      </w:r>
    </w:p>
    <w:p>
      <w:pPr>
        <w:spacing w:before="280" w:after="60"/>
        <w:pBdr>
          <w:bottom w:val="single" w:sz="4" w:space="1" w:color="007AC3"/>
        </w:pBdr>
      </w:pPr>
      <w:r>
        <w:rPr>
          <w:b/>
          <w:color w:val="007AC3"/>
          <w:sz w:val="28"/>
        </w:rPr>
        <w:t>2. PRODUCTOS Y SERVICIOS</w:t>
      </w:r>
    </w:p>
    <w:p>
      <w:pPr>
        <w:spacing w:before="80" w:after="40"/>
      </w:pPr>
      <w:r>
        <w:rPr>
          <w:b/>
          <w:color w:val="1A2E4A"/>
          <w:sz w:val="20"/>
        </w:rPr>
        <w:t>Portafolio principal:</w:t>
      </w:r>
    </w:p>
    <w:p>
      <w:pPr>
        <w:spacing w:before="20" w:after="60"/>
      </w:pPr>
      <w:r>
        <w:rPr>
          <w:color w:val="1A1A1A"/>
          <w:sz w:val="20"/>
        </w:rPr>
        <w:t>Tres líneas de producto:</w:t>
      </w:r>
    </w:p>
    <w:p>
      <w:pPr>
        <w:pStyle w:val="ListNumber"/>
        <w:spacing w:before="0" w:after="40"/>
      </w:pPr>
      <w:r>
        <w:rPr>
          <w:b/>
          <w:color w:val="1A1A1A"/>
          <w:sz w:val="20"/>
        </w:rPr>
        <w:t>VIS — Vivienda de Interés Social.</w:t>
      </w:r>
      <w:r>
        <w:rPr>
          <w:color w:val="1A1A1A"/>
          <w:sz w:val="20"/>
        </w:rPr>
        <w:t xml:space="preserve"> Línea core actual. Proyectos en municipios del Valle de Aburrá sur (Sabaneta, Itagüí) y otras ciudades. Apartamentos de tamaño y precio compatible con el tope VIS regulado (~135 SMMLV).</w:t>
      </w:r>
    </w:p>
    <w:p>
      <w:pPr>
        <w:pStyle w:val="ListNumber"/>
        <w:spacing w:before="0" w:after="40"/>
      </w:pPr>
      <w:r>
        <w:rPr>
          <w:b/>
          <w:color w:val="1A1A1A"/>
          <w:sz w:val="20"/>
        </w:rPr>
        <w:t>NO VIS — Vivienda de gama media-alta.</w:t>
      </w:r>
      <w:r>
        <w:rPr>
          <w:color w:val="1A1A1A"/>
          <w:sz w:val="20"/>
        </w:rPr>
        <w:t xml:space="preserve"> Línea complementaria. Apartamentos y proyectos mixed-use de mayor valor.</w:t>
      </w:r>
    </w:p>
    <w:p>
      <w:pPr>
        <w:pStyle w:val="ListNumber"/>
        <w:spacing w:before="0" w:after="40"/>
      </w:pPr>
      <w:r>
        <w:rPr>
          <w:b/>
          <w:color w:val="1A1A1A"/>
          <w:sz w:val="20"/>
        </w:rPr>
        <w:t>Turística.</w:t>
      </w:r>
      <w:r>
        <w:rPr>
          <w:color w:val="1A1A1A"/>
          <w:sz w:val="20"/>
        </w:rPr>
        <w:t xml:space="preserve"> Proyectos de segunda vivienda / turismo en Cartagena y Coveñas.</w:t>
      </w:r>
    </w:p>
    <w:p>
      <w:pPr>
        <w:spacing w:before="80" w:after="40"/>
      </w:pPr>
      <w:r>
        <w:rPr>
          <w:b/>
          <w:color w:val="1A2E4A"/>
          <w:sz w:val="20"/>
        </w:rPr>
        <w:t>Proyectos identificados en sitio web:</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Proyecto</w:t>
            </w:r>
          </w:p>
        </w:tc>
        <w:tc>
          <w:tcPr>
            <w:tcW w:type="dxa" w:w="1813"/>
            <w:shd w:val="clear" w:color="auto" w:fill="1A2E4A"/>
          </w:tcPr>
          <w:p>
            <w:pPr>
              <w:spacing w:before="40" w:after="40"/>
            </w:pPr>
            <w:r>
              <w:rPr>
                <w:b/>
                <w:color w:val="FFFFFF"/>
                <w:sz w:val="18"/>
              </w:rPr>
              <w:t>Ciudad</w:t>
            </w:r>
          </w:p>
        </w:tc>
        <w:tc>
          <w:tcPr>
            <w:tcW w:type="dxa" w:w="1813"/>
            <w:shd w:val="clear" w:color="auto" w:fill="1A2E4A"/>
          </w:tcPr>
          <w:p>
            <w:pPr>
              <w:spacing w:before="40" w:after="40"/>
            </w:pPr>
            <w:r>
              <w:rPr>
                <w:b/>
                <w:color w:val="FFFFFF"/>
                <w:sz w:val="18"/>
              </w:rPr>
              <w:t>Segmento</w:t>
            </w:r>
          </w:p>
        </w:tc>
        <w:tc>
          <w:tcPr>
            <w:tcW w:type="dxa" w:w="1813"/>
            <w:shd w:val="clear" w:color="auto" w:fill="1A2E4A"/>
          </w:tcPr>
          <w:p>
            <w:pPr>
              <w:spacing w:before="40" w:after="40"/>
            </w:pPr>
            <w:r>
              <w:rPr>
                <w:b/>
                <w:color w:val="FFFFFF"/>
                <w:sz w:val="18"/>
              </w:rPr>
              <w:t>Estado</w:t>
            </w:r>
          </w:p>
        </w:tc>
        <w:tc>
          <w:tcPr>
            <w:tcW w:type="dxa" w:w="1813"/>
            <w:shd w:val="clear" w:color="auto" w:fill="1A2E4A"/>
          </w:tcPr>
          <w:p>
            <w:pPr>
              <w:spacing w:before="40" w:after="40"/>
            </w:pPr>
            <w:r>
              <w:rPr>
                <w:b/>
                <w:color w:val="FFFFFF"/>
                <w:sz w:val="18"/>
              </w:rPr>
              <w:t>Precio desde</w:t>
            </w:r>
          </w:p>
        </w:tc>
      </w:tr>
      <w:tr>
        <w:tc>
          <w:tcPr>
            <w:tcW w:type="dxa" w:w="1813"/>
            <w:shd w:val="clear" w:color="auto" w:fill="FFFFFF"/>
          </w:tcPr>
          <w:p>
            <w:pPr>
              <w:spacing w:before="40" w:after="40"/>
            </w:pPr>
            <w:r>
              <w:rPr>
                <w:color w:val="1A1A1A"/>
                <w:sz w:val="18"/>
              </w:rPr>
              <w:t>Ciudadela el Paraíso</w:t>
            </w:r>
          </w:p>
        </w:tc>
        <w:tc>
          <w:tcPr>
            <w:tcW w:type="dxa" w:w="1813"/>
            <w:shd w:val="clear" w:color="auto" w:fill="FFFFFF"/>
          </w:tcPr>
          <w:p>
            <w:pPr>
              <w:spacing w:before="40" w:after="40"/>
            </w:pPr>
            <w:r>
              <w:rPr>
                <w:color w:val="1A1A1A"/>
                <w:sz w:val="18"/>
              </w:rPr>
              <w:t>Sabaneta</w:t>
            </w:r>
          </w:p>
        </w:tc>
        <w:tc>
          <w:tcPr>
            <w:tcW w:type="dxa" w:w="1813"/>
            <w:shd w:val="clear" w:color="auto" w:fill="FFFFFF"/>
          </w:tcPr>
          <w:p>
            <w:pPr>
              <w:spacing w:before="40" w:after="40"/>
            </w:pPr>
            <w:r>
              <w:rPr>
                <w:color w:val="1A1A1A"/>
                <w:sz w:val="18"/>
              </w:rPr>
              <w:t>VIS</w:t>
            </w:r>
          </w:p>
        </w:tc>
        <w:tc>
          <w:tcPr>
            <w:tcW w:type="dxa" w:w="1813"/>
            <w:shd w:val="clear" w:color="auto" w:fill="FFFFFF"/>
          </w:tcPr>
          <w:p>
            <w:pPr>
              <w:spacing w:before="40" w:after="40"/>
            </w:pPr>
            <w:r>
              <w:rPr>
                <w:color w:val="1A1A1A"/>
                <w:sz w:val="18"/>
              </w:rPr>
              <w:t>Entrega inmediata</w:t>
            </w:r>
          </w:p>
        </w:tc>
        <w:tc>
          <w:tcPr>
            <w:tcW w:type="dxa" w:w="1813"/>
            <w:shd w:val="clear" w:color="auto" w:fill="FFFFFF"/>
          </w:tcPr>
          <w:p>
            <w:pPr>
              <w:spacing w:before="40" w:after="40"/>
            </w:pPr>
            <w:r>
              <w:rPr>
                <w:color w:val="1A1A1A"/>
                <w:sz w:val="18"/>
              </w:rPr>
              <w:t>COP 237M</w:t>
            </w:r>
          </w:p>
        </w:tc>
      </w:tr>
      <w:tr>
        <w:tc>
          <w:tcPr>
            <w:tcW w:type="dxa" w:w="1813"/>
            <w:shd w:val="clear" w:color="auto" w:fill="EBF3FA"/>
          </w:tcPr>
          <w:p>
            <w:pPr>
              <w:spacing w:before="40" w:after="40"/>
            </w:pPr>
            <w:r>
              <w:rPr>
                <w:color w:val="1A1A1A"/>
                <w:sz w:val="18"/>
              </w:rPr>
              <w:t>Paraíso Campestre</w:t>
            </w:r>
          </w:p>
        </w:tc>
        <w:tc>
          <w:tcPr>
            <w:tcW w:type="dxa" w:w="1813"/>
            <w:shd w:val="clear" w:color="auto" w:fill="EBF3FA"/>
          </w:tcPr>
          <w:p>
            <w:pPr>
              <w:spacing w:before="40" w:after="40"/>
            </w:pPr>
            <w:r>
              <w:rPr>
                <w:color w:val="1A1A1A"/>
                <w:sz w:val="18"/>
              </w:rPr>
              <w:t>Sabaneta</w:t>
            </w:r>
          </w:p>
        </w:tc>
        <w:tc>
          <w:tcPr>
            <w:tcW w:type="dxa" w:w="1813"/>
            <w:shd w:val="clear" w:color="auto" w:fill="EBF3FA"/>
          </w:tcPr>
          <w:p>
            <w:pPr>
              <w:spacing w:before="40" w:after="40"/>
            </w:pPr>
            <w:r>
              <w:rPr>
                <w:color w:val="1A1A1A"/>
                <w:sz w:val="18"/>
              </w:rPr>
              <w:t>VIS</w:t>
            </w:r>
          </w:p>
        </w:tc>
        <w:tc>
          <w:tcPr>
            <w:tcW w:type="dxa" w:w="1813"/>
            <w:shd w:val="clear" w:color="auto" w:fill="EBF3FA"/>
          </w:tcPr>
          <w:p>
            <w:pPr>
              <w:spacing w:before="40" w:after="40"/>
            </w:pPr>
            <w:r>
              <w:rPr>
                <w:color w:val="1A1A1A"/>
                <w:sz w:val="18"/>
              </w:rPr>
              <w:t>Proyectado 2028</w:t>
            </w:r>
          </w:p>
        </w:tc>
        <w:tc>
          <w:tcPr>
            <w:tcW w:type="dxa" w:w="1813"/>
            <w:shd w:val="clear" w:color="auto" w:fill="EBF3FA"/>
          </w:tcPr>
          <w:p>
            <w:pPr>
              <w:spacing w:before="40" w:after="40"/>
            </w:pPr>
            <w:r>
              <w:rPr>
                <w:color w:val="1A1A1A"/>
                <w:sz w:val="18"/>
              </w:rPr>
              <w:t>COP 243M</w:t>
            </w:r>
          </w:p>
        </w:tc>
      </w:tr>
      <w:tr>
        <w:tc>
          <w:tcPr>
            <w:tcW w:type="dxa" w:w="1813"/>
            <w:shd w:val="clear" w:color="auto" w:fill="FFFFFF"/>
          </w:tcPr>
          <w:p>
            <w:pPr>
              <w:spacing w:before="40" w:after="40"/>
            </w:pPr>
            <w:r>
              <w:rPr>
                <w:color w:val="1A1A1A"/>
                <w:sz w:val="18"/>
              </w:rPr>
              <w:t>Portal del Paraíso</w:t>
            </w:r>
          </w:p>
        </w:tc>
        <w:tc>
          <w:tcPr>
            <w:tcW w:type="dxa" w:w="1813"/>
            <w:shd w:val="clear" w:color="auto" w:fill="FFFFFF"/>
          </w:tcPr>
          <w:p>
            <w:pPr>
              <w:spacing w:before="40" w:after="40"/>
            </w:pPr>
            <w:r>
              <w:rPr>
                <w:color w:val="1A1A1A"/>
                <w:sz w:val="18"/>
              </w:rPr>
              <w:t>Sabaneta</w:t>
            </w:r>
          </w:p>
        </w:tc>
        <w:tc>
          <w:tcPr>
            <w:tcW w:type="dxa" w:w="1813"/>
            <w:shd w:val="clear" w:color="auto" w:fill="FFFFFF"/>
          </w:tcPr>
          <w:p>
            <w:pPr>
              <w:spacing w:before="40" w:after="40"/>
            </w:pPr>
            <w:r>
              <w:rPr>
                <w:color w:val="1A1A1A"/>
                <w:sz w:val="18"/>
              </w:rPr>
              <w:t>VIS</w:t>
            </w:r>
          </w:p>
        </w:tc>
        <w:tc>
          <w:tcPr>
            <w:tcW w:type="dxa" w:w="1813"/>
            <w:shd w:val="clear" w:color="auto" w:fill="FFFFFF"/>
          </w:tcPr>
          <w:p>
            <w:pPr>
              <w:spacing w:before="40" w:after="40"/>
            </w:pPr>
            <w:r>
              <w:rPr>
                <w:color w:val="1A1A1A"/>
                <w:sz w:val="18"/>
              </w:rPr>
              <w:t>Preventa</w:t>
            </w:r>
          </w:p>
        </w:tc>
        <w:tc>
          <w:tcPr>
            <w:tcW w:type="dxa" w:w="1813"/>
            <w:shd w:val="clear" w:color="auto" w:fill="FFFFFF"/>
          </w:tcPr>
          <w:p>
            <w:pPr>
              <w:spacing w:before="40" w:after="40"/>
            </w:pPr>
            <w:r>
              <w:rPr>
                <w:color w:val="1A1A1A"/>
                <w:sz w:val="18"/>
              </w:rPr>
              <w:t>COP 257M</w:t>
            </w:r>
          </w:p>
        </w:tc>
      </w:tr>
      <w:tr>
        <w:tc>
          <w:tcPr>
            <w:tcW w:type="dxa" w:w="1813"/>
            <w:shd w:val="clear" w:color="auto" w:fill="EBF3FA"/>
          </w:tcPr>
          <w:p>
            <w:pPr>
              <w:spacing w:before="40" w:after="40"/>
            </w:pPr>
            <w:r>
              <w:rPr>
                <w:color w:val="1A1A1A"/>
                <w:sz w:val="18"/>
              </w:rPr>
              <w:t>Cittadel</w:t>
            </w:r>
          </w:p>
        </w:tc>
        <w:tc>
          <w:tcPr>
            <w:tcW w:type="dxa" w:w="1813"/>
            <w:shd w:val="clear" w:color="auto" w:fill="EBF3FA"/>
          </w:tcPr>
          <w:p>
            <w:pPr>
              <w:spacing w:before="40" w:after="40"/>
            </w:pPr>
            <w:r>
              <w:rPr>
                <w:color w:val="1A1A1A"/>
                <w:sz w:val="18"/>
              </w:rPr>
              <w:t>Medellín (Estadio-Laureles)</w:t>
            </w:r>
          </w:p>
        </w:tc>
        <w:tc>
          <w:tcPr>
            <w:tcW w:type="dxa" w:w="1813"/>
            <w:shd w:val="clear" w:color="auto" w:fill="EBF3FA"/>
          </w:tcPr>
          <w:p>
            <w:pPr>
              <w:spacing w:before="40" w:after="40"/>
            </w:pPr>
            <w:r>
              <w:rPr>
                <w:color w:val="1A1A1A"/>
                <w:sz w:val="18"/>
              </w:rPr>
              <w:t>Mixed-use (lofts, oficinas, comercial)</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r>
    </w:tbl>
    <w:p/>
    <w:p>
      <w:pPr>
        <w:spacing w:before="20" w:after="60"/>
      </w:pPr>
      <w:r>
        <w:rPr>
          <w:b/>
          <w:color w:val="1A1A1A"/>
          <w:sz w:val="20"/>
        </w:rPr>
        <w:t>Precios públicos:</w:t>
      </w:r>
      <w:r>
        <w:rPr>
          <w:color w:val="1A1A1A"/>
          <w:sz w:val="20"/>
        </w:rPr>
        <w:t xml:space="preserve"> Sí disponibles para VIS — rango COP 237M-257M (USD ~57K-61K a TRM 4.200), justo bajo tope VIS regulatorio.</w:t>
      </w:r>
    </w:p>
    <w:p>
      <w:pPr>
        <w:spacing w:before="20" w:after="60"/>
      </w:pPr>
      <w:r>
        <w:rPr>
          <w:b/>
          <w:color w:val="1A1A1A"/>
          <w:sz w:val="20"/>
        </w:rPr>
        <w:t>Propuesta de valor declarada:</w:t>
      </w:r>
      <w:r>
        <w:rPr>
          <w:color w:val="1A1A1A"/>
          <w:sz w:val="20"/>
        </w:rPr>
        <w:t xml:space="preserve"> "Proyectos en zonas de alta valorización con precios accesibles y ubicaciones estratégicas". Énfasis en estructuración y construcción tanto de proyectos propios como de terceros, con cumplimiento de objetivos de calidad y rentabilidad.</w:t>
      </w:r>
    </w:p>
    <w:p>
      <w:pPr>
        <w:spacing w:before="80" w:after="40"/>
      </w:pPr>
      <w:r>
        <w:rPr>
          <w:b/>
          <w:color w:val="1A2E4A"/>
          <w:sz w:val="20"/>
        </w:rPr>
        <w:t>Canales de venta:</w:t>
      </w:r>
    </w:p>
    <w:p>
      <w:pPr>
        <w:pStyle w:val="ListBullet"/>
        <w:spacing w:before="0" w:after="40"/>
      </w:pPr>
      <w:r>
        <w:rPr>
          <w:color w:val="1A1A1A"/>
          <w:sz w:val="20"/>
        </w:rPr>
        <w:t>Web propia con tour virtual (probable, característico de constructoras en Medellín).</w:t>
      </w:r>
    </w:p>
    <w:p>
      <w:pPr>
        <w:pStyle w:val="ListBullet"/>
        <w:spacing w:before="0" w:after="40"/>
      </w:pPr>
      <w:r>
        <w:rPr>
          <w:color w:val="1A1A1A"/>
          <w:sz w:val="20"/>
        </w:rPr>
        <w:t>Sala de ventas presencial en proyectos.</w:t>
      </w:r>
    </w:p>
    <w:p>
      <w:pPr>
        <w:pStyle w:val="ListBullet"/>
        <w:spacing w:before="0" w:after="40"/>
      </w:pPr>
      <w:r>
        <w:rPr>
          <w:color w:val="1A1A1A"/>
          <w:sz w:val="20"/>
        </w:rPr>
        <w:t>Brokers inmobiliarios independientes.</w:t>
      </w:r>
    </w:p>
    <w:p>
      <w:pPr>
        <w:pStyle w:val="ListBullet"/>
        <w:spacing w:before="0" w:after="40"/>
      </w:pPr>
      <w:r>
        <w:rPr>
          <w:color w:val="1A1A1A"/>
          <w:sz w:val="20"/>
        </w:rPr>
        <w:t>WhatsApp Business activo (canal explícitamente promovido).</w:t>
      </w:r>
    </w:p>
    <w:p>
      <w:pPr>
        <w:pStyle w:val="ListBullet"/>
        <w:spacing w:before="0" w:after="40"/>
      </w:pPr>
      <w:r>
        <w:rPr>
          <w:color w:val="1A1A1A"/>
          <w:sz w:val="20"/>
        </w:rPr>
        <w:t>Redes sociales como tráfico inicial → llamada / cita en sala de ventas.</w:t>
      </w:r>
    </w:p>
    <w:p>
      <w:pPr>
        <w:spacing w:before="20" w:after="60"/>
      </w:pPr>
      <w:r>
        <w:rPr>
          <w:b/>
          <w:color w:val="1A1A1A"/>
          <w:sz w:val="20"/>
        </w:rPr>
        <w:t>Total acumulado declarado:</w:t>
      </w:r>
      <w:r>
        <w:rPr>
          <w:color w:val="1A1A1A"/>
          <w:sz w:val="20"/>
        </w:rPr>
        <w:t xml:space="preserve"> </w:t>
      </w:r>
      <w:r>
        <w:rPr>
          <w:b/>
          <w:color w:val="1A1A1A"/>
          <w:sz w:val="20"/>
        </w:rPr>
        <w:t>Más de 65.000-66.000 m² desarrollados</w:t>
      </w:r>
      <w:r>
        <w:rPr>
          <w:color w:val="1A1A1A"/>
          <w:sz w:val="20"/>
        </w:rPr>
        <w:t xml:space="preserve"> desde 2016. A un m² promedio razonable de 60-70 m² por unidad VIS, equivale a ~1.000 unidades acumuladas a lo largo de 9 años — consistente con tamaño mediano regional.</w:t>
      </w:r>
    </w:p>
    <w:p>
      <w:pPr>
        <w:spacing w:before="20" w:after="60"/>
      </w:pPr>
      <w:r>
        <w:rPr>
          <w:color w:val="1A1A1A"/>
          <w:sz w:val="20"/>
        </w:rPr>
        <w:t>Fuentes consultadas: ascenso.co (home + proyectos), Camacol membership, larepublica empresas.</w:t>
      </w:r>
    </w:p>
    <w:p>
      <w:pPr>
        <w:spacing w:before="280" w:after="60"/>
        <w:pBdr>
          <w:bottom w:val="single" w:sz="4" w:space="1" w:color="007AC3"/>
        </w:pBdr>
      </w:pPr>
      <w:r>
        <w:rPr>
          <w:b/>
          <w:color w:val="007AC3"/>
          <w:sz w:val="28"/>
        </w:rPr>
        <w:t>3. PRESENCIA DIGITAL</w:t>
      </w:r>
    </w:p>
    <w:p>
      <w:pPr>
        <w:spacing w:before="80" w:after="40"/>
      </w:pPr>
      <w:r>
        <w:rPr>
          <w:b/>
          <w:color w:val="1A2E4A"/>
          <w:sz w:val="20"/>
        </w:rPr>
        <w:t>Sitio web:</w:t>
      </w:r>
    </w:p>
    <w:p>
      <w:pPr>
        <w:pStyle w:val="ListBullet"/>
        <w:spacing w:before="0" w:after="40"/>
      </w:pPr>
      <w:r>
        <w:rPr>
          <w:b/>
          <w:color w:val="1A1A1A"/>
          <w:sz w:val="20"/>
        </w:rPr>
        <w:t>URL:</w:t>
      </w:r>
      <w:r>
        <w:rPr>
          <w:color w:val="1A1A1A"/>
          <w:sz w:val="20"/>
        </w:rPr>
        <w:t xml:space="preserve"> ascenso.co</w:t>
      </w:r>
    </w:p>
    <w:p>
      <w:pPr>
        <w:pStyle w:val="ListBullet"/>
        <w:spacing w:before="0" w:after="40"/>
      </w:pPr>
      <w:r>
        <w:rPr>
          <w:b/>
          <w:color w:val="1A1A1A"/>
          <w:sz w:val="20"/>
        </w:rPr>
        <w:t>UX general:</w:t>
      </w:r>
      <w:r>
        <w:rPr>
          <w:color w:val="1A1A1A"/>
          <w:sz w:val="20"/>
        </w:rPr>
        <w:t xml:space="preserve"> Profesional. Estructura típica de constructora moderna (slider hero + grid de proyectos + nosotros + contacto). Aterriza directo en CTA "Ver proyectos" y formulario de contacto.</w:t>
      </w:r>
    </w:p>
    <w:p>
      <w:pPr>
        <w:pStyle w:val="ListBullet"/>
        <w:spacing w:before="0" w:after="40"/>
      </w:pPr>
      <w:r>
        <w:rPr>
          <w:b/>
          <w:color w:val="1A1A1A"/>
          <w:sz w:val="20"/>
        </w:rPr>
        <w:t>Tecnología visible:</w:t>
      </w:r>
      <w:r>
        <w:rPr>
          <w:color w:val="1A1A1A"/>
          <w:sz w:val="20"/>
        </w:rPr>
        <w:t xml:space="preserve"> WordPress o builder similar; chat WhatsApp embebido; formularios de captura; integración con redes.</w:t>
      </w:r>
    </w:p>
    <w:p>
      <w:pPr>
        <w:pStyle w:val="ListBullet"/>
        <w:spacing w:before="0" w:after="40"/>
      </w:pPr>
      <w:r>
        <w:rPr>
          <w:b/>
          <w:color w:val="1A1A1A"/>
          <w:sz w:val="20"/>
        </w:rPr>
        <w:t>SEO básico:</w:t>
      </w:r>
      <w:r>
        <w:rPr>
          <w:color w:val="1A1A1A"/>
          <w:sz w:val="20"/>
        </w:rPr>
        <w:t xml:space="preserve"> Aparece en primer resultado para "Constructora Ascenso" y consultas relacionadas con "VIS Sabaneta". Meta descripción y tags presentes.</w:t>
      </w:r>
    </w:p>
    <w:p>
      <w:pPr>
        <w:pStyle w:val="ListBullet"/>
        <w:spacing w:before="0" w:after="40"/>
      </w:pPr>
      <w:r>
        <w:rPr>
          <w:b/>
          <w:color w:val="1A1A1A"/>
          <w:sz w:val="20"/>
        </w:rPr>
        <w:t>Velocidad percibida:</w:t>
      </w:r>
      <w:r>
        <w:rPr>
          <w:color w:val="1A1A1A"/>
          <w:sz w:val="20"/>
        </w:rPr>
        <w:t xml:space="preserve"> No medida con herramienta; sin alertas obvias.</w:t>
      </w:r>
    </w:p>
    <w:p>
      <w:pPr>
        <w:pStyle w:val="ListBullet"/>
        <w:spacing w:before="0" w:after="40"/>
      </w:pPr>
      <w:r>
        <w:rPr>
          <w:b/>
          <w:color w:val="1A1A1A"/>
          <w:sz w:val="20"/>
        </w:rPr>
        <w:t>Página /nosotros:</w:t>
      </w:r>
      <w:r>
        <w:rPr>
          <w:color w:val="1A1A1A"/>
          <w:sz w:val="20"/>
        </w:rPr>
        <w:t xml:space="preserve"> Aparentemente con problema técnico (HTTP 404 en consulta directa). Riesgo menor de UX pero señal de mantenimiento web no riguroso.</w:t>
      </w:r>
    </w:p>
    <w:p>
      <w:pPr>
        <w:spacing w:before="80" w:after="40"/>
      </w:pPr>
      <w:r>
        <w:rPr>
          <w:b/>
          <w:color w:val="1A2E4A"/>
          <w:sz w:val="20"/>
        </w:rPr>
        <w:t>LinkedIn:</w:t>
      </w:r>
    </w:p>
    <w:p>
      <w:pPr>
        <w:pStyle w:val="ListBullet"/>
        <w:spacing w:before="0" w:after="40"/>
      </w:pPr>
      <w:r>
        <w:rPr>
          <w:b/>
          <w:color w:val="1A1A1A"/>
          <w:sz w:val="20"/>
        </w:rPr>
        <w:t>Perfil:</w:t>
      </w:r>
      <w:r>
        <w:rPr>
          <w:color w:val="1A1A1A"/>
          <w:sz w:val="20"/>
        </w:rPr>
        <w:t xml:space="preserve"> "Constructora Ascenso" — existencia confirmada por CCCS directorio.</w:t>
      </w:r>
    </w:p>
    <w:p>
      <w:pPr>
        <w:pStyle w:val="ListBullet"/>
        <w:spacing w:before="0" w:after="40"/>
      </w:pPr>
      <w:r>
        <w:rPr>
          <w:b/>
          <w:color w:val="1A1A1A"/>
          <w:sz w:val="20"/>
        </w:rPr>
        <w:t>Empleados declarados:</w:t>
      </w:r>
      <w:r>
        <w:rPr>
          <w:color w:val="1A1A1A"/>
          <w:sz w:val="20"/>
        </w:rPr>
        <w:t xml:space="preserve"> No extraído (acceso limitado sin sesión).</w:t>
      </w:r>
    </w:p>
    <w:p>
      <w:pPr>
        <w:pStyle w:val="ListBullet"/>
        <w:spacing w:before="0" w:after="40"/>
      </w:pPr>
      <w:r>
        <w:rPr>
          <w:b/>
          <w:color w:val="1A1A1A"/>
          <w:sz w:val="20"/>
        </w:rPr>
        <w:t>Actividad reciente:</w:t>
      </w:r>
      <w:r>
        <w:rPr>
          <w:color w:val="1A1A1A"/>
          <w:sz w:val="20"/>
        </w:rPr>
        <w:t xml:space="preserve"> No medida.</w:t>
      </w:r>
    </w:p>
    <w:p>
      <w:pPr>
        <w:spacing w:before="80" w:after="40"/>
      </w:pPr>
      <w:r>
        <w:rPr>
          <w:b/>
          <w:color w:val="1A2E4A"/>
          <w:sz w:val="20"/>
        </w:rPr>
        <w:t>Otras redes sociales:</w:t>
      </w:r>
    </w:p>
    <w:p>
      <w:pPr>
        <w:pStyle w:val="ListBullet"/>
        <w:spacing w:before="0" w:after="40"/>
      </w:pPr>
      <w:r>
        <w:rPr>
          <w:b/>
          <w:color w:val="1A1A1A"/>
          <w:sz w:val="20"/>
        </w:rPr>
        <w:t>Instagram (@constructora_ascenso):</w:t>
      </w:r>
      <w:r>
        <w:rPr>
          <w:color w:val="1A1A1A"/>
          <w:sz w:val="20"/>
        </w:rPr>
        <w:t xml:space="preserve"> Activo. Bio enfocada en proyectos. Métricas exactas no extraídas por bot detection.</w:t>
      </w:r>
    </w:p>
    <w:p>
      <w:pPr>
        <w:pStyle w:val="ListBullet"/>
        <w:spacing w:before="0" w:after="40"/>
      </w:pPr>
      <w:r>
        <w:rPr>
          <w:b/>
          <w:color w:val="1A1A1A"/>
          <w:sz w:val="20"/>
        </w:rPr>
        <w:t>Facebook (ascensoingenieria):</w:t>
      </w:r>
      <w:r>
        <w:rPr>
          <w:color w:val="1A1A1A"/>
          <w:sz w:val="20"/>
        </w:rPr>
        <w:t xml:space="preserve"> Activo en español. Página corporativa.</w:t>
      </w:r>
    </w:p>
    <w:p>
      <w:pPr>
        <w:pStyle w:val="ListBullet"/>
        <w:spacing w:before="0" w:after="40"/>
      </w:pPr>
      <w:r>
        <w:rPr>
          <w:b/>
          <w:color w:val="1A1A1A"/>
          <w:sz w:val="20"/>
        </w:rPr>
        <w:t>YouTube (@ConstructoraAscenso):</w:t>
      </w:r>
      <w:r>
        <w:rPr>
          <w:color w:val="1A1A1A"/>
          <w:sz w:val="20"/>
        </w:rPr>
        <w:t xml:space="preserve"> Canal presente. Uso típico: videos de proyectos, tours virtuales, testimonios.</w:t>
      </w:r>
    </w:p>
    <w:p>
      <w:pPr>
        <w:spacing w:before="80" w:after="40"/>
      </w:pPr>
      <w:r>
        <w:rPr>
          <w:b/>
          <w:color w:val="1A2E4A"/>
          <w:sz w:val="20"/>
        </w:rPr>
        <w:t>Reseñas y reputación:</w:t>
      </w:r>
    </w:p>
    <w:p>
      <w:pPr>
        <w:pStyle w:val="ListBullet"/>
        <w:spacing w:before="0" w:after="40"/>
      </w:pPr>
      <w:r>
        <w:rPr>
          <w:b/>
          <w:color w:val="1A1A1A"/>
          <w:sz w:val="20"/>
        </w:rPr>
        <w:t>Google reviews:</w:t>
      </w:r>
      <w:r>
        <w:rPr>
          <w:color w:val="1A1A1A"/>
          <w:sz w:val="20"/>
        </w:rPr>
        <w:t xml:space="preserve"> No se identificó un perfil GBP centralizado con reseñas significativas para la marca corporativa; las reseñas relevantes están dispersas por proyecto/sala de ventas individual.</w:t>
      </w:r>
    </w:p>
    <w:p>
      <w:pPr>
        <w:pStyle w:val="ListBullet"/>
        <w:spacing w:before="0" w:after="40"/>
      </w:pPr>
      <w:r>
        <w:rPr>
          <w:b/>
          <w:color w:val="1A1A1A"/>
          <w:sz w:val="20"/>
        </w:rPr>
        <w:t>Reclamos.co:</w:t>
      </w:r>
      <w:r>
        <w:rPr>
          <w:color w:val="1A1A1A"/>
          <w:sz w:val="20"/>
        </w:rPr>
        <w:t xml:space="preserve"> Sin perfil destacado de quejas (señal positiva — no hay acumulación visible de reclamos).</w:t>
      </w:r>
    </w:p>
    <w:p>
      <w:pPr>
        <w:pStyle w:val="ListBullet"/>
        <w:spacing w:before="0" w:after="40"/>
      </w:pPr>
      <w:r>
        <w:rPr>
          <w:b/>
          <w:color w:val="1A1A1A"/>
          <w:sz w:val="20"/>
        </w:rPr>
        <w:t>La Lonja / Camacol:</w:t>
      </w:r>
      <w:r>
        <w:rPr>
          <w:color w:val="1A1A1A"/>
          <w:sz w:val="20"/>
        </w:rPr>
        <w:t xml:space="preserve"> Membresía vigente — implica cumplimiento de estándar gremial básico.</w:t>
      </w:r>
    </w:p>
    <w:p>
      <w:pPr>
        <w:spacing w:before="80" w:after="40"/>
      </w:pPr>
      <w:r>
        <w:rPr>
          <w:b/>
          <w:color w:val="1A2E4A"/>
          <w:sz w:val="20"/>
        </w:rPr>
        <w:t>Puntuación de Madurez Digital: 2.5/5</w:t>
      </w:r>
    </w:p>
    <w:p>
      <w:pPr>
        <w:spacing w:before="20" w:after="60"/>
      </w:pPr>
      <w:r>
        <w:rPr>
          <w:b/>
          <w:color w:val="1A1A1A"/>
          <w:sz w:val="20"/>
        </w:rPr>
        <w:t>Justificación:</w:t>
      </w:r>
      <w:r>
        <w:rPr>
          <w:color w:val="1A1A1A"/>
          <w:sz w:val="20"/>
        </w:rPr>
        <w:t xml:space="preserve"> Constructora Ascenso tiene presencia digital funcional y multicanal (web + Instagram + Facebook + YouTube + WhatsApp), pero </w:t>
      </w:r>
      <w:r>
        <w:rPr>
          <w:b/>
          <w:color w:val="1A1A1A"/>
          <w:sz w:val="20"/>
        </w:rPr>
        <w:t>opera bajo el promedio sectorial bajo</w:t>
      </w:r>
      <w:r>
        <w:rPr>
          <w:color w:val="1A1A1A"/>
          <w:sz w:val="20"/>
        </w:rPr>
        <w:t>. No hay evidencia de CRM inmobiliario robusto (Sienge, Cloubrook, Bitrix, ProperLogic), recorrido virtual interactivo de gama alta, configurador de unidades, simulador de crédito integrado, ni automatización de nurturing del lead VIS (subsidio + crédito + cierre toma 3-9 meses — es un funnel largo y se beneficia mucho de automatización). El sector construcción en CO es estructuralmente de baja madurez digital (~2/5 promedio), y Ascenso está ligeramente por encima — pero todavía lejos de líderes como Conconcreto, Constructora Bolívar o Amarilo que ya tienen modelos BIM, gemelos digitales y CRM-marketing automation completos.</w:t>
      </w:r>
    </w:p>
    <w:p>
      <w:pPr>
        <w:spacing w:before="20" w:after="60"/>
      </w:pPr>
      <w:r>
        <w:rPr>
          <w:color w:val="1A1A1A"/>
          <w:sz w:val="20"/>
        </w:rPr>
        <w:t>Fuentes consultadas: ascenso.co, cccs.org.co, búsquedas directas redes sociales.</w:t>
      </w:r>
    </w:p>
    <w:p>
      <w:pPr>
        <w:spacing w:before="280" w:after="60"/>
        <w:pBdr>
          <w:bottom w:val="single" w:sz="4" w:space="1" w:color="007AC3"/>
        </w:pBdr>
      </w:pPr>
      <w:r>
        <w:rPr>
          <w:b/>
          <w:color w:val="007AC3"/>
          <w:sz w:val="28"/>
        </w:rPr>
        <w:t>4. DATOS FINANCIEROS</w:t>
      </w:r>
    </w:p>
    <w:p>
      <w:pPr>
        <w:spacing w:before="20" w:after="60"/>
      </w:pPr>
      <w:r>
        <w:rPr>
          <w:color w:val="1A1A1A"/>
          <w:sz w:val="20"/>
        </w:rPr>
        <w:t xml:space="preserve">&gt; ⚠️ Constructora Ascenso S.A.S. (NIT 901.042.249) </w:t>
      </w:r>
      <w:r>
        <w:rPr>
          <w:b/>
          <w:color w:val="1A1A1A"/>
          <w:sz w:val="20"/>
        </w:rPr>
        <w:t>no figura con estados financieros completos en los archivos de Supersociedades consultados</w:t>
      </w:r>
      <w:r>
        <w:rPr>
          <w:color w:val="1A1A1A"/>
          <w:sz w:val="20"/>
        </w:rPr>
        <w:t xml:space="preserve"> (corte 2024). La búsqueda devolvió 39 empresas con "Constructora" en el nombre y la única coincidencia parcial con "Ascenso" fue Ascensores Schindler de Colombia SAS (NIT 860005289), empresa distinta.</w:t>
      </w:r>
    </w:p>
    <w:p>
      <w:pPr>
        <w:spacing w:before="20" w:after="60"/>
      </w:pPr>
      <w:r>
        <w:rPr>
          <w:color w:val="1A1A1A"/>
          <w:sz w:val="20"/>
        </w:rPr>
        <w:t>&gt;</w:t>
      </w:r>
    </w:p>
    <w:p>
      <w:pPr>
        <w:spacing w:before="20" w:after="60"/>
      </w:pPr>
      <w:r>
        <w:rPr>
          <w:color w:val="1A1A1A"/>
          <w:sz w:val="20"/>
        </w:rPr>
        <w:t xml:space="preserve">&gt; Constructora Ascenso aparece clasificada como "Large" por directorios empresariales privados (informacolombia, larepublica empresas), pero sin cifras públicas detalladas accesibles vía RUES/Supersociedades en consulta gratuita. Esto sugiere que </w:t>
      </w:r>
      <w:r>
        <w:rPr>
          <w:b/>
          <w:color w:val="1A1A1A"/>
          <w:sz w:val="20"/>
        </w:rPr>
        <w:t>probablemente sí reporta</w:t>
      </w:r>
      <w:r>
        <w:rPr>
          <w:color w:val="1A1A1A"/>
          <w:sz w:val="20"/>
        </w:rPr>
        <w:t xml:space="preserve"> pero el archivo de muestra del skill no la incluye (es muestra parcial del universo Supersociedades).</w:t>
      </w:r>
    </w:p>
    <w:p>
      <w:pPr>
        <w:spacing w:before="80" w:after="40"/>
      </w:pPr>
      <w:r>
        <w:rPr>
          <w:b/>
          <w:color w:val="1A2E4A"/>
          <w:sz w:val="20"/>
        </w:rPr>
        <w:t>Período de reporte: 2024 (último disponible públicamente). Cifras detalladas no disponibles en fuentes públicas gratuitas.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2E4A"/>
          </w:tcPr>
          <w:p>
            <w:pPr>
              <w:spacing w:before="40" w:after="40"/>
            </w:pPr>
            <w:r>
              <w:rPr>
                <w:b/>
                <w:color w:val="FFFFFF"/>
                <w:sz w:val="18"/>
              </w:rPr>
              <w:t>Indicador</w:t>
            </w:r>
          </w:p>
        </w:tc>
        <w:tc>
          <w:tcPr>
            <w:tcW w:type="dxa" w:w="2266"/>
            <w:shd w:val="clear" w:color="auto" w:fill="1A2E4A"/>
          </w:tcPr>
          <w:p>
            <w:pPr>
              <w:spacing w:before="40" w:after="40"/>
            </w:pPr>
            <w:r>
              <w:rPr>
                <w:b/>
                <w:color w:val="FFFFFF"/>
                <w:sz w:val="18"/>
              </w:rPr>
              <w:t>Periodo Actual (2024)</w:t>
            </w:r>
          </w:p>
        </w:tc>
        <w:tc>
          <w:tcPr>
            <w:tcW w:type="dxa" w:w="2266"/>
            <w:shd w:val="clear" w:color="auto" w:fill="1A2E4A"/>
          </w:tcPr>
          <w:p>
            <w:pPr>
              <w:spacing w:before="40" w:after="40"/>
            </w:pPr>
            <w:r>
              <w:rPr>
                <w:b/>
                <w:color w:val="FFFFFF"/>
                <w:sz w:val="18"/>
              </w:rPr>
              <w:t>Periodo Anterior</w:t>
            </w:r>
          </w:p>
        </w:tc>
        <w:tc>
          <w:tcPr>
            <w:tcW w:type="dxa" w:w="2266"/>
            <w:shd w:val="clear" w:color="auto" w:fill="1A2E4A"/>
          </w:tcPr>
          <w:p>
            <w:pPr>
              <w:spacing w:before="40" w:after="40"/>
            </w:pPr>
            <w:r>
              <w:rPr>
                <w:b/>
                <w:color w:val="FFFFFF"/>
                <w:sz w:val="18"/>
              </w:rPr>
              <w:t>Variación</w:t>
            </w:r>
          </w:p>
        </w:tc>
      </w:tr>
      <w:tr>
        <w:tc>
          <w:tcPr>
            <w:tcW w:type="dxa" w:w="2266"/>
            <w:shd w:val="clear" w:color="auto" w:fill="FFFFFF"/>
          </w:tcPr>
          <w:p>
            <w:pPr>
              <w:spacing w:before="40" w:after="40"/>
            </w:pPr>
            <w:r>
              <w:rPr>
                <w:color w:val="1A1A1A"/>
                <w:sz w:val="18"/>
              </w:rPr>
              <w:t>Ingresos operacionales</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Costo de ventas</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Ganancia bruta</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Utilidad operacional</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Utilidad neta</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Total activos</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Total pasivos</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Patrimonio total</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bl>
    <w:p/>
    <w:p>
      <w:pPr>
        <w:spacing w:before="80" w:after="40"/>
      </w:pPr>
      <w:r>
        <w:rPr>
          <w:b/>
          <w:color w:val="1A2E4A"/>
          <w:sz w:val="20"/>
        </w:rPr>
        <w:t>Estimación gruesa por metodología indirecta:</w:t>
      </w:r>
    </w:p>
    <w:p>
      <w:pPr>
        <w:pStyle w:val="ListBullet"/>
        <w:spacing w:before="0" w:after="40"/>
      </w:pPr>
      <w:r>
        <w:rPr>
          <w:color w:val="1A1A1A"/>
          <w:sz w:val="20"/>
        </w:rPr>
        <w:t>65.000 m² desarrollados en 9 años ≈ 7.200 m²/año promedio (probable concentración en últimos 4-5 años).</w:t>
      </w:r>
    </w:p>
    <w:p>
      <w:pPr>
        <w:pStyle w:val="ListBullet"/>
        <w:spacing w:before="0" w:after="40"/>
      </w:pPr>
      <w:r>
        <w:rPr>
          <w:color w:val="1A1A1A"/>
          <w:sz w:val="20"/>
        </w:rPr>
        <w:t>A precio promedio VIS ~COP 245M / 60m² ≈ COP 4M/m².</w:t>
      </w:r>
    </w:p>
    <w:p>
      <w:pPr>
        <w:pStyle w:val="ListBullet"/>
        <w:spacing w:before="0" w:after="40"/>
      </w:pPr>
      <w:r>
        <w:rPr>
          <w:color w:val="1A1A1A"/>
          <w:sz w:val="20"/>
        </w:rPr>
        <w:t xml:space="preserve">Ingresos anuales estimados orden de magnitud: </w:t>
      </w:r>
      <w:r>
        <w:rPr>
          <w:b/>
          <w:color w:val="1A1A1A"/>
          <w:sz w:val="20"/>
        </w:rPr>
        <w:t>COP 25.000-35.000 millones (USD 6-8.5 millones)</w:t>
      </w:r>
      <w:r>
        <w:rPr>
          <w:color w:val="1A1A1A"/>
          <w:sz w:val="20"/>
        </w:rPr>
        <w:t xml:space="preserve"> — esto los pone en </w:t>
      </w:r>
      <w:r>
        <w:rPr>
          <w:b/>
          <w:color w:val="1A1A1A"/>
          <w:sz w:val="20"/>
        </w:rPr>
        <w:t>mediana empresa</w:t>
      </w:r>
      <w:r>
        <w:rPr>
          <w:color w:val="1A1A1A"/>
          <w:sz w:val="20"/>
        </w:rPr>
        <w:t xml:space="preserve"> del sector. La clasificación "Large" de los directorios sugiere que pueden estar más arriba (cerca a COP 50.000M anuales).</w:t>
      </w:r>
    </w:p>
    <w:p>
      <w:pPr>
        <w:spacing w:before="20" w:after="60"/>
      </w:pPr>
      <w:r>
        <w:rPr>
          <w:b/>
          <w:color w:val="1A1A1A"/>
          <w:sz w:val="20"/>
        </w:rPr>
        <w:t>Interpretación financiera:</w:t>
      </w:r>
      <w:r>
        <w:rPr>
          <w:color w:val="1A1A1A"/>
          <w:sz w:val="20"/>
        </w:rPr>
        <w:t xml:space="preserve"> Sin cifras auditadas, la interpretación es limitada. Lo defendible:</w:t>
      </w:r>
    </w:p>
    <w:p>
      <w:pPr>
        <w:pStyle w:val="ListBullet"/>
        <w:spacing w:before="0" w:after="40"/>
      </w:pPr>
      <w:r>
        <w:rPr>
          <w:color w:val="1A1A1A"/>
          <w:sz w:val="20"/>
        </w:rPr>
        <w:t xml:space="preserve">Empresa con </w:t>
      </w:r>
      <w:r>
        <w:rPr>
          <w:b/>
          <w:color w:val="1A1A1A"/>
          <w:sz w:val="20"/>
        </w:rPr>
        <w:t>9 años de operación</w:t>
      </w:r>
      <w:r>
        <w:rPr>
          <w:color w:val="1A1A1A"/>
          <w:sz w:val="20"/>
        </w:rPr>
        <w:t xml:space="preserve">, </w:t>
      </w:r>
      <w:r>
        <w:rPr>
          <w:b/>
          <w:color w:val="1A1A1A"/>
          <w:sz w:val="20"/>
        </w:rPr>
        <w:t>crecimiento sostenido en cobertura geográfica</w:t>
      </w:r>
      <w:r>
        <w:rPr>
          <w:color w:val="1A1A1A"/>
          <w:sz w:val="20"/>
        </w:rPr>
        <w:t xml:space="preserve"> (entró a Cartagena, Coveñas, Montería tras consolidar Valle de Aburrá).</w:t>
      </w:r>
    </w:p>
    <w:p>
      <w:pPr>
        <w:pStyle w:val="ListBullet"/>
        <w:spacing w:before="0" w:after="40"/>
      </w:pPr>
      <w:r>
        <w:rPr>
          <w:b/>
          <w:color w:val="1A1A1A"/>
          <w:sz w:val="20"/>
        </w:rPr>
        <w:t>Membresía gremial activa en Camacol + La Lonja + CCCS</w:t>
      </w:r>
      <w:r>
        <w:rPr>
          <w:color w:val="1A1A1A"/>
          <w:sz w:val="20"/>
        </w:rPr>
        <w:t xml:space="preserve"> implica respaldo financiero y reputacional para acceder a fiduciarias, créditos constructor y subsidios estatales VIS.</w:t>
      </w:r>
    </w:p>
    <w:p>
      <w:pPr>
        <w:pStyle w:val="ListBullet"/>
        <w:spacing w:before="0" w:after="40"/>
      </w:pPr>
      <w:r>
        <w:rPr>
          <w:b/>
          <w:color w:val="1A1A1A"/>
          <w:sz w:val="20"/>
        </w:rPr>
        <w:t>Foco VIS</w:t>
      </w:r>
      <w:r>
        <w:rPr>
          <w:color w:val="1A1A1A"/>
          <w:sz w:val="20"/>
        </w:rPr>
        <w:t xml:space="preserve"> = ingresos estables pero márgenes ajustados; modelo de negocio de </w:t>
      </w:r>
      <w:r>
        <w:rPr>
          <w:b/>
          <w:color w:val="1A1A1A"/>
          <w:sz w:val="20"/>
        </w:rPr>
        <w:t>alta rotación, volumen y eficiencia en costos</w:t>
      </w:r>
      <w:r>
        <w:rPr>
          <w:color w:val="1A1A1A"/>
          <w:sz w:val="20"/>
        </w:rPr>
        <w:t>.</w:t>
      </w:r>
    </w:p>
    <w:p>
      <w:pPr>
        <w:pStyle w:val="ListBullet"/>
        <w:spacing w:before="0" w:after="40"/>
      </w:pPr>
      <w:r>
        <w:rPr>
          <w:b/>
          <w:color w:val="1A1A1A"/>
          <w:sz w:val="20"/>
        </w:rPr>
        <w:t>Diversificación a turismo (Cartagena, Coveñas)</w:t>
      </w:r>
      <w:r>
        <w:rPr>
          <w:color w:val="1A1A1A"/>
          <w:sz w:val="20"/>
        </w:rPr>
        <w:t xml:space="preserve"> = búsqueda de margen vía gama media-alta.</w:t>
      </w:r>
    </w:p>
    <w:p>
      <w:pPr>
        <w:spacing w:before="20" w:after="60"/>
      </w:pPr>
      <w:r>
        <w:rPr>
          <w:color w:val="1A1A1A"/>
          <w:sz w:val="20"/>
        </w:rPr>
        <w:t>Fuente: Supersociedades (no encontrado en muestra disponible). Clasificación cualitativa vía informacolombia.com, empresas.larepublica.co, cccs.org.co.</w:t>
      </w:r>
    </w:p>
    <w:p>
      <w:pPr>
        <w:spacing w:before="280" w:after="60"/>
        <w:pBdr>
          <w:bottom w:val="single" w:sz="4" w:space="1" w:color="007AC3"/>
        </w:pBdr>
      </w:pPr>
      <w:r>
        <w:rPr>
          <w:b/>
          <w:color w:val="007AC3"/>
          <w:sz w:val="28"/>
        </w:rPr>
        <w:t>5. ANÁLISIS FODA</w:t>
      </w:r>
    </w:p>
    <w:p>
      <w:pPr>
        <w:spacing w:before="160" w:after="40"/>
      </w:pPr>
      <w:r>
        <w:rPr>
          <w:b/>
          <w:color w:val="556577"/>
          <w:sz w:val="22"/>
        </w:rPr>
        <w:t>Fortalezas (internas, positivas)</w:t>
      </w:r>
    </w:p>
    <w:p>
      <w:pPr>
        <w:pStyle w:val="ListNumber"/>
        <w:spacing w:before="0" w:after="40"/>
      </w:pPr>
      <w:r>
        <w:rPr>
          <w:b/>
          <w:color w:val="1A1A1A"/>
          <w:sz w:val="20"/>
        </w:rPr>
        <w:t>Diversificación de segmentos (VIS + NO VIS + turística).</w:t>
      </w:r>
      <w:r>
        <w:rPr>
          <w:color w:val="1A1A1A"/>
          <w:sz w:val="20"/>
        </w:rPr>
        <w:t xml:space="preserve"> Reduce dependencia exclusiva del VIS — categoría sometida a subsidios variables y políticas de gobierno.</w:t>
      </w:r>
    </w:p>
    <w:p>
      <w:pPr>
        <w:pStyle w:val="ListNumber"/>
        <w:spacing w:before="0" w:after="40"/>
      </w:pPr>
      <w:r>
        <w:rPr>
          <w:b/>
          <w:color w:val="1A1A1A"/>
          <w:sz w:val="20"/>
        </w:rPr>
        <w:t>Cobertura geográfica multi-ciudad (6+ municipios).</w:t>
      </w:r>
      <w:r>
        <w:rPr>
          <w:color w:val="1A1A1A"/>
          <w:sz w:val="20"/>
        </w:rPr>
        <w:t xml:space="preserve"> Inusual para constructora de su tamaño; típicamente las medianas se concentran en una sola plaza. Implica capacidad operativa instalada y red de contratistas en varias ciudades.</w:t>
      </w:r>
    </w:p>
    <w:p>
      <w:pPr>
        <w:pStyle w:val="ListNumber"/>
        <w:spacing w:before="0" w:after="40"/>
      </w:pPr>
      <w:r>
        <w:rPr>
          <w:b/>
          <w:color w:val="1A1A1A"/>
          <w:sz w:val="20"/>
        </w:rPr>
        <w:t>Membresía Camacol + La Lonja + CCCS.</w:t>
      </w:r>
      <w:r>
        <w:rPr>
          <w:color w:val="1A1A1A"/>
          <w:sz w:val="20"/>
        </w:rPr>
        <w:t xml:space="preserve"> Tres afiliaciones gremiales relevantes; CCCS especialmente diferenciadora porque sostenibilidad es atributo creciente en compra de vivienda nueva.</w:t>
      </w:r>
    </w:p>
    <w:p>
      <w:pPr>
        <w:pStyle w:val="ListNumber"/>
        <w:spacing w:before="0" w:after="40"/>
      </w:pPr>
      <w:r>
        <w:rPr>
          <w:b/>
          <w:color w:val="1A1A1A"/>
          <w:sz w:val="20"/>
        </w:rPr>
        <w:t>Foco VIS Sabaneta (zona de muy alta valorización).</w:t>
      </w:r>
      <w:r>
        <w:rPr>
          <w:color w:val="1A1A1A"/>
          <w:sz w:val="20"/>
        </w:rPr>
        <w:t xml:space="preserve"> Sabaneta es la subzona del Valle de Aburrá con mejor combinación crecimiento poblacional + valorización + accesibilidad a Medellín — pocos competidores construyen VIS aquí porque costo de tierra está al límite.</w:t>
      </w:r>
    </w:p>
    <w:p>
      <w:pPr>
        <w:pStyle w:val="ListNumber"/>
        <w:spacing w:before="0" w:after="40"/>
      </w:pPr>
      <w:r>
        <w:rPr>
          <w:b/>
          <w:color w:val="1A1A1A"/>
          <w:sz w:val="20"/>
        </w:rPr>
        <w:t>Marca consolidada con presencia consistente en Instagram, Facebook, YouTube y WhatsApp Business.</w:t>
      </w:r>
      <w:r>
        <w:rPr>
          <w:color w:val="1A1A1A"/>
          <w:sz w:val="20"/>
        </w:rPr>
        <w:t xml:space="preserve"> Por encima del promedio de constructora mediana en CO.</w:t>
      </w:r>
    </w:p>
    <w:p>
      <w:pPr>
        <w:spacing w:before="160" w:after="40"/>
      </w:pPr>
      <w:r>
        <w:rPr>
          <w:b/>
          <w:color w:val="556577"/>
          <w:sz w:val="22"/>
        </w:rPr>
        <w:t>Oportunidades (externas, positivas)</w:t>
      </w:r>
    </w:p>
    <w:p>
      <w:pPr>
        <w:pStyle w:val="ListNumber"/>
        <w:spacing w:before="0" w:after="40"/>
      </w:pPr>
      <w:r>
        <w:rPr>
          <w:b/>
          <w:color w:val="1A1A1A"/>
          <w:sz w:val="20"/>
        </w:rPr>
        <w:t>Mercado de vivienda en repunte fuerte: +12.4% en ventas 2025 (174.000 unidades vendidas Colombia)</w:t>
      </w:r>
      <w:r>
        <w:rPr>
          <w:color w:val="1A1A1A"/>
          <w:sz w:val="20"/>
        </w:rPr>
        <w:t>, con VIS creciendo 10.9%. Demanda existe.</w:t>
      </w:r>
    </w:p>
    <w:p>
      <w:pPr>
        <w:pStyle w:val="ListNumber"/>
        <w:spacing w:before="0" w:after="40"/>
      </w:pPr>
      <w:r>
        <w:rPr>
          <w:b/>
          <w:color w:val="1A1A1A"/>
          <w:sz w:val="20"/>
        </w:rPr>
        <w:t>Iniciaciones de obra cayendo -17.4% en 2025 (la cifra más baja desde 2012)</w:t>
      </w:r>
      <w:r>
        <w:rPr>
          <w:color w:val="1A1A1A"/>
          <w:sz w:val="20"/>
        </w:rPr>
        <w:t xml:space="preserve"> — paradoja del mercado: se vende más, se construye menos. </w:t>
      </w:r>
      <w:r>
        <w:rPr>
          <w:b/>
          <w:color w:val="1A1A1A"/>
          <w:sz w:val="20"/>
        </w:rPr>
        <w:t>Quienes sí tienen proyectos en construcción ahora gozan de menos competencia de oferta nueva.</w:t>
      </w:r>
      <w:r>
        <w:rPr>
          <w:color w:val="1A1A1A"/>
          <w:sz w:val="20"/>
        </w:rPr>
        <w:t xml:space="preserve"> Ventana 2026-2027 favorable.</w:t>
      </w:r>
    </w:p>
    <w:p>
      <w:pPr>
        <w:pStyle w:val="ListNumber"/>
        <w:spacing w:before="0" w:after="40"/>
      </w:pPr>
      <w:r>
        <w:rPr>
          <w:b/>
          <w:color w:val="1A1A1A"/>
          <w:sz w:val="20"/>
        </w:rPr>
        <w:t>Renovación urbana Sabaneta-Itagüí</w:t>
      </w:r>
      <w:r>
        <w:rPr>
          <w:color w:val="1A1A1A"/>
          <w:sz w:val="20"/>
        </w:rPr>
        <w:t xml:space="preserve"> con plan parcial activo — habilita densidades mayores y proyectos de mayor escala.</w:t>
      </w:r>
    </w:p>
    <w:p>
      <w:pPr>
        <w:pStyle w:val="ListNumber"/>
        <w:spacing w:before="0" w:after="40"/>
      </w:pPr>
      <w:r>
        <w:rPr>
          <w:b/>
          <w:color w:val="1A1A1A"/>
          <w:sz w:val="20"/>
        </w:rPr>
        <w:t>Crédito hipotecario con tasas a la baja</w:t>
      </w:r>
      <w:r>
        <w:rPr>
          <w:color w:val="1A1A1A"/>
          <w:sz w:val="20"/>
        </w:rPr>
        <w:t xml:space="preserve"> (Banco de la República en ciclo de recortes). Sube poder de compra del cliente VIS.</w:t>
      </w:r>
    </w:p>
    <w:p>
      <w:pPr>
        <w:pStyle w:val="ListNumber"/>
        <w:spacing w:before="0" w:after="40"/>
      </w:pPr>
      <w:r>
        <w:rPr>
          <w:b/>
          <w:color w:val="1A1A1A"/>
          <w:sz w:val="20"/>
        </w:rPr>
        <w:t>Sostenibilidad como diferencial de venta.</w:t>
      </w:r>
      <w:r>
        <w:rPr>
          <w:color w:val="1A1A1A"/>
          <w:sz w:val="20"/>
        </w:rPr>
        <w:t xml:space="preserve"> EDGE y otras certificaciones empiezan a tener premium en precio y velocidad de absorción.</w:t>
      </w:r>
    </w:p>
    <w:p>
      <w:pPr>
        <w:pStyle w:val="ListNumber"/>
        <w:spacing w:before="0" w:after="40"/>
      </w:pPr>
      <w:r>
        <w:rPr>
          <w:b/>
          <w:color w:val="1A1A1A"/>
          <w:sz w:val="20"/>
        </w:rPr>
        <w:t>Tecnología asequible para mejorar funnel de venta inmobiliaria VIS</w:t>
      </w:r>
      <w:r>
        <w:rPr>
          <w:color w:val="1A1A1A"/>
          <w:sz w:val="20"/>
        </w:rPr>
        <w:t xml:space="preserve"> (CRM, recorridos virtuales con IA, simulador subsidio + crédito).</w:t>
      </w:r>
    </w:p>
    <w:p>
      <w:pPr>
        <w:spacing w:before="160" w:after="40"/>
      </w:pPr>
      <w:r>
        <w:rPr>
          <w:b/>
          <w:color w:val="556577"/>
          <w:sz w:val="22"/>
        </w:rPr>
        <w:t>Debilidades (internas, negativas)</w:t>
      </w:r>
    </w:p>
    <w:p>
      <w:pPr>
        <w:pStyle w:val="ListNumber"/>
        <w:spacing w:before="0" w:after="40"/>
      </w:pPr>
      <w:r>
        <w:rPr>
          <w:b/>
          <w:color w:val="1A1A1A"/>
          <w:sz w:val="20"/>
        </w:rPr>
        <w:t>Información pública sobre la compañía es escasa y desigual</w:t>
      </w:r>
      <w:r>
        <w:rPr>
          <w:color w:val="1A1A1A"/>
          <w:sz w:val="20"/>
        </w:rPr>
        <w:t xml:space="preserve"> — sitio /nosotros con 404, sin fundadores nombrados públicamente, sin LinkedIn corporativo robusto. Reduce confianza de buyers institucionales y bancos.</w:t>
      </w:r>
    </w:p>
    <w:p>
      <w:pPr>
        <w:pStyle w:val="ListNumber"/>
        <w:spacing w:before="0" w:after="40"/>
      </w:pPr>
      <w:r>
        <w:rPr>
          <w:b/>
          <w:color w:val="1A1A1A"/>
          <w:sz w:val="20"/>
        </w:rPr>
        <w:t>Sin estados financieros públicos verificables</w:t>
      </w:r>
      <w:r>
        <w:rPr>
          <w:color w:val="1A1A1A"/>
          <w:sz w:val="20"/>
        </w:rPr>
        <w:t xml:space="preserve"> — limita capacidad de levantar capital institucional o vender participaciones.</w:t>
      </w:r>
    </w:p>
    <w:p>
      <w:pPr>
        <w:pStyle w:val="ListNumber"/>
        <w:spacing w:before="0" w:after="40"/>
      </w:pPr>
      <w:r>
        <w:rPr>
          <w:b/>
          <w:color w:val="1A1A1A"/>
          <w:sz w:val="20"/>
        </w:rPr>
        <w:t>Madurez digital media (2.5/5) en sector que ya tiene jugadores 4/5.</w:t>
      </w:r>
      <w:r>
        <w:rPr>
          <w:color w:val="1A1A1A"/>
          <w:sz w:val="20"/>
        </w:rPr>
        <w:t xml:space="preserve"> Riesgo de quedarse atrás en captura digital del lead.</w:t>
      </w:r>
    </w:p>
    <w:p>
      <w:pPr>
        <w:pStyle w:val="ListNumber"/>
        <w:spacing w:before="0" w:after="40"/>
      </w:pPr>
      <w:r>
        <w:rPr>
          <w:b/>
          <w:color w:val="1A1A1A"/>
          <w:sz w:val="20"/>
        </w:rPr>
        <w:t>Foco VIS = márgenes operacionales bajos.</w:t>
      </w:r>
      <w:r>
        <w:rPr>
          <w:color w:val="1A1A1A"/>
          <w:sz w:val="20"/>
        </w:rPr>
        <w:t xml:space="preserve"> Típicamente 8-12% utilidad neta en VIS vs 15-25% en NO VIS premium. Sensibilidad alta a inflación de insumos.</w:t>
      </w:r>
    </w:p>
    <w:p>
      <w:pPr>
        <w:pStyle w:val="ListNumber"/>
        <w:spacing w:before="0" w:after="40"/>
      </w:pPr>
      <w:r>
        <w:rPr>
          <w:b/>
          <w:color w:val="1A1A1A"/>
          <w:sz w:val="20"/>
        </w:rPr>
        <w:t>Dependencia de subsidios estatales (Mi Casa Ya, etc.) para cierre de venta VIS</w:t>
      </w:r>
      <w:r>
        <w:rPr>
          <w:color w:val="1A1A1A"/>
          <w:sz w:val="20"/>
        </w:rPr>
        <w:t xml:space="preserve"> — vulnerabilidad cuando el gobierno cambia reglas (como ha pasado entre 2022-2025).</w:t>
      </w:r>
    </w:p>
    <w:p>
      <w:pPr>
        <w:pStyle w:val="ListNumber"/>
        <w:spacing w:before="0" w:after="40"/>
      </w:pPr>
      <w:r>
        <w:rPr>
          <w:b/>
          <w:color w:val="1A1A1A"/>
          <w:sz w:val="20"/>
        </w:rPr>
        <w:t>Equipo directivo no visible.</w:t>
      </w:r>
      <w:r>
        <w:rPr>
          <w:color w:val="1A1A1A"/>
          <w:sz w:val="20"/>
        </w:rPr>
        <w:t xml:space="preserve"> No hay narrativa pública de quién lidera, riesgo reputacional y de continuidad.</w:t>
      </w:r>
    </w:p>
    <w:p>
      <w:pPr>
        <w:spacing w:before="160" w:after="40"/>
      </w:pPr>
      <w:r>
        <w:rPr>
          <w:b/>
          <w:color w:val="556577"/>
          <w:sz w:val="22"/>
        </w:rPr>
        <w:t>Amenazas (externas, negativas)</w:t>
      </w:r>
    </w:p>
    <w:p>
      <w:pPr>
        <w:pStyle w:val="ListNumber"/>
        <w:spacing w:before="0" w:after="40"/>
      </w:pPr>
      <w:r>
        <w:rPr>
          <w:b/>
          <w:color w:val="1A1A1A"/>
          <w:sz w:val="20"/>
        </w:rPr>
        <w:t>Caída pronunciada en iniciaciones de obra (-17.4% en 2025, proyección -26.5% adicional en 2026).</w:t>
      </w:r>
      <w:r>
        <w:rPr>
          <w:color w:val="1A1A1A"/>
          <w:sz w:val="20"/>
        </w:rPr>
        <w:t xml:space="preserve"> Implica que el sector está sub-invirtiendo en oferta futura — pero también señal de que muchos competidores tienen problemas de financiación, lo que puede ser oportunidad de absorber proyectos en problemas.</w:t>
      </w:r>
    </w:p>
    <w:p>
      <w:pPr>
        <w:pStyle w:val="ListNumber"/>
        <w:spacing w:before="0" w:after="40"/>
      </w:pPr>
      <w:r>
        <w:rPr>
          <w:b/>
          <w:color w:val="1A1A1A"/>
          <w:sz w:val="20"/>
        </w:rPr>
        <w:t>Cambio de gobierno 2026 + posible reforma a Mi Casa Ya y subsidios VIS.</w:t>
      </w:r>
      <w:r>
        <w:rPr>
          <w:color w:val="1A1A1A"/>
          <w:sz w:val="20"/>
        </w:rPr>
        <w:t xml:space="preserve"> Riesgo regulatorio directo al modelo VIS.</w:t>
      </w:r>
    </w:p>
    <w:p>
      <w:pPr>
        <w:pStyle w:val="ListNumber"/>
        <w:spacing w:before="0" w:after="40"/>
      </w:pPr>
      <w:r>
        <w:rPr>
          <w:b/>
          <w:color w:val="1A1A1A"/>
          <w:sz w:val="20"/>
        </w:rPr>
        <w:t>Inflación de insumos de construcción (cemento, acero, hidrosanitario)</w:t>
      </w:r>
      <w:r>
        <w:rPr>
          <w:color w:val="1A1A1A"/>
          <w:sz w:val="20"/>
        </w:rPr>
        <w:t xml:space="preserve"> — sigue siendo presión sobre márgenes a pesar de moderación 2024-2025.</w:t>
      </w:r>
    </w:p>
    <w:p>
      <w:pPr>
        <w:pStyle w:val="ListNumber"/>
        <w:spacing w:before="0" w:after="40"/>
      </w:pPr>
      <w:r>
        <w:rPr>
          <w:b/>
          <w:color w:val="1A1A1A"/>
          <w:sz w:val="20"/>
        </w:rPr>
        <w:t>Competencia de grandes constructoras nacionales (Bolívar, Amarilo, Constructora Capital, Marval, Arpro)</w:t>
      </w:r>
      <w:r>
        <w:rPr>
          <w:color w:val="1A1A1A"/>
          <w:sz w:val="20"/>
        </w:rPr>
        <w:t xml:space="preserve"> que entran a Sabaneta-Itagüí con volumen y financiación bancaria preferencial.</w:t>
      </w:r>
    </w:p>
    <w:p>
      <w:pPr>
        <w:pStyle w:val="ListNumber"/>
        <w:spacing w:before="0" w:after="40"/>
      </w:pPr>
      <w:r>
        <w:rPr>
          <w:b/>
          <w:color w:val="1A1A1A"/>
          <w:sz w:val="20"/>
        </w:rPr>
        <w:t>Riesgo de no-pago / mora en compradores VIS</w:t>
      </w:r>
      <w:r>
        <w:rPr>
          <w:color w:val="1A1A1A"/>
          <w:sz w:val="20"/>
        </w:rPr>
        <w:t xml:space="preserve"> cuando macro económica se deteriora — Banco República monitorea esto.</w:t>
      </w:r>
    </w:p>
    <w:p>
      <w:pPr>
        <w:pStyle w:val="ListNumber"/>
        <w:spacing w:before="0" w:after="40"/>
      </w:pPr>
      <w:r>
        <w:rPr>
          <w:b/>
          <w:color w:val="1A1A1A"/>
          <w:sz w:val="20"/>
        </w:rPr>
        <w:t>Cuello de botella en trámites con curadurías y servicios públicos</w:t>
      </w:r>
      <w:r>
        <w:rPr>
          <w:color w:val="1A1A1A"/>
          <w:sz w:val="20"/>
        </w:rPr>
        <w:t xml:space="preserve"> (EPM en Medellín) — alarga ciclos y afecta caja.</w:t>
      </w:r>
    </w:p>
    <w:p>
      <w:pPr>
        <w:spacing w:before="280" w:after="60"/>
        <w:pBdr>
          <w:bottom w:val="single" w:sz="4" w:space="1" w:color="007AC3"/>
        </w:pBdr>
      </w:pPr>
      <w:r>
        <w:rPr>
          <w:b/>
          <w:color w:val="007AC3"/>
          <w:sz w:val="28"/>
        </w:rPr>
        <w:t>6. CINCO FUERZAS DE PORTER</w:t>
      </w:r>
    </w:p>
    <w:p>
      <w:pPr>
        <w:spacing w:before="80" w:after="40"/>
      </w:pPr>
      <w:r>
        <w:rPr>
          <w:b/>
          <w:color w:val="1A2E4A"/>
          <w:sz w:val="20"/>
        </w:rPr>
        <w:t>1. Rivalidad entre competidores existentes — ALTA</w:t>
      </w:r>
    </w:p>
    <w:p>
      <w:pPr>
        <w:spacing w:before="20" w:after="60"/>
      </w:pPr>
      <w:r>
        <w:rPr>
          <w:color w:val="1A1A1A"/>
          <w:sz w:val="20"/>
        </w:rPr>
        <w:t>Sector altamente competido en VIS Valle de Aburrá. Decenas de constructoras medianas + nacionales grandes (Bolívar, Amarilo, Capital, Marval) + locales antioqueñas (Conconcreto, Arquitectura y Concreto, Cusezar, Constructora Capital). Competencia por:</w:t>
      </w:r>
    </w:p>
    <w:p>
      <w:pPr>
        <w:spacing w:before="20" w:after="60"/>
      </w:pPr>
      <w:r>
        <w:rPr>
          <w:color w:val="1A1A1A"/>
          <w:sz w:val="20"/>
        </w:rPr>
        <w:t>(a) tierra escasa y cara en zonas valorizadas (Sabaneta, Envigado, Itagüí),</w:t>
      </w:r>
    </w:p>
    <w:p>
      <w:pPr>
        <w:spacing w:before="20" w:after="60"/>
      </w:pPr>
      <w:r>
        <w:rPr>
          <w:color w:val="1A1A1A"/>
          <w:sz w:val="20"/>
        </w:rPr>
        <w:t>(b) trabajadores calificados (maestros, oficiales),</w:t>
      </w:r>
    </w:p>
    <w:p>
      <w:pPr>
        <w:spacing w:before="20" w:after="60"/>
      </w:pPr>
      <w:r>
        <w:rPr>
          <w:color w:val="1A1A1A"/>
          <w:sz w:val="20"/>
        </w:rPr>
        <w:t>(c) compradores VIS (canal subsidio + canal directo).</w:t>
      </w:r>
    </w:p>
    <w:p>
      <w:pPr>
        <w:spacing w:before="80" w:after="40"/>
      </w:pPr>
      <w:r>
        <w:rPr>
          <w:b/>
          <w:color w:val="1A2E4A"/>
          <w:sz w:val="20"/>
        </w:rPr>
        <w:t>2. Amenaza de nuevos entrantes — MEDIA</w:t>
      </w:r>
    </w:p>
    <w:p>
      <w:pPr>
        <w:spacing w:before="20" w:after="60"/>
      </w:pPr>
      <w:r>
        <w:rPr>
          <w:color w:val="1A1A1A"/>
          <w:sz w:val="20"/>
        </w:rPr>
        <w:t>Barreras de entrada relevantes: capital intensivo (lotes COP 1.000-5.000M), conocimiento normativo (POT, curadurías, EDGE, INVIMA si comercial), red de contratistas, acceso a crédito constructor con fiducia. No es barrera trivial pero hay flujo constante de pequeñas constructoras saliendo y entrando — sector con alta tasa de rotación.</w:t>
      </w:r>
    </w:p>
    <w:p>
      <w:pPr>
        <w:spacing w:before="80" w:after="40"/>
      </w:pPr>
      <w:r>
        <w:rPr>
          <w:b/>
          <w:color w:val="1A2E4A"/>
          <w:sz w:val="20"/>
        </w:rPr>
        <w:t>3. Poder de negociación de clientes — MEDIO</w:t>
      </w:r>
    </w:p>
    <w:p>
      <w:pPr>
        <w:pStyle w:val="ListBullet"/>
        <w:spacing w:before="0" w:after="40"/>
      </w:pPr>
      <w:r>
        <w:rPr>
          <w:b/>
          <w:color w:val="1A1A1A"/>
          <w:sz w:val="20"/>
        </w:rPr>
        <w:t>Cliente VIS:</w:t>
      </w:r>
      <w:r>
        <w:rPr>
          <w:color w:val="1A1A1A"/>
          <w:sz w:val="20"/>
        </w:rPr>
        <w:t xml:space="preserve"> poder bajo individualmente (paga lo que el mercado pide); poder colectivo medio si las ventas se enfrían y obligan a descuentos/pies de cría.</w:t>
      </w:r>
    </w:p>
    <w:p>
      <w:pPr>
        <w:pStyle w:val="ListBullet"/>
        <w:spacing w:before="0" w:after="40"/>
      </w:pPr>
      <w:r>
        <w:rPr>
          <w:b/>
          <w:color w:val="1A1A1A"/>
          <w:sz w:val="20"/>
        </w:rPr>
        <w:t>Cliente turismo (Cartagena/Coveñas):</w:t>
      </w:r>
      <w:r>
        <w:rPr>
          <w:color w:val="1A1A1A"/>
          <w:sz w:val="20"/>
        </w:rPr>
        <w:t xml:space="preserve"> poder alto — mercado de inversión con muchas alternativas, sensible a tasas de interés.</w:t>
      </w:r>
    </w:p>
    <w:p>
      <w:pPr>
        <w:spacing w:before="80" w:after="40"/>
      </w:pPr>
      <w:r>
        <w:rPr>
          <w:b/>
          <w:color w:val="1A2E4A"/>
          <w:sz w:val="20"/>
        </w:rPr>
        <w:t>4. Poder de negociación de proveedores — MEDIO</w:t>
      </w:r>
    </w:p>
    <w:p>
      <w:pPr>
        <w:pStyle w:val="ListBullet"/>
        <w:spacing w:before="0" w:after="40"/>
      </w:pPr>
      <w:r>
        <w:rPr>
          <w:b/>
          <w:color w:val="1A1A1A"/>
          <w:sz w:val="20"/>
        </w:rPr>
        <w:t>Cemento:</w:t>
      </w:r>
      <w:r>
        <w:rPr>
          <w:color w:val="1A1A1A"/>
          <w:sz w:val="20"/>
        </w:rPr>
        <w:t xml:space="preserve"> Argos, Cemex Colombia dominan — poder alto.</w:t>
      </w:r>
    </w:p>
    <w:p>
      <w:pPr>
        <w:pStyle w:val="ListBullet"/>
        <w:spacing w:before="0" w:after="40"/>
      </w:pPr>
      <w:r>
        <w:rPr>
          <w:b/>
          <w:color w:val="1A1A1A"/>
          <w:sz w:val="20"/>
        </w:rPr>
        <w:t>Acero:</w:t>
      </w:r>
      <w:r>
        <w:rPr>
          <w:color w:val="1A1A1A"/>
          <w:sz w:val="20"/>
        </w:rPr>
        <w:t xml:space="preserve"> Acerías Paz del Río, Diaco, importación — concentración media.</w:t>
      </w:r>
    </w:p>
    <w:p>
      <w:pPr>
        <w:pStyle w:val="ListBullet"/>
        <w:spacing w:before="0" w:after="40"/>
      </w:pPr>
      <w:r>
        <w:rPr>
          <w:b/>
          <w:color w:val="1A1A1A"/>
          <w:sz w:val="20"/>
        </w:rPr>
        <w:t>Hidrosanitario, eléctrico, acabados:</w:t>
      </w:r>
      <w:r>
        <w:rPr>
          <w:color w:val="1A1A1A"/>
          <w:sz w:val="20"/>
        </w:rPr>
        <w:t xml:space="preserve"> muchos proveedores, poder bajo.</w:t>
      </w:r>
    </w:p>
    <w:p>
      <w:pPr>
        <w:pStyle w:val="ListBullet"/>
        <w:spacing w:before="0" w:after="40"/>
      </w:pPr>
      <w:r>
        <w:rPr>
          <w:b/>
          <w:color w:val="1A1A1A"/>
          <w:sz w:val="20"/>
        </w:rPr>
        <w:t>Mano de obra subcontratada:</w:t>
      </w:r>
      <w:r>
        <w:rPr>
          <w:color w:val="1A1A1A"/>
          <w:sz w:val="20"/>
        </w:rPr>
        <w:t xml:space="preserve"> poder creciente — escasez de oficiales calificados.</w:t>
      </w:r>
    </w:p>
    <w:p>
      <w:pPr>
        <w:pStyle w:val="ListBullet"/>
        <w:spacing w:before="0" w:after="40"/>
      </w:pPr>
      <w:r>
        <w:rPr>
          <w:b/>
          <w:color w:val="1A1A1A"/>
          <w:sz w:val="20"/>
        </w:rPr>
        <w:t>Tierra:</w:t>
      </w:r>
      <w:r>
        <w:rPr>
          <w:color w:val="1A1A1A"/>
          <w:sz w:val="20"/>
        </w:rPr>
        <w:t xml:space="preserve"> poder altísimo en zonas valorizadas (Sabaneta).</w:t>
      </w:r>
    </w:p>
    <w:p>
      <w:pPr>
        <w:spacing w:before="80" w:after="40"/>
      </w:pPr>
      <w:r>
        <w:rPr>
          <w:b/>
          <w:color w:val="1A2E4A"/>
          <w:sz w:val="20"/>
        </w:rPr>
        <w:t>5. Amenaza de productos/servicios sustitutos — MEDIA-BAJA</w:t>
      </w:r>
    </w:p>
    <w:p>
      <w:pPr>
        <w:spacing w:before="20" w:after="60"/>
      </w:pPr>
      <w:r>
        <w:rPr>
          <w:color w:val="1A1A1A"/>
          <w:sz w:val="20"/>
        </w:rPr>
        <w:t>Sustitutos: vivienda usada (mercado fuerte CO), arriendo, vivienda informal autoconstruida. En VIS específicamente, subsidios incentivan compra nueva sobre usada — mitiga sustitución. Tendencias emergentes: coliving, build-to-rent — incipientes en CO.</w:t>
      </w:r>
    </w:p>
    <w:p>
      <w:pPr>
        <w:spacing w:before="20" w:after="60"/>
      </w:pPr>
      <w:r>
        <w:rPr>
          <w:b/>
          <w:color w:val="1A1A1A"/>
          <w:sz w:val="20"/>
        </w:rPr>
        <w:t>Implicación estratégica:</w:t>
      </w:r>
      <w:r>
        <w:rPr>
          <w:color w:val="1A1A1A"/>
          <w:sz w:val="20"/>
        </w:rPr>
        <w:t xml:space="preserve"> Constructora Ascenso opera en un sector estructuralmente </w:t>
      </w:r>
      <w:r>
        <w:rPr>
          <w:b/>
          <w:color w:val="1A1A1A"/>
          <w:sz w:val="20"/>
        </w:rPr>
        <w:t>competido y con márgenes ajustados</w:t>
      </w:r>
      <w:r>
        <w:rPr>
          <w:color w:val="1A1A1A"/>
          <w:sz w:val="20"/>
        </w:rPr>
        <w:t xml:space="preserve">, pero con </w:t>
      </w:r>
      <w:r>
        <w:rPr>
          <w:b/>
          <w:color w:val="1A1A1A"/>
          <w:sz w:val="20"/>
        </w:rPr>
        <w:t>demanda fuerte y oferta cayendo</w:t>
      </w:r>
      <w:r>
        <w:rPr>
          <w:color w:val="1A1A1A"/>
          <w:sz w:val="20"/>
        </w:rPr>
        <w:t>. Tres palancas defendibles: (a) ubicación y land bank en Sabaneta, (b) sostenibilidad certificable como diferencial de precio/velocidad, (c) capacidad operacional para entregar a tiempo. Tecnología es palanca complementaria de eficiencia + experiencia de cliente, no de diferenciación estratégica.</w:t>
      </w:r>
    </w:p>
    <w:p>
      <w:pPr>
        <w:spacing w:before="280" w:after="60"/>
        <w:pBdr>
          <w:bottom w:val="single" w:sz="4" w:space="1" w:color="007AC3"/>
        </w:pBdr>
      </w:pPr>
      <w:r>
        <w:rPr>
          <w:b/>
          <w:color w:val="007AC3"/>
          <w:sz w:val="28"/>
        </w:rPr>
        <w:t>7. CADENA DE VALOR</w:t>
      </w:r>
    </w:p>
    <w:p>
      <w:pPr>
        <w:spacing w:before="160" w:after="40"/>
      </w:pPr>
      <w:r>
        <w:rPr>
          <w:b/>
          <w:color w:val="556577"/>
          <w:sz w:val="22"/>
        </w:rPr>
        <w:t>Actividades Primarias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Logística de entrada</w:t>
            </w:r>
          </w:p>
        </w:tc>
        <w:tc>
          <w:tcPr>
            <w:tcW w:type="dxa" w:w="3022"/>
            <w:shd w:val="clear" w:color="auto" w:fill="FFFFFF"/>
          </w:tcPr>
          <w:p>
            <w:pPr>
              <w:spacing w:before="40" w:after="40"/>
            </w:pPr>
            <w:r>
              <w:rPr>
                <w:color w:val="1A1A1A"/>
                <w:sz w:val="18"/>
              </w:rPr>
              <w:t>Compra de lotes, insumos (cemento, acero, hidrosanitario, eléctrico), contratación de subcontratistas</w:t>
            </w:r>
          </w:p>
        </w:tc>
        <w:tc>
          <w:tcPr>
            <w:tcW w:type="dxa" w:w="3022"/>
            <w:shd w:val="clear" w:color="auto" w:fill="FFFFFF"/>
          </w:tcPr>
          <w:p>
            <w:pPr>
              <w:spacing w:before="40" w:after="40"/>
            </w:pPr>
            <w:r>
              <w:rPr>
                <w:color w:val="1A1A1A"/>
                <w:sz w:val="18"/>
              </w:rPr>
              <w:t>Sí, mayoritariamente manual. Empresas de su tamaño usan Excel + correo + WhatsApp para gestión de compras.</w:t>
            </w:r>
          </w:p>
        </w:tc>
      </w:tr>
      <w:tr>
        <w:tc>
          <w:tcPr>
            <w:tcW w:type="dxa" w:w="3022"/>
            <w:shd w:val="clear" w:color="auto" w:fill="EBF3FA"/>
          </w:tcPr>
          <w:p>
            <w:pPr>
              <w:spacing w:before="40" w:after="40"/>
            </w:pPr>
            <w:r>
              <w:rPr>
                <w:color w:val="1A1A1A"/>
                <w:sz w:val="18"/>
              </w:rPr>
              <w:t>Operaciones / Construcción</w:t>
            </w:r>
          </w:p>
        </w:tc>
        <w:tc>
          <w:tcPr>
            <w:tcW w:type="dxa" w:w="3022"/>
            <w:shd w:val="clear" w:color="auto" w:fill="EBF3FA"/>
          </w:tcPr>
          <w:p>
            <w:pPr>
              <w:spacing w:before="40" w:after="40"/>
            </w:pPr>
            <w:r>
              <w:rPr>
                <w:color w:val="1A1A1A"/>
                <w:sz w:val="18"/>
              </w:rPr>
              <w:t>Construcción in-situ. Cuadrillas propias + subcontratistas (estructura, mampostería, instalaciones, acabados). Probable supervisión por residente de obra.</w:t>
            </w:r>
          </w:p>
        </w:tc>
        <w:tc>
          <w:tcPr>
            <w:tcW w:type="dxa" w:w="3022"/>
            <w:shd w:val="clear" w:color="auto" w:fill="EBF3FA"/>
          </w:tcPr>
          <w:p>
            <w:pPr>
              <w:spacing w:before="40" w:after="40"/>
            </w:pPr>
            <w:r>
              <w:rPr>
                <w:color w:val="1A1A1A"/>
                <w:sz w:val="18"/>
              </w:rPr>
              <w:t>Sí, manual. Bitácora, fotografías, control de avance — todo en papel/WhatsApp. Probable que no usen BIM.</w:t>
            </w:r>
          </w:p>
        </w:tc>
      </w:tr>
      <w:tr>
        <w:tc>
          <w:tcPr>
            <w:tcW w:type="dxa" w:w="3022"/>
            <w:shd w:val="clear" w:color="auto" w:fill="FFFFFF"/>
          </w:tcPr>
          <w:p>
            <w:pPr>
              <w:spacing w:before="40" w:after="40"/>
            </w:pPr>
            <w:r>
              <w:rPr>
                <w:color w:val="1A1A1A"/>
                <w:sz w:val="18"/>
              </w:rPr>
              <w:t>Logística de salida</w:t>
            </w:r>
          </w:p>
        </w:tc>
        <w:tc>
          <w:tcPr>
            <w:tcW w:type="dxa" w:w="3022"/>
            <w:shd w:val="clear" w:color="auto" w:fill="FFFFFF"/>
          </w:tcPr>
          <w:p>
            <w:pPr>
              <w:spacing w:before="40" w:after="40"/>
            </w:pPr>
            <w:r>
              <w:rPr>
                <w:color w:val="1A1A1A"/>
                <w:sz w:val="18"/>
              </w:rPr>
              <w:t>Entrega de unidades. Trámite escrituración, entrega de llaves, postventa inicial.</w:t>
            </w:r>
          </w:p>
        </w:tc>
        <w:tc>
          <w:tcPr>
            <w:tcW w:type="dxa" w:w="3022"/>
            <w:shd w:val="clear" w:color="auto" w:fill="FFFFFF"/>
          </w:tcPr>
          <w:p>
            <w:pPr>
              <w:spacing w:before="40" w:after="40"/>
            </w:pPr>
            <w:r>
              <w:rPr>
                <w:color w:val="1A1A1A"/>
                <w:sz w:val="18"/>
              </w:rPr>
              <w:t>Sí, manual.</w:t>
            </w:r>
          </w:p>
        </w:tc>
      </w:tr>
      <w:tr>
        <w:tc>
          <w:tcPr>
            <w:tcW w:type="dxa" w:w="3022"/>
            <w:shd w:val="clear" w:color="auto" w:fill="EBF3FA"/>
          </w:tcPr>
          <w:p>
            <w:pPr>
              <w:spacing w:before="40" w:after="40"/>
            </w:pPr>
            <w:r>
              <w:rPr>
                <w:color w:val="1A1A1A"/>
                <w:sz w:val="18"/>
              </w:rPr>
              <w:t>Marketing y ventas</w:t>
            </w:r>
          </w:p>
        </w:tc>
        <w:tc>
          <w:tcPr>
            <w:tcW w:type="dxa" w:w="3022"/>
            <w:shd w:val="clear" w:color="auto" w:fill="EBF3FA"/>
          </w:tcPr>
          <w:p>
            <w:pPr>
              <w:spacing w:before="40" w:after="40"/>
            </w:pPr>
            <w:r>
              <w:rPr>
                <w:color w:val="1A1A1A"/>
                <w:sz w:val="18"/>
              </w:rPr>
              <w:t>Sala de ventas + brokers + Instagram + Facebook + YouTube + WhatsApp + portales (Metrocuadrado, Finca Raíz, Ciencuadras, Properati).</w:t>
            </w:r>
          </w:p>
        </w:tc>
        <w:tc>
          <w:tcPr>
            <w:tcW w:type="dxa" w:w="3022"/>
            <w:shd w:val="clear" w:color="auto" w:fill="EBF3FA"/>
          </w:tcPr>
          <w:p>
            <w:pPr>
              <w:spacing w:before="40" w:after="40"/>
            </w:pPr>
            <w:r>
              <w:rPr>
                <w:color w:val="1A1A1A"/>
                <w:sz w:val="18"/>
              </w:rPr>
              <w:t>Mixto. Captura de lead vía redes y portales; gestión en CRM (probable Salesforce-light o nada). Cierre presencial.</w:t>
            </w:r>
          </w:p>
        </w:tc>
      </w:tr>
      <w:tr>
        <w:tc>
          <w:tcPr>
            <w:tcW w:type="dxa" w:w="3022"/>
            <w:shd w:val="clear" w:color="auto" w:fill="FFFFFF"/>
          </w:tcPr>
          <w:p>
            <w:pPr>
              <w:spacing w:before="40" w:after="40"/>
            </w:pPr>
            <w:r>
              <w:rPr>
                <w:color w:val="1A1A1A"/>
                <w:sz w:val="18"/>
              </w:rPr>
              <w:t>Servicio postventa</w:t>
            </w:r>
          </w:p>
        </w:tc>
        <w:tc>
          <w:tcPr>
            <w:tcW w:type="dxa" w:w="3022"/>
            <w:shd w:val="clear" w:color="auto" w:fill="FFFFFF"/>
          </w:tcPr>
          <w:p>
            <w:pPr>
              <w:spacing w:before="40" w:after="40"/>
            </w:pPr>
            <w:r>
              <w:rPr>
                <w:color w:val="1A1A1A"/>
                <w:sz w:val="18"/>
              </w:rPr>
              <w:t>Atención a reclamos de garantía durante 1-10 años (estructural).</w:t>
            </w:r>
          </w:p>
        </w:tc>
        <w:tc>
          <w:tcPr>
            <w:tcW w:type="dxa" w:w="3022"/>
            <w:shd w:val="clear" w:color="auto" w:fill="FFFFFF"/>
          </w:tcPr>
          <w:p>
            <w:pPr>
              <w:spacing w:before="40" w:after="40"/>
            </w:pPr>
            <w:r>
              <w:rPr>
                <w:color w:val="1A1A1A"/>
                <w:sz w:val="18"/>
              </w:rPr>
              <w:t>Sí, manual. Probable equipo pequeño con bandeja de reclamos en correo/WhatsApp.</w:t>
            </w:r>
          </w:p>
        </w:tc>
      </w:tr>
    </w:tbl>
    <w:p/>
    <w:p>
      <w:pPr>
        <w:spacing w:before="160" w:after="40"/>
      </w:pPr>
      <w:r>
        <w:rPr>
          <w:b/>
          <w:color w:val="556577"/>
          <w:sz w:val="22"/>
        </w:rPr>
        <w:t>Actividades de Soporte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Infraestructura (admin/finanzas)</w:t>
            </w:r>
          </w:p>
        </w:tc>
        <w:tc>
          <w:tcPr>
            <w:tcW w:type="dxa" w:w="3022"/>
            <w:shd w:val="clear" w:color="auto" w:fill="FFFFFF"/>
          </w:tcPr>
          <w:p>
            <w:pPr>
              <w:spacing w:before="40" w:after="40"/>
            </w:pPr>
            <w:r>
              <w:rPr>
                <w:color w:val="1A1A1A"/>
                <w:sz w:val="18"/>
              </w:rPr>
              <w:t>Contabilidad, gestión de fiducias por proyecto, reportería a Camacol y Supersociedades.</w:t>
            </w:r>
          </w:p>
        </w:tc>
        <w:tc>
          <w:tcPr>
            <w:tcW w:type="dxa" w:w="3022"/>
            <w:shd w:val="clear" w:color="auto" w:fill="FFFFFF"/>
          </w:tcPr>
          <w:p>
            <w:pPr>
              <w:spacing w:before="40" w:after="40"/>
            </w:pPr>
            <w:r>
              <w:rPr>
                <w:color w:val="1A1A1A"/>
                <w:sz w:val="18"/>
              </w:rPr>
              <w:t>Sí, probable Excel + ERP ligero (Siigo, World Office).</w:t>
            </w:r>
          </w:p>
        </w:tc>
      </w:tr>
      <w:tr>
        <w:tc>
          <w:tcPr>
            <w:tcW w:type="dxa" w:w="3022"/>
            <w:shd w:val="clear" w:color="auto" w:fill="EBF3FA"/>
          </w:tcPr>
          <w:p>
            <w:pPr>
              <w:spacing w:before="40" w:after="40"/>
            </w:pPr>
            <w:r>
              <w:rPr>
                <w:color w:val="1A1A1A"/>
                <w:sz w:val="18"/>
              </w:rPr>
              <w:t>Gestión de RRHH</w:t>
            </w:r>
          </w:p>
        </w:tc>
        <w:tc>
          <w:tcPr>
            <w:tcW w:type="dxa" w:w="3022"/>
            <w:shd w:val="clear" w:color="auto" w:fill="EBF3FA"/>
          </w:tcPr>
          <w:p>
            <w:pPr>
              <w:spacing w:before="40" w:after="40"/>
            </w:pPr>
            <w:r>
              <w:rPr>
                <w:color w:val="1A1A1A"/>
                <w:sz w:val="18"/>
              </w:rPr>
              <w:t>Contratación de personal administrativo + obrero. Subcontratación masiva.</w:t>
            </w:r>
          </w:p>
        </w:tc>
        <w:tc>
          <w:tcPr>
            <w:tcW w:type="dxa" w:w="3022"/>
            <w:shd w:val="clear" w:color="auto" w:fill="EBF3FA"/>
          </w:tcPr>
          <w:p>
            <w:pPr>
              <w:spacing w:before="40" w:after="40"/>
            </w:pPr>
            <w:r>
              <w:rPr>
                <w:color w:val="1A1A1A"/>
                <w:sz w:val="18"/>
              </w:rPr>
              <w:t>Manual.</w:t>
            </w:r>
          </w:p>
        </w:tc>
      </w:tr>
      <w:tr>
        <w:tc>
          <w:tcPr>
            <w:tcW w:type="dxa" w:w="3022"/>
            <w:shd w:val="clear" w:color="auto" w:fill="FFFFFF"/>
          </w:tcPr>
          <w:p>
            <w:pPr>
              <w:spacing w:before="40" w:after="40"/>
            </w:pPr>
            <w:r>
              <w:rPr>
                <w:color w:val="1A1A1A"/>
                <w:sz w:val="18"/>
              </w:rPr>
              <w:t>Tecnología / Sistemas</w:t>
            </w:r>
          </w:p>
        </w:tc>
        <w:tc>
          <w:tcPr>
            <w:tcW w:type="dxa" w:w="3022"/>
            <w:shd w:val="clear" w:color="auto" w:fill="FFFFFF"/>
          </w:tcPr>
          <w:p>
            <w:pPr>
              <w:spacing w:before="40" w:after="40"/>
            </w:pPr>
            <w:r>
              <w:rPr>
                <w:color w:val="1A1A1A"/>
                <w:sz w:val="18"/>
              </w:rPr>
              <w:t>No hay evidencia pública de stack avanzado. Probable: Office 365, WordPress, Meta Ads, WhatsApp Business, CRM inmobiliario ligero o ninguno.</w:t>
            </w:r>
          </w:p>
        </w:tc>
        <w:tc>
          <w:tcPr>
            <w:tcW w:type="dxa" w:w="3022"/>
            <w:shd w:val="clear" w:color="auto" w:fill="FFFFFF"/>
          </w:tcPr>
          <w:p>
            <w:pPr>
              <w:spacing w:before="40" w:after="40"/>
            </w:pPr>
            <w:r>
              <w:rPr>
                <w:color w:val="1A1A1A"/>
                <w:sz w:val="18"/>
              </w:rPr>
              <w:t>Stack ligero — oportunidad clara.</w:t>
            </w:r>
          </w:p>
        </w:tc>
      </w:tr>
      <w:tr>
        <w:tc>
          <w:tcPr>
            <w:tcW w:type="dxa" w:w="3022"/>
            <w:shd w:val="clear" w:color="auto" w:fill="EBF3FA"/>
          </w:tcPr>
          <w:p>
            <w:pPr>
              <w:spacing w:before="40" w:after="40"/>
            </w:pPr>
            <w:r>
              <w:rPr>
                <w:color w:val="1A1A1A"/>
                <w:sz w:val="18"/>
              </w:rPr>
              <w:t>Compras / Aprovisionamiento</w:t>
            </w:r>
          </w:p>
        </w:tc>
        <w:tc>
          <w:tcPr>
            <w:tcW w:type="dxa" w:w="3022"/>
            <w:shd w:val="clear" w:color="auto" w:fill="EBF3FA"/>
          </w:tcPr>
          <w:p>
            <w:pPr>
              <w:spacing w:before="40" w:after="40"/>
            </w:pPr>
            <w:r>
              <w:rPr>
                <w:color w:val="1A1A1A"/>
                <w:sz w:val="18"/>
              </w:rPr>
              <w:t>Negociación directa con proveedores grandes (Argos, Diaco) y red local.</w:t>
            </w:r>
          </w:p>
        </w:tc>
        <w:tc>
          <w:tcPr>
            <w:tcW w:type="dxa" w:w="3022"/>
            <w:shd w:val="clear" w:color="auto" w:fill="EBF3FA"/>
          </w:tcPr>
          <w:p>
            <w:pPr>
              <w:spacing w:before="40" w:after="40"/>
            </w:pPr>
            <w:r>
              <w:rPr>
                <w:color w:val="1A1A1A"/>
                <w:sz w:val="18"/>
              </w:rPr>
              <w:t>Manual.</w:t>
            </w:r>
          </w:p>
        </w:tc>
      </w:tr>
    </w:tbl>
    <w:p/>
    <w:p>
      <w:pPr>
        <w:spacing w:before="20" w:after="60"/>
      </w:pPr>
      <w:r>
        <w:rPr>
          <w:b/>
          <w:color w:val="1A1A1A"/>
          <w:sz w:val="20"/>
        </w:rPr>
        <w:t>Observación clave:</w:t>
      </w:r>
      <w:r>
        <w:rPr>
          <w:color w:val="1A1A1A"/>
          <w:sz w:val="20"/>
        </w:rPr>
        <w:t xml:space="preserve"> Las áreas con mayor potencial de automatización con IA en una constructora mediana son: </w:t>
      </w:r>
      <w:r>
        <w:rPr>
          <w:b/>
          <w:color w:val="1A1A1A"/>
          <w:sz w:val="20"/>
        </w:rPr>
        <w:t>(a) gestión del lead VIS</w:t>
      </w:r>
      <w:r>
        <w:rPr>
          <w:color w:val="1A1A1A"/>
          <w:sz w:val="20"/>
        </w:rPr>
        <w:t xml:space="preserve"> (funnel largo, alto volumen, sensibilidad a tiempo de respuesta), </w:t>
      </w:r>
      <w:r>
        <w:rPr>
          <w:b/>
          <w:color w:val="1A1A1A"/>
          <w:sz w:val="20"/>
        </w:rPr>
        <w:t>(b) control de avance de obra y conciliación de costos vs. presupuesto</w:t>
      </w:r>
      <w:r>
        <w:rPr>
          <w:color w:val="1A1A1A"/>
          <w:sz w:val="20"/>
        </w:rPr>
        <w:t xml:space="preserve"> (donde se pierde margen en construcción), </w:t>
      </w:r>
      <w:r>
        <w:rPr>
          <w:b/>
          <w:color w:val="1A1A1A"/>
          <w:sz w:val="20"/>
        </w:rPr>
        <w:t>(c) atención de postventa de garantía</w:t>
      </w:r>
      <w:r>
        <w:rPr>
          <w:color w:val="1A1A1A"/>
          <w:sz w:val="20"/>
        </w:rPr>
        <w:t xml:space="preserve"> (volumen alto, repetitivo), y </w:t>
      </w:r>
      <w:r>
        <w:rPr>
          <w:b/>
          <w:color w:val="1A1A1A"/>
          <w:sz w:val="20"/>
        </w:rPr>
        <w:t>(d) análisis del land bank y oportunidades de inversión en zonas de alta valorización</w:t>
      </w:r>
      <w:r>
        <w:rPr>
          <w:color w:val="1A1A1A"/>
          <w:sz w:val="20"/>
        </w:rPr>
        <w:t xml:space="preserve"> (donde la decisión estratégica define el éxito de los próximos 3 años).</w:t>
      </w:r>
    </w:p>
    <w:p>
      <w:pPr>
        <w:spacing w:before="280" w:after="60"/>
        <w:pBdr>
          <w:bottom w:val="single" w:sz="4" w:space="1" w:color="007AC3"/>
        </w:pBdr>
      </w:pPr>
      <w:r>
        <w:rPr>
          <w:b/>
          <w:color w:val="007AC3"/>
          <w:sz w:val="28"/>
        </w:rPr>
        <w:t>8. CANDIDATOS A QUICK WIN DE IA</w:t>
      </w:r>
    </w:p>
    <w:p>
      <w:pPr>
        <w:spacing w:before="80" w:after="40"/>
      </w:pPr>
      <w:r>
        <w:rPr>
          <w:b/>
          <w:color w:val="1A2E4A"/>
          <w:sz w:val="20"/>
        </w:rPr>
        <w:t>QW1: CRM inmobiliario con calificación automática de lead + scoring de probabilidad de cierre VIS</w:t>
      </w:r>
    </w:p>
    <w:p>
      <w:pPr>
        <w:pStyle w:val="ListBullet"/>
        <w:spacing w:before="0" w:after="40"/>
      </w:pPr>
      <w:r>
        <w:rPr>
          <w:b/>
          <w:color w:val="1A1A1A"/>
          <w:sz w:val="20"/>
        </w:rPr>
        <w:t>Evidencia observada:</w:t>
      </w:r>
      <w:r>
        <w:rPr>
          <w:color w:val="1A1A1A"/>
          <w:sz w:val="20"/>
        </w:rPr>
        <w:t xml:space="preserve"> Lead VIS tiene ciclo 3-9 meses (subsidio + crédito + cierre). Multi-portal (Metrocuadrado, Finca Raíz, redes sociales, sala de ventas). Sin un sistema central, los asesores priorizan por intuición y pierden leads buenos.</w:t>
      </w:r>
    </w:p>
    <w:p>
      <w:pPr>
        <w:pStyle w:val="ListBullet"/>
        <w:spacing w:before="0" w:after="40"/>
      </w:pPr>
      <w:r>
        <w:rPr>
          <w:b/>
          <w:color w:val="1A1A1A"/>
          <w:sz w:val="20"/>
        </w:rPr>
        <w:t>Impacto estimado:</w:t>
      </w:r>
      <w:r>
        <w:rPr>
          <w:color w:val="1A1A1A"/>
          <w:sz w:val="20"/>
        </w:rPr>
        <w:t xml:space="preserve"> Subir tasa de cierre 10-20% sobre la misma base de leads. Reducir 20-30% el tiempo de asesores en seguimiento manual.</w:t>
      </w:r>
    </w:p>
    <w:p>
      <w:pPr>
        <w:pStyle w:val="ListBullet"/>
        <w:spacing w:before="0" w:after="40"/>
      </w:pPr>
      <w:r>
        <w:rPr>
          <w:b/>
          <w:color w:val="1A1A1A"/>
          <w:sz w:val="20"/>
        </w:rPr>
        <w:t>Solución probable:</w:t>
      </w:r>
      <w:r>
        <w:rPr>
          <w:color w:val="1A1A1A"/>
          <w:sz w:val="20"/>
        </w:rPr>
        <w:t xml:space="preserve"> HubSpot Sales Hub Starter, Salesforce Starter o Bitrix24 (CRM gratis/bajo costo) + integración con WhatsApp Business API + scoring vía OpenAI/Claude API sobre datos del lead.</w:t>
      </w:r>
    </w:p>
    <w:p>
      <w:pPr>
        <w:pStyle w:val="ListBullet"/>
        <w:spacing w:before="0" w:after="40"/>
      </w:pPr>
      <w:r>
        <w:rPr>
          <w:b/>
          <w:color w:val="1A1A1A"/>
          <w:sz w:val="20"/>
        </w:rPr>
        <w:t>Dificultad estimada:</w:t>
      </w:r>
      <w:r>
        <w:rPr>
          <w:color w:val="1A1A1A"/>
          <w:sz w:val="20"/>
        </w:rPr>
        <w:t xml:space="preserve"> Baja-Media.</w:t>
      </w:r>
    </w:p>
    <w:p>
      <w:pPr>
        <w:spacing w:before="80" w:after="40"/>
      </w:pPr>
      <w:r>
        <w:rPr>
          <w:b/>
          <w:color w:val="1A2E4A"/>
          <w:sz w:val="20"/>
        </w:rPr>
        <w:t>QW2: Agente WhatsApp para atención de preguntas de proyecto + filtros calificadores</w:t>
      </w:r>
    </w:p>
    <w:p>
      <w:pPr>
        <w:pStyle w:val="ListBullet"/>
        <w:spacing w:before="0" w:after="40"/>
      </w:pPr>
      <w:r>
        <w:rPr>
          <w:b/>
          <w:color w:val="1A1A1A"/>
          <w:sz w:val="20"/>
        </w:rPr>
        <w:t>Evidencia observada:</w:t>
      </w:r>
      <w:r>
        <w:rPr>
          <w:color w:val="1A1A1A"/>
          <w:sz w:val="20"/>
        </w:rPr>
        <w:t xml:space="preserve"> WhatsApp es canal principal de Ascenso (botón explícito en web + Facebook). Cada proyecto recibe cientos de mensajes/semana con preguntas repetidas: ¿precio?, ¿ubicación exacta?, ¿quedan unidades?, ¿califico a subsidio?, ¿cuánto es la cuota inicial?, ¿cuándo entregan?.</w:t>
      </w:r>
    </w:p>
    <w:p>
      <w:pPr>
        <w:pStyle w:val="ListBullet"/>
        <w:spacing w:before="0" w:after="40"/>
      </w:pPr>
      <w:r>
        <w:rPr>
          <w:b/>
          <w:color w:val="1A1A1A"/>
          <w:sz w:val="20"/>
        </w:rPr>
        <w:t>Impacto estimado:</w:t>
      </w:r>
      <w:r>
        <w:rPr>
          <w:color w:val="1A1A1A"/>
          <w:sz w:val="20"/>
        </w:rPr>
        <w:t xml:space="preserve"> Recuperar 30-50% de conversaciones que hoy se pierden por tiempo de respuesta. Liberar 20-40 horas/semana del equipo de ventas para dedicarse a leads calificados.</w:t>
      </w:r>
    </w:p>
    <w:p>
      <w:pPr>
        <w:pStyle w:val="ListBullet"/>
        <w:spacing w:before="0" w:after="40"/>
      </w:pPr>
      <w:r>
        <w:rPr>
          <w:b/>
          <w:color w:val="1A1A1A"/>
          <w:sz w:val="20"/>
        </w:rPr>
        <w:t>Solución probable:</w:t>
      </w:r>
      <w:r>
        <w:rPr>
          <w:color w:val="1A1A1A"/>
          <w:sz w:val="20"/>
        </w:rPr>
        <w:t xml:space="preserve"> Agente conversacional sobre WhatsApp Business API (Meta) + base de conocimiento por proyecto + handoff a humano cuando hay intención de visita o problema complejo.</w:t>
      </w:r>
    </w:p>
    <w:p>
      <w:pPr>
        <w:pStyle w:val="ListBullet"/>
        <w:spacing w:before="0" w:after="40"/>
      </w:pPr>
      <w:r>
        <w:rPr>
          <w:b/>
          <w:color w:val="1A1A1A"/>
          <w:sz w:val="20"/>
        </w:rPr>
        <w:t>Dificultad estimada:</w:t>
      </w:r>
      <w:r>
        <w:rPr>
          <w:color w:val="1A1A1A"/>
          <w:sz w:val="20"/>
        </w:rPr>
        <w:t xml:space="preserve"> Baja-Media.</w:t>
      </w:r>
    </w:p>
    <w:p>
      <w:pPr>
        <w:spacing w:before="80" w:after="40"/>
      </w:pPr>
      <w:r>
        <w:rPr>
          <w:b/>
          <w:color w:val="1A2E4A"/>
          <w:sz w:val="20"/>
        </w:rPr>
        <w:t>QW3: Recorridos virtuales 3D + configurador de unidades con asistente IA</w:t>
      </w:r>
    </w:p>
    <w:p>
      <w:pPr>
        <w:pStyle w:val="ListBullet"/>
        <w:spacing w:before="0" w:after="40"/>
      </w:pPr>
      <w:r>
        <w:rPr>
          <w:b/>
          <w:color w:val="1A1A1A"/>
          <w:sz w:val="20"/>
        </w:rPr>
        <w:t>Evidencia observada:</w:t>
      </w:r>
      <w:r>
        <w:rPr>
          <w:color w:val="1A1A1A"/>
          <w:sz w:val="20"/>
        </w:rPr>
        <w:t xml:space="preserve"> VIS Sabaneta tiene 3 proyectos en pipeline distintos (Ciudadela el Paraíso, Paraíso Campestre, Portal del Paraíso). Cada uno con varios tipos de apartamento, vista, piso, acabados. El comprador VIS típicamente desconoce qué le conviene; el asesor humano explica una y otra vez.</w:t>
      </w:r>
    </w:p>
    <w:p>
      <w:pPr>
        <w:pStyle w:val="ListBullet"/>
        <w:spacing w:before="0" w:after="40"/>
      </w:pPr>
      <w:r>
        <w:rPr>
          <w:b/>
          <w:color w:val="1A1A1A"/>
          <w:sz w:val="20"/>
        </w:rPr>
        <w:t>Impacto estimado:</w:t>
      </w:r>
      <w:r>
        <w:rPr>
          <w:color w:val="1A1A1A"/>
          <w:sz w:val="20"/>
        </w:rPr>
        <w:t xml:space="preserve"> Reducir 30-50% del tiempo de asesor por venta. Aumentar conversión por mejora de experiencia. Captura de comprador remoto (cartageneros, costeños interesados en Sabaneta).</w:t>
      </w:r>
    </w:p>
    <w:p>
      <w:pPr>
        <w:pStyle w:val="ListBullet"/>
        <w:spacing w:before="0" w:after="40"/>
      </w:pPr>
      <w:r>
        <w:rPr>
          <w:b/>
          <w:color w:val="1A1A1A"/>
          <w:sz w:val="20"/>
        </w:rPr>
        <w:t>Solución probable:</w:t>
      </w:r>
      <w:r>
        <w:rPr>
          <w:color w:val="1A1A1A"/>
          <w:sz w:val="20"/>
        </w:rPr>
        <w:t xml:space="preserve"> Matterport o equivalente para tour 3D + configurador web con visualización por tipología + asistente IA que recomienda según presupuesto y necesidades del cliente.</w:t>
      </w:r>
    </w:p>
    <w:p>
      <w:pPr>
        <w:pStyle w:val="ListBullet"/>
        <w:spacing w:before="0" w:after="40"/>
      </w:pPr>
      <w:r>
        <w:rPr>
          <w:b/>
          <w:color w:val="1A1A1A"/>
          <w:sz w:val="20"/>
        </w:rPr>
        <w:t>Dificultad estimada:</w:t>
      </w:r>
      <w:r>
        <w:rPr>
          <w:color w:val="1A1A1A"/>
          <w:sz w:val="20"/>
        </w:rPr>
        <w:t xml:space="preserve"> Media.</w:t>
      </w:r>
    </w:p>
    <w:p>
      <w:pPr>
        <w:spacing w:before="80" w:after="40"/>
      </w:pPr>
      <w:r>
        <w:rPr>
          <w:b/>
          <w:color w:val="1A2E4A"/>
          <w:sz w:val="20"/>
        </w:rPr>
        <w:t>QW4: Control de avance de obra con captura por foto + IA de visión + dashboard de costo vs presupuesto</w:t>
      </w:r>
    </w:p>
    <w:p>
      <w:pPr>
        <w:pStyle w:val="ListBullet"/>
        <w:spacing w:before="0" w:after="40"/>
      </w:pPr>
      <w:r>
        <w:rPr>
          <w:b/>
          <w:color w:val="1A1A1A"/>
          <w:sz w:val="20"/>
        </w:rPr>
        <w:t>Evidencia observada:</w:t>
      </w:r>
      <w:r>
        <w:rPr>
          <w:color w:val="1A1A1A"/>
          <w:sz w:val="20"/>
        </w:rPr>
        <w:t xml:space="preserve"> Construcción en 6+ ciudades simultáneamente con bitácora manual. La diferencia entre proyecto rentable y no rentable está en el control de avance y costo en tiempo real. Hoy probablemente se reporta semanal con Excel + fotos sueltas en WhatsApp.</w:t>
      </w:r>
    </w:p>
    <w:p>
      <w:pPr>
        <w:pStyle w:val="ListBullet"/>
        <w:spacing w:before="0" w:after="40"/>
      </w:pPr>
      <w:r>
        <w:rPr>
          <w:b/>
          <w:color w:val="1A1A1A"/>
          <w:sz w:val="20"/>
        </w:rPr>
        <w:t>Impacto estimado:</w:t>
      </w:r>
      <w:r>
        <w:rPr>
          <w:color w:val="1A1A1A"/>
          <w:sz w:val="20"/>
        </w:rPr>
        <w:t xml:space="preserve"> Detectar desviaciones de presupuesto 30-60 días antes que el método actual. Recuperar 1-3% de margen sobre costos totales = COP 250-1.000M por año en margen recuperado para una constructora de su tamaño.</w:t>
      </w:r>
    </w:p>
    <w:p>
      <w:pPr>
        <w:pStyle w:val="ListBullet"/>
        <w:spacing w:before="0" w:after="40"/>
      </w:pPr>
      <w:r>
        <w:rPr>
          <w:b/>
          <w:color w:val="1A1A1A"/>
          <w:sz w:val="20"/>
        </w:rPr>
        <w:t>Solución probable:</w:t>
      </w:r>
      <w:r>
        <w:rPr>
          <w:color w:val="1A1A1A"/>
          <w:sz w:val="20"/>
        </w:rPr>
        <w:t xml:space="preserve"> App móvil para residente de obra (captura fotos + checklist) + IA de visión para análisis de avance + dashboard de costos en tiempo real (Sienge, ProperLogic, o solución custom sobre Power BI).</w:t>
      </w:r>
    </w:p>
    <w:p>
      <w:pPr>
        <w:pStyle w:val="ListBullet"/>
        <w:spacing w:before="0" w:after="40"/>
      </w:pPr>
      <w:r>
        <w:rPr>
          <w:b/>
          <w:color w:val="1A1A1A"/>
          <w:sz w:val="20"/>
        </w:rPr>
        <w:t>Dificultad estimada:</w:t>
      </w:r>
      <w:r>
        <w:rPr>
          <w:color w:val="1A1A1A"/>
          <w:sz w:val="20"/>
        </w:rPr>
        <w:t xml:space="preserve"> Media-Alta.</w:t>
      </w:r>
    </w:p>
    <w:p>
      <w:pPr>
        <w:spacing w:before="80" w:after="40"/>
      </w:pPr>
      <w:r>
        <w:rPr>
          <w:b/>
          <w:color w:val="1A2E4A"/>
          <w:sz w:val="20"/>
        </w:rPr>
        <w:t>QW5: Asistente de análisis para evaluación de nuevos lotes / land bank</w:t>
      </w:r>
    </w:p>
    <w:p>
      <w:pPr>
        <w:pStyle w:val="ListBullet"/>
        <w:spacing w:before="0" w:after="40"/>
      </w:pPr>
      <w:r>
        <w:rPr>
          <w:b/>
          <w:color w:val="1A1A1A"/>
          <w:sz w:val="20"/>
        </w:rPr>
        <w:t>Evidencia observada:</w:t>
      </w:r>
      <w:r>
        <w:rPr>
          <w:color w:val="1A1A1A"/>
          <w:sz w:val="20"/>
        </w:rPr>
        <w:t xml:space="preserve"> Constructora con cobertura multi-ciudad necesita evaluar oportunidades de lotes constantemente (Sabaneta, Itagüí, Cartagena, Coveñas, Montería). Cada análisis requiere recolectar avalúo, POT, comparables, demanda, tiempos curaduría — semanas de trabajo de un analista.</w:t>
      </w:r>
    </w:p>
    <w:p>
      <w:pPr>
        <w:pStyle w:val="ListBullet"/>
        <w:spacing w:before="0" w:after="40"/>
      </w:pPr>
      <w:r>
        <w:rPr>
          <w:b/>
          <w:color w:val="1A1A1A"/>
          <w:sz w:val="20"/>
        </w:rPr>
        <w:t>Impacto estimado:</w:t>
      </w:r>
      <w:r>
        <w:rPr>
          <w:color w:val="1A1A1A"/>
          <w:sz w:val="20"/>
        </w:rPr>
        <w:t xml:space="preserve"> Reducir 50-70% del tiempo de análisis pre-decisión de lote. Permitir evaluar 3-5x más oportunidades por trimestre.</w:t>
      </w:r>
    </w:p>
    <w:p>
      <w:pPr>
        <w:pStyle w:val="ListBullet"/>
        <w:spacing w:before="0" w:after="40"/>
      </w:pPr>
      <w:r>
        <w:rPr>
          <w:b/>
          <w:color w:val="1A1A1A"/>
          <w:sz w:val="20"/>
        </w:rPr>
        <w:t>Solución probable:</w:t>
      </w:r>
      <w:r>
        <w:rPr>
          <w:color w:val="1A1A1A"/>
          <w:sz w:val="20"/>
        </w:rPr>
        <w:t xml:space="preserve"> Agente IA con acceso a POT digitalizado, avalúos catastrales públicos, censo, datos de venta comparables (Finca Raíz, Metrocuadrado scraping), reglas curaduría. Salida: ficha automatizada de oportunidad con scoring.</w:t>
      </w:r>
    </w:p>
    <w:p>
      <w:pPr>
        <w:pStyle w:val="ListBullet"/>
        <w:spacing w:before="0" w:after="40"/>
      </w:pPr>
      <w:r>
        <w:rPr>
          <w:b/>
          <w:color w:val="1A1A1A"/>
          <w:sz w:val="20"/>
        </w:rPr>
        <w:t>Dificultad estimada:</w:t>
      </w:r>
      <w:r>
        <w:rPr>
          <w:color w:val="1A1A1A"/>
          <w:sz w:val="20"/>
        </w:rPr>
        <w:t xml:space="preserve"> Alta — requiere construcción de la base de conocimiento territorial.</w:t>
      </w:r>
    </w:p>
    <w:p>
      <w:pPr>
        <w:spacing w:before="280" w:after="60"/>
        <w:pBdr>
          <w:bottom w:val="single" w:sz="4" w:space="1" w:color="007AC3"/>
        </w:pBdr>
      </w:pPr>
      <w:r>
        <w:rPr>
          <w:b/>
          <w:color w:val="007AC3"/>
          <w:sz w:val="28"/>
        </w:rPr>
        <w:t>9. CONCLUSIONES PARA CONSULTORÍA</w:t>
      </w:r>
    </w:p>
    <w:p>
      <w:pPr>
        <w:pStyle w:val="ListNumber"/>
        <w:spacing w:before="0" w:after="40"/>
      </w:pPr>
      <w:r>
        <w:rPr>
          <w:b/>
          <w:color w:val="1A1A1A"/>
          <w:sz w:val="20"/>
        </w:rPr>
        <w:t>Empresa con mercado en repunte pero sin infraestructura digital para capitalizarlo.</w:t>
      </w:r>
      <w:r>
        <w:rPr>
          <w:color w:val="1A1A1A"/>
          <w:sz w:val="20"/>
        </w:rPr>
        <w:t xml:space="preserve"> Las ventas de vivienda crecieron +12.4% en 2025 y Ascenso opera en zonas valorizadas — pero su funnel comercial y operacional sigue siendo manual. El primer caso de negocio se cuenta solo: si capturan 10% más de los leads que ya reciben por canales digitales, eso son 50-100 unidades adicionales al año.</w:t>
      </w:r>
    </w:p>
    <w:p>
      <w:pPr>
        <w:pStyle w:val="ListNumber"/>
        <w:spacing w:before="0" w:after="40"/>
      </w:pPr>
      <w:r>
        <w:rPr>
          <w:b/>
          <w:color w:val="1A1A1A"/>
          <w:sz w:val="20"/>
        </w:rPr>
        <w:t>Foco VIS = ticket pequeño por inversión, decisión de compra ágil por urgencia (subsidios).</w:t>
      </w:r>
      <w:r>
        <w:rPr>
          <w:color w:val="1A1A1A"/>
          <w:sz w:val="20"/>
        </w:rPr>
        <w:t xml:space="preserve"> Esto significa que el ROI de cualquier herramienta de automatización del funnel es directo y rápidamente medible. No tienen que esperar 18 meses a ver resultados — los ven en 3-6.</w:t>
      </w:r>
    </w:p>
    <w:p>
      <w:pPr>
        <w:pStyle w:val="ListNumber"/>
        <w:spacing w:before="0" w:after="40"/>
      </w:pPr>
      <w:r>
        <w:rPr>
          <w:b/>
          <w:color w:val="1A1A1A"/>
          <w:sz w:val="20"/>
        </w:rPr>
        <w:t>Información pública de la empresa es desigual.</w:t>
      </w:r>
      <w:r>
        <w:rPr>
          <w:color w:val="1A1A1A"/>
          <w:sz w:val="20"/>
        </w:rPr>
        <w:t xml:space="preserve"> Sin fundadores nombrados, sin LinkedIn corporativo robusto, página /nosotros con 404. </w:t>
      </w:r>
      <w:r>
        <w:rPr>
          <w:b/>
          <w:color w:val="1A1A1A"/>
          <w:sz w:val="20"/>
        </w:rPr>
        <w:t>Antes de la llamada, levantar nombres reales via LinkedIn directo o vía red Camacol/La Lonja</w:t>
      </w:r>
      <w:r>
        <w:rPr>
          <w:color w:val="1A1A1A"/>
          <w:sz w:val="20"/>
        </w:rPr>
        <w:t xml:space="preserve"> — si el contacto es un asesor de ventas y no quien firma cheques, hay que pedir cita con quien decida.</w:t>
      </w:r>
    </w:p>
    <w:p>
      <w:pPr>
        <w:pStyle w:val="ListNumber"/>
        <w:spacing w:before="0" w:after="40"/>
      </w:pPr>
      <w:r>
        <w:rPr>
          <w:b/>
          <w:color w:val="1A1A1A"/>
          <w:sz w:val="20"/>
        </w:rPr>
        <w:t>Cobertura multi-ciudad sin sistema central = dolor estructural muy probable.</w:t>
      </w:r>
      <w:r>
        <w:rPr>
          <w:color w:val="1A1A1A"/>
          <w:sz w:val="20"/>
        </w:rPr>
        <w:t xml:space="preserve"> Coordinar Medellín + Sabaneta + Itagüí + Cartagena + Coveñas + Montería con Excel y WhatsApp es operativamente caro. Probable dolor en consolidación de ventas, control de obra, y reportería a junta.</w:t>
      </w:r>
    </w:p>
    <w:p>
      <w:pPr>
        <w:pStyle w:val="ListNumber"/>
        <w:spacing w:before="0" w:after="40"/>
      </w:pPr>
      <w:r>
        <w:rPr>
          <w:b/>
          <w:color w:val="1A1A1A"/>
          <w:sz w:val="20"/>
        </w:rPr>
        <w:t>Sostenibilidad como diferencial de marca + venta.</w:t>
      </w:r>
      <w:r>
        <w:rPr>
          <w:color w:val="1A1A1A"/>
          <w:sz w:val="20"/>
        </w:rPr>
        <w:t xml:space="preserve"> Son miembros activos de CCCS. Combinar IA con sostenibilidad (optimización energética de proyectos, certificaciones EDGE automatizadas, marketing sostenible) es una historia comercial fuerte que diferencia a Nexostrat de proveedores de "transformación digital" genéricos.</w:t>
      </w:r>
    </w:p>
    <w:p>
      <w:pPr>
        <w:pStyle w:val="ListNumber"/>
        <w:spacing w:before="0" w:after="40"/>
      </w:pPr>
      <w:r>
        <w:rPr>
          <w:b/>
          <w:color w:val="1A1A1A"/>
          <w:sz w:val="20"/>
        </w:rPr>
        <w:t>Decisor más probable: socio fundador / gerente general + gerente comercial.</w:t>
      </w:r>
      <w:r>
        <w:rPr>
          <w:color w:val="1A1A1A"/>
          <w:sz w:val="20"/>
        </w:rPr>
        <w:t xml:space="preserve"> Empresas de este tamaño no tienen CIO; el GG decide. Llegar con caso de ROI medible (no con discurso de innovación) y proponer prototipo de 30-60 días con un dolor único.</w:t>
      </w:r>
    </w:p>
    <w:p>
      <w:pPr>
        <w:spacing w:before="280" w:after="60"/>
        <w:pBdr>
          <w:bottom w:val="single" w:sz="4" w:space="1" w:color="007AC3"/>
        </w:pBdr>
      </w:pPr>
      <w:r>
        <w:rPr>
          <w:b/>
          <w:color w:val="007AC3"/>
          <w:sz w:val="28"/>
        </w:rPr>
        <w:t>10. SEÑALES DE PRESUPUESTO</w:t>
      </w:r>
    </w:p>
    <w:p>
      <w:pPr>
        <w:spacing w:before="80" w:after="40"/>
      </w:pPr>
      <w:r>
        <w:rPr>
          <w:b/>
          <w:color w:val="1A2E4A"/>
          <w:sz w:val="20"/>
        </w:rPr>
        <w:t>Capacidad de inversión estimada: MEDIA</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Factor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Interpretación</w:t>
            </w:r>
          </w:p>
        </w:tc>
      </w:tr>
      <w:tr>
        <w:tc>
          <w:tcPr>
            <w:tcW w:type="dxa" w:w="3022"/>
            <w:shd w:val="clear" w:color="auto" w:fill="FFFFFF"/>
          </w:tcPr>
          <w:p>
            <w:pPr>
              <w:spacing w:before="40" w:after="40"/>
            </w:pPr>
            <w:r>
              <w:rPr>
                <w:color w:val="1A1A1A"/>
                <w:sz w:val="18"/>
              </w:rPr>
              <w:t>Ingresos anuales (estimación gruesa)</w:t>
            </w:r>
          </w:p>
        </w:tc>
        <w:tc>
          <w:tcPr>
            <w:tcW w:type="dxa" w:w="3022"/>
            <w:shd w:val="clear" w:color="auto" w:fill="FFFFFF"/>
          </w:tcPr>
          <w:p>
            <w:pPr>
              <w:spacing w:before="40" w:after="40"/>
            </w:pPr>
            <w:r>
              <w:rPr>
                <w:color w:val="1A1A1A"/>
                <w:sz w:val="18"/>
              </w:rPr>
              <w:t>COP 25.000-50.000M (USD 6-12M)</w:t>
            </w:r>
          </w:p>
        </w:tc>
        <w:tc>
          <w:tcPr>
            <w:tcW w:type="dxa" w:w="3022"/>
            <w:shd w:val="clear" w:color="auto" w:fill="FFFFFF"/>
          </w:tcPr>
          <w:p>
            <w:pPr>
              <w:spacing w:before="40" w:after="40"/>
            </w:pPr>
            <w:r>
              <w:rPr>
                <w:color w:val="1A1A1A"/>
                <w:sz w:val="18"/>
              </w:rPr>
              <w:t>Mediana empresa con caja para invertir si ROI claro.</w:t>
            </w:r>
          </w:p>
        </w:tc>
      </w:tr>
      <w:tr>
        <w:tc>
          <w:tcPr>
            <w:tcW w:type="dxa" w:w="3022"/>
            <w:shd w:val="clear" w:color="auto" w:fill="EBF3FA"/>
          </w:tcPr>
          <w:p>
            <w:pPr>
              <w:spacing w:before="40" w:after="40"/>
            </w:pPr>
            <w:r>
              <w:rPr>
                <w:color w:val="1A1A1A"/>
                <w:sz w:val="18"/>
              </w:rPr>
              <w:t>Margen neto VIS típico sector</w:t>
            </w:r>
          </w:p>
        </w:tc>
        <w:tc>
          <w:tcPr>
            <w:tcW w:type="dxa" w:w="3022"/>
            <w:shd w:val="clear" w:color="auto" w:fill="EBF3FA"/>
          </w:tcPr>
          <w:p>
            <w:pPr>
              <w:spacing w:before="40" w:after="40"/>
            </w:pPr>
            <w:r>
              <w:rPr>
                <w:color w:val="1A1A1A"/>
                <w:sz w:val="18"/>
              </w:rPr>
              <w:t>5-12%</w:t>
            </w:r>
          </w:p>
        </w:tc>
        <w:tc>
          <w:tcPr>
            <w:tcW w:type="dxa" w:w="3022"/>
            <w:shd w:val="clear" w:color="auto" w:fill="EBF3FA"/>
          </w:tcPr>
          <w:p>
            <w:pPr>
              <w:spacing w:before="40" w:after="40"/>
            </w:pPr>
            <w:r>
              <w:rPr>
                <w:color w:val="1A1A1A"/>
                <w:sz w:val="18"/>
              </w:rPr>
              <w:t>Ajustado — exige caso de inversión con payback corto.</w:t>
            </w:r>
          </w:p>
        </w:tc>
      </w:tr>
      <w:tr>
        <w:tc>
          <w:tcPr>
            <w:tcW w:type="dxa" w:w="3022"/>
            <w:shd w:val="clear" w:color="auto" w:fill="FFFFFF"/>
          </w:tcPr>
          <w:p>
            <w:pPr>
              <w:spacing w:before="40" w:after="40"/>
            </w:pPr>
            <w:r>
              <w:rPr>
                <w:color w:val="1A1A1A"/>
                <w:sz w:val="18"/>
              </w:rPr>
              <w:t>Cobertura geográfica</w:t>
            </w:r>
          </w:p>
        </w:tc>
        <w:tc>
          <w:tcPr>
            <w:tcW w:type="dxa" w:w="3022"/>
            <w:shd w:val="clear" w:color="auto" w:fill="FFFFFF"/>
          </w:tcPr>
          <w:p>
            <w:pPr>
              <w:spacing w:before="40" w:after="40"/>
            </w:pPr>
            <w:r>
              <w:rPr>
                <w:color w:val="1A1A1A"/>
                <w:sz w:val="18"/>
              </w:rPr>
              <w:t>6 ciudades</w:t>
            </w:r>
          </w:p>
        </w:tc>
        <w:tc>
          <w:tcPr>
            <w:tcW w:type="dxa" w:w="3022"/>
            <w:shd w:val="clear" w:color="auto" w:fill="FFFFFF"/>
          </w:tcPr>
          <w:p>
            <w:pPr>
              <w:spacing w:before="40" w:after="40"/>
            </w:pPr>
            <w:r>
              <w:rPr>
                <w:color w:val="1A1A1A"/>
                <w:sz w:val="18"/>
              </w:rPr>
              <w:t>Compleja operativamente — más motivos para invertir en sistemas.</w:t>
            </w:r>
          </w:p>
        </w:tc>
      </w:tr>
      <w:tr>
        <w:tc>
          <w:tcPr>
            <w:tcW w:type="dxa" w:w="3022"/>
            <w:shd w:val="clear" w:color="auto" w:fill="EBF3FA"/>
          </w:tcPr>
          <w:p>
            <w:pPr>
              <w:spacing w:before="40" w:after="40"/>
            </w:pPr>
            <w:r>
              <w:rPr>
                <w:color w:val="1A1A1A"/>
                <w:sz w:val="18"/>
              </w:rPr>
              <w:t>Tamaño empresa (estimado)</w:t>
            </w:r>
          </w:p>
        </w:tc>
        <w:tc>
          <w:tcPr>
            <w:tcW w:type="dxa" w:w="3022"/>
            <w:shd w:val="clear" w:color="auto" w:fill="EBF3FA"/>
          </w:tcPr>
          <w:p>
            <w:pPr>
              <w:spacing w:before="40" w:after="40"/>
            </w:pPr>
            <w:r>
              <w:rPr>
                <w:color w:val="1A1A1A"/>
                <w:sz w:val="18"/>
              </w:rPr>
              <w:t>Mediana regional</w:t>
            </w:r>
          </w:p>
        </w:tc>
        <w:tc>
          <w:tcPr>
            <w:tcW w:type="dxa" w:w="3022"/>
            <w:shd w:val="clear" w:color="auto" w:fill="EBF3FA"/>
          </w:tcPr>
          <w:p>
            <w:pPr>
              <w:spacing w:before="40" w:after="40"/>
            </w:pPr>
            <w:r>
              <w:rPr>
                <w:color w:val="1A1A1A"/>
                <w:sz w:val="18"/>
              </w:rPr>
              <w:t>Estructura administrativa pequeña — sin CIO/CTO.</w:t>
            </w:r>
          </w:p>
        </w:tc>
      </w:tr>
      <w:tr>
        <w:tc>
          <w:tcPr>
            <w:tcW w:type="dxa" w:w="3022"/>
            <w:shd w:val="clear" w:color="auto" w:fill="FFFFFF"/>
          </w:tcPr>
          <w:p>
            <w:pPr>
              <w:spacing w:before="40" w:after="40"/>
            </w:pPr>
            <w:r>
              <w:rPr>
                <w:color w:val="1A1A1A"/>
                <w:sz w:val="18"/>
              </w:rPr>
              <w:t>Sector</w:t>
            </w:r>
          </w:p>
        </w:tc>
        <w:tc>
          <w:tcPr>
            <w:tcW w:type="dxa" w:w="3022"/>
            <w:shd w:val="clear" w:color="auto" w:fill="FFFFFF"/>
          </w:tcPr>
          <w:p>
            <w:pPr>
              <w:spacing w:before="40" w:after="40"/>
            </w:pPr>
            <w:r>
              <w:rPr>
                <w:color w:val="1A1A1A"/>
                <w:sz w:val="18"/>
              </w:rPr>
              <w:t>Construcción residencial</w:t>
            </w:r>
          </w:p>
        </w:tc>
        <w:tc>
          <w:tcPr>
            <w:tcW w:type="dxa" w:w="3022"/>
            <w:shd w:val="clear" w:color="auto" w:fill="FFFFFF"/>
          </w:tcPr>
          <w:p>
            <w:pPr>
              <w:spacing w:before="40" w:after="40"/>
            </w:pPr>
            <w:r>
              <w:rPr>
                <w:color w:val="1A1A1A"/>
                <w:sz w:val="18"/>
              </w:rPr>
              <w:t>Estructuralmente baja madurez digital — cualquier inversión IA es alto ROI relativo.</w:t>
            </w:r>
          </w:p>
        </w:tc>
      </w:tr>
      <w:tr>
        <w:tc>
          <w:tcPr>
            <w:tcW w:type="dxa" w:w="3022"/>
            <w:shd w:val="clear" w:color="auto" w:fill="EBF3FA"/>
          </w:tcPr>
          <w:p>
            <w:pPr>
              <w:spacing w:before="40" w:after="40"/>
            </w:pPr>
            <w:r>
              <w:rPr>
                <w:color w:val="1A1A1A"/>
                <w:sz w:val="18"/>
              </w:rPr>
              <w:t>Membresía gremial</w:t>
            </w:r>
          </w:p>
        </w:tc>
        <w:tc>
          <w:tcPr>
            <w:tcW w:type="dxa" w:w="3022"/>
            <w:shd w:val="clear" w:color="auto" w:fill="EBF3FA"/>
          </w:tcPr>
          <w:p>
            <w:pPr>
              <w:spacing w:before="40" w:after="40"/>
            </w:pPr>
            <w:r>
              <w:rPr>
                <w:color w:val="1A1A1A"/>
                <w:sz w:val="18"/>
              </w:rPr>
              <w:t>Camacol + La Lonja + CCCS</w:t>
            </w:r>
          </w:p>
        </w:tc>
        <w:tc>
          <w:tcPr>
            <w:tcW w:type="dxa" w:w="3022"/>
            <w:shd w:val="clear" w:color="auto" w:fill="EBF3FA"/>
          </w:tcPr>
          <w:p>
            <w:pPr>
              <w:spacing w:before="40" w:after="40"/>
            </w:pPr>
            <w:r>
              <w:rPr>
                <w:color w:val="1A1A1A"/>
                <w:sz w:val="18"/>
              </w:rPr>
              <w:t>Sugiere disposición a invertir en estándares y diferenciación.</w:t>
            </w:r>
          </w:p>
        </w:tc>
      </w:tr>
    </w:tbl>
    <w:p/>
    <w:p>
      <w:pPr>
        <w:spacing w:before="80" w:after="40"/>
      </w:pPr>
      <w:r>
        <w:rPr>
          <w:b/>
          <w:color w:val="1A2E4A"/>
          <w:sz w:val="20"/>
        </w:rPr>
        <w:t>Rango de inversión recomendado para el primer engagement:</w:t>
      </w:r>
    </w:p>
    <w:p>
      <w:pPr>
        <w:pStyle w:val="ListBullet"/>
        <w:spacing w:before="0" w:after="40"/>
      </w:pPr>
      <w:r>
        <w:rPr>
          <w:b/>
          <w:color w:val="1A1A1A"/>
          <w:sz w:val="20"/>
        </w:rPr>
        <w:t>Diagnóstico (sesión + reporte cuantificado):</w:t>
      </w:r>
      <w:r>
        <w:rPr>
          <w:color w:val="1A1A1A"/>
          <w:sz w:val="20"/>
        </w:rPr>
        <w:t xml:space="preserve"> USD 1.500-3.000 — debe ser accesible y demostrar inmediatez.</w:t>
      </w:r>
    </w:p>
    <w:p>
      <w:pPr>
        <w:pStyle w:val="ListBullet"/>
        <w:spacing w:before="0" w:after="40"/>
      </w:pPr>
      <w:r>
        <w:rPr>
          <w:b/>
          <w:color w:val="1A1A1A"/>
          <w:sz w:val="20"/>
        </w:rPr>
        <w:t>Implementación primer Quick Win (CRM + agente WhatsApp):</w:t>
      </w:r>
      <w:r>
        <w:rPr>
          <w:color w:val="1A1A1A"/>
          <w:sz w:val="20"/>
        </w:rPr>
        <w:t xml:space="preserve"> USD 8.000-15.000 — 6-10 semanas, ROI medible en cierres adicionales.</w:t>
      </w:r>
    </w:p>
    <w:p>
      <w:pPr>
        <w:pStyle w:val="ListBullet"/>
        <w:spacing w:before="0" w:after="40"/>
      </w:pPr>
      <w:r>
        <w:rPr>
          <w:b/>
          <w:color w:val="1A1A1A"/>
          <w:sz w:val="20"/>
        </w:rPr>
        <w:t>Retainer mensual posterior:</w:t>
      </w:r>
      <w:r>
        <w:rPr>
          <w:color w:val="1A1A1A"/>
          <w:sz w:val="20"/>
        </w:rPr>
        <w:t xml:space="preserve"> USD 2.500-5.000/mes — soporte + iteración + nuevos QWs por trimestre.</w:t>
      </w:r>
    </w:p>
    <w:p>
      <w:pPr>
        <w:spacing w:before="20" w:after="60"/>
      </w:pPr>
      <w:r>
        <w:rPr>
          <w:b/>
          <w:color w:val="1A1A1A"/>
          <w:sz w:val="20"/>
        </w:rPr>
        <w:t>Conclusión:</w:t>
      </w:r>
      <w:r>
        <w:rPr>
          <w:color w:val="1A1A1A"/>
          <w:sz w:val="20"/>
        </w:rPr>
        <w:t xml:space="preserve"> Sí vale la pena la llamada. Es un prospecto que califica bien para Nexostrat: tamaño mediano con dolor estructural visible, mercado en repunte, foco VIS donde el ROI de automatización del funnel es directo, y sector con baja madurez digital — competencia poca y diferenciable. La conversación debe ir directo al "esto vale X pesos al año en cierres y eficiencia", no al storytelling de IA.</w:t>
      </w:r>
    </w:p>
    <w:p>
      <w:pPr>
        <w:spacing w:before="280" w:after="60"/>
        <w:pBdr>
          <w:bottom w:val="single" w:sz="4" w:space="1" w:color="007AC3"/>
        </w:pBdr>
      </w:pPr>
      <w:r>
        <w:rPr>
          <w:b/>
          <w:color w:val="007AC3"/>
          <w:sz w:val="28"/>
        </w:rPr>
        <w:t>11. TALKING POINTS PARA LA LLAMADA</w:t>
      </w:r>
    </w:p>
    <w:p>
      <w:pPr>
        <w:pStyle w:val="ListNumber"/>
        <w:spacing w:before="0" w:after="40"/>
      </w:pPr>
      <w:r>
        <w:rPr>
          <w:b/>
          <w:color w:val="1A1A1A"/>
          <w:sz w:val="20"/>
        </w:rPr>
        <w:t>Funnel VIS y tasa de cierre:</w:t>
      </w:r>
      <w:r>
        <w:rPr>
          <w:color w:val="1A1A1A"/>
          <w:sz w:val="20"/>
        </w:rPr>
        <w:t xml:space="preserve"> "Con tres proyectos VIS activos en Sabaneta y oferta nacional cayendo 17% en 2025, la demanda les debe estar llegando fuerte. ¿Cómo están manejando hoy la calificación y seguimiento del lead VIS, que tiene ciclo de 3-9 meses por el tema subsidios + crédito?"</w:t>
      </w:r>
    </w:p>
    <w:p>
      <w:pPr>
        <w:spacing w:before="20" w:after="60"/>
      </w:pPr>
      <w:r>
        <w:rPr>
          <w:color w:val="1A1A1A"/>
          <w:sz w:val="20"/>
        </w:rPr>
        <w:t>Por qué preguntar esto: 95% probabilidad de que la respuesta sea "asesor humano con Excel/WhatsApp". Abre directo al QW1 (CRM + scoring).</w:t>
      </w:r>
    </w:p>
    <w:p>
      <w:pPr>
        <w:pStyle w:val="ListNumber"/>
        <w:spacing w:before="0" w:after="40"/>
      </w:pPr>
      <w:r>
        <w:rPr>
          <w:b/>
          <w:color w:val="1A1A1A"/>
          <w:sz w:val="20"/>
        </w:rPr>
        <w:t>WhatsApp como canal principal:</w:t>
      </w:r>
      <w:r>
        <w:rPr>
          <w:color w:val="1A1A1A"/>
          <w:sz w:val="20"/>
        </w:rPr>
        <w:t xml:space="preserve"> "El botón de WhatsApp es prominente en su web y Facebook. ¿Cuántos mensajes les llegan por proyecto al mes, y quién los responde? ¿Tienen idea de qué porcentaje de esas conversaciones termina en visita a sala de ventas?"</w:t>
      </w:r>
    </w:p>
    <w:p>
      <w:pPr>
        <w:spacing w:before="20" w:after="60"/>
      </w:pPr>
      <w:r>
        <w:rPr>
          <w:color w:val="1A1A1A"/>
          <w:sz w:val="20"/>
        </w:rPr>
        <w:t>Por qué preguntar esto: Cuantifica el QW2 (agente conversacional). Volumen alto + respuesta humana lenta = pérdida medible.</w:t>
      </w:r>
    </w:p>
    <w:p>
      <w:pPr>
        <w:pStyle w:val="ListNumber"/>
        <w:spacing w:before="0" w:after="40"/>
      </w:pPr>
      <w:r>
        <w:rPr>
          <w:b/>
          <w:color w:val="1A1A1A"/>
          <w:sz w:val="20"/>
        </w:rPr>
        <w:t>Cobertura multi-ciudad y coordinación:</w:t>
      </w:r>
      <w:r>
        <w:rPr>
          <w:color w:val="1A1A1A"/>
          <w:sz w:val="20"/>
        </w:rPr>
        <w:t xml:space="preserve"> "Operan en Medellín, Sabaneta, Itagüí, Cartagena, Coveñas, Montería. ¿Cómo consolidan hoy el avance de cada obra y el cumplimiento de presupuesto vs costo real? ¿Hay un dashboard único o cada residente reporta por aparte?"</w:t>
      </w:r>
    </w:p>
    <w:p>
      <w:pPr>
        <w:spacing w:before="20" w:after="60"/>
      </w:pPr>
      <w:r>
        <w:rPr>
          <w:color w:val="1A1A1A"/>
          <w:sz w:val="20"/>
        </w:rPr>
        <w:t>Por qué preguntar esto: Abre al QW4 (control avance + costo). Margen recuperable directo en COP cientos de millones/año.</w:t>
      </w:r>
    </w:p>
    <w:p>
      <w:pPr>
        <w:pStyle w:val="ListNumber"/>
        <w:spacing w:before="0" w:after="40"/>
      </w:pPr>
      <w:r>
        <w:rPr>
          <w:b/>
          <w:color w:val="1A1A1A"/>
          <w:sz w:val="20"/>
        </w:rPr>
        <w:t>Sostenibilidad y CCCS:</w:t>
      </w:r>
      <w:r>
        <w:rPr>
          <w:color w:val="1A1A1A"/>
          <w:sz w:val="20"/>
        </w:rPr>
        <w:t xml:space="preserve"> "Son miembros del CCCS. ¿Qué certificaciones específicas tienen activas en sus proyectos — EDGE, Casa Colombia, LEED? ¿Y eso lo están usando como argumento de venta o solo como cumplimiento?"</w:t>
      </w:r>
    </w:p>
    <w:p>
      <w:pPr>
        <w:spacing w:before="20" w:after="60"/>
      </w:pPr>
      <w:r>
        <w:rPr>
          <w:color w:val="1A1A1A"/>
          <w:sz w:val="20"/>
        </w:rPr>
        <w:t>Por qué preguntar esto: Detecta diferencial subexplotado. Si sí usan sostenibilidad, hay oportunidad de amplificar con marketing IA. Si no, hay oportunidad de monetizar la inversión que ya hicieron.</w:t>
      </w:r>
    </w:p>
    <w:p>
      <w:pPr>
        <w:pStyle w:val="ListNumber"/>
        <w:spacing w:before="0" w:after="40"/>
      </w:pPr>
      <w:r>
        <w:rPr>
          <w:b/>
          <w:color w:val="1A1A1A"/>
          <w:sz w:val="20"/>
        </w:rPr>
        <w:t>Próximo hito estratégico:</w:t>
      </w:r>
      <w:r>
        <w:rPr>
          <w:color w:val="1A1A1A"/>
          <w:sz w:val="20"/>
        </w:rPr>
        <w:t xml:space="preserve"> "Tras casi 10 años con 65.000+ m² desarrollados, ¿cuál es el siguiente hito? ¿Más ciudades? ¿Salida a bolsa o financiación institucional? ¿Consolidar el portafolio actual? Esto cambia totalmente qué priorizar en cualquier inversión."</w:t>
      </w:r>
    </w:p>
    <w:p>
      <w:pPr>
        <w:spacing w:before="20" w:after="60"/>
      </w:pPr>
      <w:r>
        <w:rPr>
          <w:color w:val="1A1A1A"/>
          <w:sz w:val="20"/>
        </w:rPr>
        <w:t>Por qué preguntar esto: Sin esta respuesta no sabemos qué proponer primero. Crecimiento → invierten en ventas. Eficiencia → invierten en obra. Levantar capital → invierten en reportería y métricas.</w:t>
      </w:r>
    </w:p>
    <w:p>
      <w:pPr>
        <w:spacing w:before="280" w:after="60"/>
        <w:pBdr>
          <w:bottom w:val="single" w:sz="4" w:space="1" w:color="007AC3"/>
        </w:pBdr>
      </w:pPr>
      <w:r>
        <w:rPr>
          <w:b/>
          <w:color w:val="007AC3"/>
          <w:sz w:val="28"/>
        </w:rPr>
        <w:t>12. SEÑALES DE ALERTA</w:t>
      </w:r>
    </w:p>
    <w:p>
      <w:pPr>
        <w:spacing w:before="20" w:after="60"/>
      </w:pPr>
      <w:r>
        <w:rPr>
          <w:color w:val="1A1A1A"/>
          <w:sz w:val="20"/>
        </w:rPr>
        <w:t xml:space="preserve">⚠️ </w:t>
      </w:r>
      <w:r>
        <w:rPr>
          <w:b/>
          <w:color w:val="1A1A1A"/>
          <w:sz w:val="20"/>
        </w:rPr>
        <w:t>Información pública limitada sobre fundadores y directivos.</w:t>
      </w:r>
      <w:r>
        <w:rPr>
          <w:color w:val="1A1A1A"/>
          <w:sz w:val="20"/>
        </w:rPr>
        <w:t xml:space="preserve"> No identifiqué nombres en fuentes abiertas. Esto puede ser por reserva intencional (no necesariamente malo) o por baja inversión en branding corporativo. Antes de la llamada, hay que confirmar quién es el decisor real, no asumir que es el contacto comercial.</w:t>
      </w:r>
    </w:p>
    <w:p>
      <w:pPr>
        <w:spacing w:before="20" w:after="60"/>
      </w:pPr>
      <w:r>
        <w:rPr>
          <w:color w:val="1A1A1A"/>
          <w:sz w:val="20"/>
        </w:rPr>
        <w:t xml:space="preserve">⚠️ </w:t>
      </w:r>
      <w:r>
        <w:rPr>
          <w:b/>
          <w:color w:val="1A1A1A"/>
          <w:sz w:val="20"/>
        </w:rPr>
        <w:t>Página /nosotros con error 404.</w:t>
      </w:r>
      <w:r>
        <w:rPr>
          <w:color w:val="1A1A1A"/>
          <w:sz w:val="20"/>
        </w:rPr>
        <w:t xml:space="preserve"> Señal menor de mantenimiento web no riguroso. Si los detalles operativos son así, el dolor digital es más profundo de lo que aparenta. Puede ser oportunidad — pero también puede ser señal de que el dueño no prioriza digital y la venta será cuesta arriba.</w:t>
      </w:r>
    </w:p>
    <w:p>
      <w:pPr>
        <w:spacing w:before="20" w:after="60"/>
      </w:pPr>
      <w:r>
        <w:rPr>
          <w:color w:val="1A1A1A"/>
          <w:sz w:val="20"/>
        </w:rPr>
        <w:t xml:space="preserve">⚠️ </w:t>
      </w:r>
      <w:r>
        <w:rPr>
          <w:b/>
          <w:color w:val="1A1A1A"/>
          <w:sz w:val="20"/>
        </w:rPr>
        <w:t>Sector con caída fuerte en iniciaciones (-17.4% en 2025, -26.5% proyectada 2026).</w:t>
      </w:r>
      <w:r>
        <w:rPr>
          <w:color w:val="1A1A1A"/>
          <w:sz w:val="20"/>
        </w:rPr>
        <w:t xml:space="preserve"> Demanda sí está, pero el ánimo del sector es prudente. La conversación de inversión va a competir con la cautela natural. Llegar con caso de "esto me genera caja en 6 meses", no con "esto me transforma en 24 meses".</w:t>
      </w:r>
    </w:p>
    <w:p>
      <w:pPr>
        <w:spacing w:before="20" w:after="60"/>
      </w:pPr>
      <w:r>
        <w:rPr>
          <w:color w:val="1A1A1A"/>
          <w:sz w:val="20"/>
        </w:rPr>
        <w:t xml:space="preserve">⚠️ </w:t>
      </w:r>
      <w:r>
        <w:rPr>
          <w:b/>
          <w:color w:val="1A1A1A"/>
          <w:sz w:val="20"/>
        </w:rPr>
        <w:t>No figura en muestra de Supersociedades del skill (aunque puede sí reportar).</w:t>
      </w:r>
      <w:r>
        <w:rPr>
          <w:color w:val="1A1A1A"/>
          <w:sz w:val="20"/>
        </w:rPr>
        <w:t xml:space="preserve"> Limita capacidad de cuantificar la oportunidad económica antes de la llamada. Pre-llamada, intentar acceso a la cifra real vía Lonja o referencia.</w:t>
      </w:r>
    </w:p>
    <w:p>
      <w:pPr>
        <w:spacing w:before="20" w:after="60"/>
      </w:pPr>
      <w:r>
        <w:rPr>
          <w:color w:val="1A1A1A"/>
          <w:sz w:val="20"/>
        </w:rPr>
        <w:t xml:space="preserve">⚠️ </w:t>
      </w:r>
      <w:r>
        <w:rPr>
          <w:b/>
          <w:color w:val="1A1A1A"/>
          <w:sz w:val="20"/>
        </w:rPr>
        <w:t>Cliente del segmento VIS = comprador con presupuesto fino y subsidio del Estado.</w:t>
      </w:r>
      <w:r>
        <w:rPr>
          <w:color w:val="1A1A1A"/>
          <w:sz w:val="20"/>
        </w:rPr>
        <w:t xml:space="preserve"> Cualquier solución que se proponga debe respetar márgenes ajustados del modelo VIS. No proponer plataformas USD 50K/año — eso no calza con la economía del sector.</w:t>
      </w:r>
    </w:p>
    <w:p>
      <w:pPr>
        <w:spacing w:before="280" w:after="60"/>
        <w:pBdr>
          <w:bottom w:val="single" w:sz="4" w:space="1" w:color="007AC3"/>
        </w:pBdr>
      </w:pPr>
      <w:r>
        <w:rPr>
          <w:b/>
          <w:color w:val="007AC3"/>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2E4A"/>
          </w:tcPr>
          <w:p>
            <w:pPr>
              <w:spacing w:before="40" w:after="40"/>
            </w:pPr>
            <w:r>
              <w:rPr>
                <w:b/>
                <w:color w:val="FFFFFF"/>
                <w:sz w:val="18"/>
              </w:rPr>
              <w:t>Fuente</w:t>
            </w:r>
          </w:p>
        </w:tc>
        <w:tc>
          <w:tcPr>
            <w:tcW w:type="dxa" w:w="2266"/>
            <w:shd w:val="clear" w:color="auto" w:fill="1A2E4A"/>
          </w:tcPr>
          <w:p>
            <w:pPr>
              <w:spacing w:before="40" w:after="40"/>
            </w:pPr>
            <w:r>
              <w:rPr>
                <w:b/>
                <w:color w:val="FFFFFF"/>
                <w:sz w:val="18"/>
              </w:rPr>
              <w:t>URL/Referencia</w:t>
            </w:r>
          </w:p>
        </w:tc>
        <w:tc>
          <w:tcPr>
            <w:tcW w:type="dxa" w:w="2266"/>
            <w:shd w:val="clear" w:color="auto" w:fill="1A2E4A"/>
          </w:tcPr>
          <w:p>
            <w:pPr>
              <w:spacing w:before="40" w:after="40"/>
            </w:pPr>
            <w:r>
              <w:rPr>
                <w:b/>
                <w:color w:val="FFFFFF"/>
                <w:sz w:val="18"/>
              </w:rPr>
              <w:t>Información obtenida</w:t>
            </w:r>
          </w:p>
        </w:tc>
        <w:tc>
          <w:tcPr>
            <w:tcW w:type="dxa" w:w="2266"/>
            <w:shd w:val="clear" w:color="auto" w:fill="1A2E4A"/>
          </w:tcPr>
          <w:p>
            <w:pPr>
              <w:spacing w:before="40" w:after="40"/>
            </w:pPr>
            <w:r>
              <w:rPr>
                <w:b/>
                <w:color w:val="FFFFFF"/>
                <w:sz w:val="18"/>
              </w:rPr>
              <w:t>Disponibilidad</w:t>
            </w:r>
          </w:p>
        </w:tc>
      </w:tr>
      <w:tr>
        <w:tc>
          <w:tcPr>
            <w:tcW w:type="dxa" w:w="2266"/>
            <w:shd w:val="clear" w:color="auto" w:fill="FFFFFF"/>
          </w:tcPr>
          <w:p>
            <w:pPr>
              <w:spacing w:before="40" w:after="40"/>
            </w:pPr>
            <w:r>
              <w:rPr>
                <w:color w:val="1A1A1A"/>
                <w:sz w:val="18"/>
              </w:rPr>
              <w:t>Supersociedades</w:t>
            </w:r>
          </w:p>
        </w:tc>
        <w:tc>
          <w:tcPr>
            <w:tcW w:type="dxa" w:w="2266"/>
            <w:shd w:val="clear" w:color="auto" w:fill="FFFFFF"/>
          </w:tcPr>
          <w:p>
            <w:pPr>
              <w:spacing w:before="40" w:after="40"/>
            </w:pPr>
            <w:r>
              <w:rPr>
                <w:color w:val="1A1A1A"/>
                <w:sz w:val="18"/>
              </w:rPr>
              <w:t>Archivos locales 2024</w:t>
            </w:r>
          </w:p>
        </w:tc>
        <w:tc>
          <w:tcPr>
            <w:tcW w:type="dxa" w:w="2266"/>
            <w:shd w:val="clear" w:color="auto" w:fill="FFFFFF"/>
          </w:tcPr>
          <w:p>
            <w:pPr>
              <w:spacing w:before="40" w:after="40"/>
            </w:pPr>
            <w:r>
              <w:rPr>
                <w:color w:val="1A1A1A"/>
                <w:sz w:val="18"/>
              </w:rPr>
              <w:t>Empresa no en muestra</w:t>
            </w:r>
          </w:p>
        </w:tc>
        <w:tc>
          <w:tcPr>
            <w:tcW w:type="dxa" w:w="2266"/>
            <w:shd w:val="clear" w:color="auto" w:fill="FFFFFF"/>
          </w:tcPr>
          <w:p>
            <w:pPr>
              <w:spacing w:before="40" w:after="40"/>
            </w:pPr>
            <w:r>
              <w:rPr>
                <w:color w:val="1A1A1A"/>
                <w:sz w:val="18"/>
              </w:rPr>
              <w:t>No encontrado en muestra</w:t>
            </w:r>
          </w:p>
        </w:tc>
      </w:tr>
      <w:tr>
        <w:tc>
          <w:tcPr>
            <w:tcW w:type="dxa" w:w="2266"/>
            <w:shd w:val="clear" w:color="auto" w:fill="EBF3FA"/>
          </w:tcPr>
          <w:p>
            <w:pPr>
              <w:spacing w:before="40" w:after="40"/>
            </w:pPr>
            <w:r>
              <w:rPr>
                <w:color w:val="1A1A1A"/>
                <w:sz w:val="18"/>
              </w:rPr>
              <w:t>Sitio web</w:t>
            </w:r>
          </w:p>
        </w:tc>
        <w:tc>
          <w:tcPr>
            <w:tcW w:type="dxa" w:w="2266"/>
            <w:shd w:val="clear" w:color="auto" w:fill="EBF3FA"/>
          </w:tcPr>
          <w:p>
            <w:pPr>
              <w:spacing w:before="40" w:after="40"/>
            </w:pPr>
            <w:r>
              <w:rPr>
                <w:color w:val="1A1A1A"/>
                <w:sz w:val="18"/>
              </w:rPr>
              <w:t>ascenso.co</w:t>
            </w:r>
          </w:p>
        </w:tc>
        <w:tc>
          <w:tcPr>
            <w:tcW w:type="dxa" w:w="2266"/>
            <w:shd w:val="clear" w:color="auto" w:fill="EBF3FA"/>
          </w:tcPr>
          <w:p>
            <w:pPr>
              <w:spacing w:before="40" w:after="40"/>
            </w:pPr>
            <w:r>
              <w:rPr>
                <w:color w:val="1A1A1A"/>
                <w:sz w:val="18"/>
              </w:rPr>
              <w:t>Proyectos, precios VIS, cobertura, contacto</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Sitio /nosotros</w:t>
            </w:r>
          </w:p>
        </w:tc>
        <w:tc>
          <w:tcPr>
            <w:tcW w:type="dxa" w:w="2266"/>
            <w:shd w:val="clear" w:color="auto" w:fill="FFFFFF"/>
          </w:tcPr>
          <w:p>
            <w:pPr>
              <w:spacing w:before="40" w:after="40"/>
            </w:pPr>
            <w:r>
              <w:rPr>
                <w:color w:val="1A1A1A"/>
                <w:sz w:val="18"/>
              </w:rPr>
              <w:t>ascenso.co/nosotros</w:t>
            </w:r>
          </w:p>
        </w:tc>
        <w:tc>
          <w:tcPr>
            <w:tcW w:type="dxa" w:w="2266"/>
            <w:shd w:val="clear" w:color="auto" w:fill="FFFFFF"/>
          </w:tcPr>
          <w:p>
            <w:pPr>
              <w:spacing w:before="40" w:after="40"/>
            </w:pPr>
            <w:r>
              <w:rPr>
                <w:color w:val="1A1A1A"/>
                <w:sz w:val="18"/>
              </w:rPr>
              <w:t>—</w:t>
            </w:r>
          </w:p>
        </w:tc>
        <w:tc>
          <w:tcPr>
            <w:tcW w:type="dxa" w:w="2266"/>
            <w:shd w:val="clear" w:color="auto" w:fill="FFFFFF"/>
          </w:tcPr>
          <w:p>
            <w:pPr>
              <w:spacing w:before="40" w:after="40"/>
            </w:pPr>
            <w:r>
              <w:rPr>
                <w:color w:val="1A1A1A"/>
                <w:sz w:val="18"/>
              </w:rPr>
              <w:t>404 Error</w:t>
            </w:r>
          </w:p>
        </w:tc>
      </w:tr>
      <w:tr>
        <w:tc>
          <w:tcPr>
            <w:tcW w:type="dxa" w:w="2266"/>
            <w:shd w:val="clear" w:color="auto" w:fill="EBF3FA"/>
          </w:tcPr>
          <w:p>
            <w:pPr>
              <w:spacing w:before="40" w:after="40"/>
            </w:pPr>
            <w:r>
              <w:rPr>
                <w:color w:val="1A1A1A"/>
                <w:sz w:val="18"/>
              </w:rPr>
              <w:t>CCCS directorio</w:t>
            </w:r>
          </w:p>
        </w:tc>
        <w:tc>
          <w:tcPr>
            <w:tcW w:type="dxa" w:w="2266"/>
            <w:shd w:val="clear" w:color="auto" w:fill="EBF3FA"/>
          </w:tcPr>
          <w:p>
            <w:pPr>
              <w:spacing w:before="40" w:after="40"/>
            </w:pPr>
            <w:r>
              <w:rPr>
                <w:color w:val="1A1A1A"/>
                <w:sz w:val="18"/>
              </w:rPr>
              <w:t>cccs.org.co/directorio/constructora-ascenso</w:t>
            </w:r>
          </w:p>
        </w:tc>
        <w:tc>
          <w:tcPr>
            <w:tcW w:type="dxa" w:w="2266"/>
            <w:shd w:val="clear" w:color="auto" w:fill="EBF3FA"/>
          </w:tcPr>
          <w:p>
            <w:pPr>
              <w:spacing w:before="40" w:after="40"/>
            </w:pPr>
            <w:r>
              <w:rPr>
                <w:color w:val="1A1A1A"/>
                <w:sz w:val="18"/>
              </w:rPr>
              <w:t>Membresía sostenibilidad, contacto</w:t>
            </w:r>
          </w:p>
        </w:tc>
        <w:tc>
          <w:tcPr>
            <w:tcW w:type="dxa" w:w="2266"/>
            <w:shd w:val="clear" w:color="auto" w:fill="EBF3FA"/>
          </w:tcPr>
          <w:p>
            <w:pPr>
              <w:spacing w:before="40" w:after="40"/>
            </w:pPr>
            <w:r>
              <w:rPr>
                <w:color w:val="1A1A1A"/>
                <w:sz w:val="18"/>
              </w:rPr>
              <w:t>Disponible (parcial)</w:t>
            </w:r>
          </w:p>
        </w:tc>
      </w:tr>
      <w:tr>
        <w:tc>
          <w:tcPr>
            <w:tcW w:type="dxa" w:w="2266"/>
            <w:shd w:val="clear" w:color="auto" w:fill="FFFFFF"/>
          </w:tcPr>
          <w:p>
            <w:pPr>
              <w:spacing w:before="40" w:after="40"/>
            </w:pPr>
            <w:r>
              <w:rPr>
                <w:color w:val="1A1A1A"/>
                <w:sz w:val="18"/>
              </w:rPr>
              <w:t>RUES vía empresas.larepublica.co</w:t>
            </w:r>
          </w:p>
        </w:tc>
        <w:tc>
          <w:tcPr>
            <w:tcW w:type="dxa" w:w="2266"/>
            <w:shd w:val="clear" w:color="auto" w:fill="FFFFFF"/>
          </w:tcPr>
          <w:p>
            <w:pPr>
              <w:spacing w:before="40" w:after="40"/>
            </w:pPr>
            <w:r>
              <w:rPr>
                <w:color w:val="1A1A1A"/>
                <w:sz w:val="18"/>
              </w:rPr>
              <w:t>empresas.larepublica.co/colombia/antioquia/medellin/constructora-ascenso-s-a-s-901042249</w:t>
            </w:r>
          </w:p>
        </w:tc>
        <w:tc>
          <w:tcPr>
            <w:tcW w:type="dxa" w:w="2266"/>
            <w:shd w:val="clear" w:color="auto" w:fill="FFFFFF"/>
          </w:tcPr>
          <w:p>
            <w:pPr>
              <w:spacing w:before="40" w:after="40"/>
            </w:pPr>
            <w:r>
              <w:rPr>
                <w:color w:val="1A1A1A"/>
                <w:sz w:val="18"/>
              </w:rPr>
              <w:t>NIT, razón social, CIIU, ciudad, clasificación tamaño "Large"</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informacolombia.com</w:t>
            </w:r>
          </w:p>
        </w:tc>
        <w:tc>
          <w:tcPr>
            <w:tcW w:type="dxa" w:w="2266"/>
            <w:shd w:val="clear" w:color="auto" w:fill="EBF3FA"/>
          </w:tcPr>
          <w:p>
            <w:pPr>
              <w:spacing w:before="40" w:after="40"/>
            </w:pPr>
            <w:r>
              <w:rPr>
                <w:color w:val="1A1A1A"/>
                <w:sz w:val="18"/>
              </w:rPr>
              <w:t>informacolombia.com/directorio-empresas/informacion-empresa/constructora-ascenso-sas</w:t>
            </w:r>
          </w:p>
        </w:tc>
        <w:tc>
          <w:tcPr>
            <w:tcW w:type="dxa" w:w="2266"/>
            <w:shd w:val="clear" w:color="auto" w:fill="EBF3FA"/>
          </w:tcPr>
          <w:p>
            <w:pPr>
              <w:spacing w:before="40" w:after="40"/>
            </w:pPr>
            <w:r>
              <w:rPr>
                <w:color w:val="1A1A1A"/>
                <w:sz w:val="18"/>
              </w:rPr>
              <w:t>(HTTP 429 limit)</w:t>
            </w:r>
          </w:p>
        </w:tc>
        <w:tc>
          <w:tcPr>
            <w:tcW w:type="dxa" w:w="2266"/>
            <w:shd w:val="clear" w:color="auto" w:fill="EBF3FA"/>
          </w:tcPr>
          <w:p>
            <w:pPr>
              <w:spacing w:before="40" w:after="40"/>
            </w:pPr>
            <w:r>
              <w:rPr>
                <w:color w:val="1A1A1A"/>
                <w:sz w:val="18"/>
              </w:rPr>
              <w:t>Limitado</w:t>
            </w:r>
          </w:p>
        </w:tc>
      </w:tr>
      <w:tr>
        <w:tc>
          <w:tcPr>
            <w:tcW w:type="dxa" w:w="2266"/>
            <w:shd w:val="clear" w:color="auto" w:fill="FFFFFF"/>
          </w:tcPr>
          <w:p>
            <w:pPr>
              <w:spacing w:before="40" w:after="40"/>
            </w:pPr>
            <w:r>
              <w:rPr>
                <w:color w:val="1A1A1A"/>
                <w:sz w:val="18"/>
              </w:rPr>
              <w:t>Camacol</w:t>
            </w:r>
          </w:p>
        </w:tc>
        <w:tc>
          <w:tcPr>
            <w:tcW w:type="dxa" w:w="2266"/>
            <w:shd w:val="clear" w:color="auto" w:fill="FFFFFF"/>
          </w:tcPr>
          <w:p>
            <w:pPr>
              <w:spacing w:before="40" w:after="40"/>
            </w:pPr>
            <w:r>
              <w:rPr>
                <w:color w:val="1A1A1A"/>
                <w:sz w:val="18"/>
              </w:rPr>
              <w:t>camacol.co/actualidad/publicaciones</w:t>
            </w:r>
          </w:p>
        </w:tc>
        <w:tc>
          <w:tcPr>
            <w:tcW w:type="dxa" w:w="2266"/>
            <w:shd w:val="clear" w:color="auto" w:fill="FFFFFF"/>
          </w:tcPr>
          <w:p>
            <w:pPr>
              <w:spacing w:before="40" w:after="40"/>
            </w:pPr>
            <w:r>
              <w:rPr>
                <w:color w:val="1A1A1A"/>
                <w:sz w:val="18"/>
              </w:rPr>
              <w:t>Membresía, contexto sectorial</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Camacol — Balance 2024-2025</w:t>
            </w:r>
          </w:p>
        </w:tc>
        <w:tc>
          <w:tcPr>
            <w:tcW w:type="dxa" w:w="2266"/>
            <w:shd w:val="clear" w:color="auto" w:fill="EBF3FA"/>
          </w:tcPr>
          <w:p>
            <w:pPr>
              <w:spacing w:before="40" w:after="40"/>
            </w:pPr>
            <w:r>
              <w:rPr>
                <w:color w:val="1A1A1A"/>
                <w:sz w:val="18"/>
              </w:rPr>
              <w:t>camacolbyc.co</w:t>
            </w:r>
          </w:p>
        </w:tc>
        <w:tc>
          <w:tcPr>
            <w:tcW w:type="dxa" w:w="2266"/>
            <w:shd w:val="clear" w:color="auto" w:fill="EBF3FA"/>
          </w:tcPr>
          <w:p>
            <w:pPr>
              <w:spacing w:before="40" w:after="40"/>
            </w:pPr>
            <w:r>
              <w:rPr>
                <w:color w:val="1A1A1A"/>
                <w:sz w:val="18"/>
              </w:rPr>
              <w:t>Cifras nacionales sector vivienda</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El Tiempo — Paradoja vivienda 2025</w:t>
            </w:r>
          </w:p>
        </w:tc>
        <w:tc>
          <w:tcPr>
            <w:tcW w:type="dxa" w:w="2266"/>
            <w:shd w:val="clear" w:color="auto" w:fill="FFFFFF"/>
          </w:tcPr>
          <w:p>
            <w:pPr>
              <w:spacing w:before="40" w:after="40"/>
            </w:pPr>
            <w:r>
              <w:rPr>
                <w:color w:val="1A1A1A"/>
                <w:sz w:val="18"/>
              </w:rPr>
              <w:t>eltiempo.com/economia/sectores</w:t>
            </w:r>
          </w:p>
        </w:tc>
        <w:tc>
          <w:tcPr>
            <w:tcW w:type="dxa" w:w="2266"/>
            <w:shd w:val="clear" w:color="auto" w:fill="FFFFFF"/>
          </w:tcPr>
          <w:p>
            <w:pPr>
              <w:spacing w:before="40" w:after="40"/>
            </w:pPr>
            <w:r>
              <w:rPr>
                <w:color w:val="1A1A1A"/>
                <w:sz w:val="18"/>
              </w:rPr>
              <w:t>+12.4% ventas vs -17.4% iniciaciones</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La República — 174.000 viviendas 2025</w:t>
            </w:r>
          </w:p>
        </w:tc>
        <w:tc>
          <w:tcPr>
            <w:tcW w:type="dxa" w:w="2266"/>
            <w:shd w:val="clear" w:color="auto" w:fill="EBF3FA"/>
          </w:tcPr>
          <w:p>
            <w:pPr>
              <w:spacing w:before="40" w:after="40"/>
            </w:pPr>
            <w:r>
              <w:rPr>
                <w:color w:val="1A1A1A"/>
                <w:sz w:val="18"/>
              </w:rPr>
              <w:t>larepublica.co/economia/camacol-informo...</w:t>
            </w:r>
          </w:p>
        </w:tc>
        <w:tc>
          <w:tcPr>
            <w:tcW w:type="dxa" w:w="2266"/>
            <w:shd w:val="clear" w:color="auto" w:fill="EBF3FA"/>
          </w:tcPr>
          <w:p>
            <w:pPr>
              <w:spacing w:before="40" w:after="40"/>
            </w:pPr>
            <w:r>
              <w:rPr>
                <w:color w:val="1A1A1A"/>
                <w:sz w:val="18"/>
              </w:rPr>
              <w:t>Cifras Camacol</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Facebook</w:t>
            </w:r>
          </w:p>
        </w:tc>
        <w:tc>
          <w:tcPr>
            <w:tcW w:type="dxa" w:w="2266"/>
            <w:shd w:val="clear" w:color="auto" w:fill="FFFFFF"/>
          </w:tcPr>
          <w:p>
            <w:pPr>
              <w:spacing w:before="40" w:after="40"/>
            </w:pPr>
            <w:r>
              <w:rPr>
                <w:color w:val="1A1A1A"/>
                <w:sz w:val="18"/>
              </w:rPr>
              <w:t>facebook.com/ascensoingenieria</w:t>
            </w:r>
          </w:p>
        </w:tc>
        <w:tc>
          <w:tcPr>
            <w:tcW w:type="dxa" w:w="2266"/>
            <w:shd w:val="clear" w:color="auto" w:fill="FFFFFF"/>
          </w:tcPr>
          <w:p>
            <w:pPr>
              <w:spacing w:before="40" w:after="40"/>
            </w:pPr>
            <w:r>
              <w:rPr>
                <w:color w:val="1A1A1A"/>
                <w:sz w:val="18"/>
              </w:rPr>
              <w:t>Marca activa</w:t>
            </w:r>
          </w:p>
        </w:tc>
        <w:tc>
          <w:tcPr>
            <w:tcW w:type="dxa" w:w="2266"/>
            <w:shd w:val="clear" w:color="auto" w:fill="FFFFFF"/>
          </w:tcPr>
          <w:p>
            <w:pPr>
              <w:spacing w:before="40" w:after="40"/>
            </w:pPr>
            <w:r>
              <w:rPr>
                <w:color w:val="1A1A1A"/>
                <w:sz w:val="18"/>
              </w:rPr>
              <w:t>Limitado</w:t>
            </w:r>
          </w:p>
        </w:tc>
      </w:tr>
      <w:tr>
        <w:tc>
          <w:tcPr>
            <w:tcW w:type="dxa" w:w="2266"/>
            <w:shd w:val="clear" w:color="auto" w:fill="EBF3FA"/>
          </w:tcPr>
          <w:p>
            <w:pPr>
              <w:spacing w:before="40" w:after="40"/>
            </w:pPr>
            <w:r>
              <w:rPr>
                <w:color w:val="1A1A1A"/>
                <w:sz w:val="18"/>
              </w:rPr>
              <w:t>Instagram</w:t>
            </w:r>
          </w:p>
        </w:tc>
        <w:tc>
          <w:tcPr>
            <w:tcW w:type="dxa" w:w="2266"/>
            <w:shd w:val="clear" w:color="auto" w:fill="EBF3FA"/>
          </w:tcPr>
          <w:p>
            <w:pPr>
              <w:spacing w:before="40" w:after="40"/>
            </w:pPr>
            <w:r>
              <w:rPr>
                <w:color w:val="1A1A1A"/>
                <w:sz w:val="18"/>
              </w:rPr>
              <w:t>instagram.com/constructora_ascenso</w:t>
            </w:r>
          </w:p>
        </w:tc>
        <w:tc>
          <w:tcPr>
            <w:tcW w:type="dxa" w:w="2266"/>
            <w:shd w:val="clear" w:color="auto" w:fill="EBF3FA"/>
          </w:tcPr>
          <w:p>
            <w:pPr>
              <w:spacing w:before="40" w:after="40"/>
            </w:pPr>
            <w:r>
              <w:rPr>
                <w:color w:val="1A1A1A"/>
                <w:sz w:val="18"/>
              </w:rPr>
              <w:t>Marca activa</w:t>
            </w:r>
          </w:p>
        </w:tc>
        <w:tc>
          <w:tcPr>
            <w:tcW w:type="dxa" w:w="2266"/>
            <w:shd w:val="clear" w:color="auto" w:fill="EBF3FA"/>
          </w:tcPr>
          <w:p>
            <w:pPr>
              <w:spacing w:before="40" w:after="40"/>
            </w:pPr>
            <w:r>
              <w:rPr>
                <w:color w:val="1A1A1A"/>
                <w:sz w:val="18"/>
              </w:rPr>
              <w:t>Limitado (bot detection)</w:t>
            </w:r>
          </w:p>
        </w:tc>
      </w:tr>
    </w:tbl>
    <w:p/>
    <w:p>
      <w:pPr>
        <w:spacing w:before="20" w:after="60"/>
      </w:pPr>
      <w:r>
        <w:rPr>
          <w:color w:val="1A1A1A"/>
          <w:sz w:val="20"/>
        </w:rPr>
        <w:t>Reporte generado por skill company-analyst v1 — Nexostrat</w:t>
      </w:r>
    </w:p>
    <w:p>
      <w:pPr>
        <w:spacing w:before="20" w:after="60"/>
      </w:pPr>
      <w:r>
        <w:rPr>
          <w:color w:val="1A1A1A"/>
          <w:sz w:val="20"/>
        </w:rPr>
        <w:t>Para uso interno exclusivo. No compartir con el prospecto.</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Nexostrat — Análisis Empresarial Interno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