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jc w:val="center"/>
      </w:pPr>
      <w:r>
        <w:rPr>
          <w:b/>
          <w:color w:val="1A2E4A"/>
          <w:sz w:val="52"/>
        </w:rPr>
        <w:t>Análisis Competitivo: CONSTRUCTORA ASCENSO</w:t>
      </w:r>
    </w:p>
    <w:p>
      <w:pPr>
        <w:jc w:val="center"/>
      </w:pPr>
      <w:r>
        <w:rPr>
          <w:i/>
          <w:color w:val="556577"/>
          <w:sz w:val="20"/>
        </w:rPr>
        <w:t>Nexostrat — Uso Interno  ·  17 May 2026</w:t>
      </w:r>
    </w:p>
    <w:p>
      <w:r>
        <w:br w:type="page"/>
      </w:r>
    </w:p>
    <w:p>
      <w:pPr>
        <w:spacing w:before="80" w:after="40"/>
      </w:pPr>
      <w:r>
        <w:rPr>
          <w:b/>
          <w:color w:val="1A2E4A"/>
          <w:sz w:val="20"/>
        </w:rPr>
        <w:t>Colombia · Mayo 2026</w:t>
      </w:r>
    </w:p>
    <w:p>
      <w:pPr>
        <w:spacing w:before="20" w:after="60"/>
      </w:pPr>
      <w:r>
        <w:rPr>
          <w:b/>
          <w:color w:val="1A1A1A"/>
          <w:sz w:val="20"/>
        </w:rPr>
        <w:t>Preparado por:</w:t>
      </w:r>
      <w:r>
        <w:rPr>
          <w:color w:val="1A1A1A"/>
          <w:sz w:val="20"/>
        </w:rPr>
        <w:t xml:space="preserve"> Nexostrat — Uso Interno</w:t>
      </w:r>
    </w:p>
    <w:p>
      <w:pPr>
        <w:spacing w:before="20" w:after="60"/>
      </w:pPr>
      <w:r>
        <w:rPr>
          <w:b/>
          <w:color w:val="1A1A1A"/>
          <w:sz w:val="20"/>
        </w:rPr>
        <w:t>Basado en:</w:t>
      </w:r>
      <w:r>
        <w:rPr>
          <w:color w:val="1A1A1A"/>
          <w:sz w:val="20"/>
        </w:rPr>
        <w:t xml:space="preserve"> company-analyst Constructora Ascenso (2026-05-17)</w:t>
      </w:r>
    </w:p>
    <w:p>
      <w:pPr>
        <w:spacing w:before="280" w:after="60"/>
        <w:pBdr>
          <w:bottom w:val="single" w:sz="4" w:space="1" w:color="007AC3"/>
        </w:pBdr>
      </w:pPr>
      <w:r>
        <w:rPr>
          <w:b/>
          <w:color w:val="007AC3"/>
          <w:sz w:val="28"/>
        </w:rPr>
        <w:t>1. MAPA COMPETITIVO</w:t>
      </w:r>
    </w:p>
    <w:p>
      <w:pPr>
        <w:spacing w:before="160" w:after="40"/>
      </w:pPr>
      <w:r>
        <w:rPr>
          <w:b/>
          <w:color w:val="556577"/>
          <w:sz w:val="22"/>
        </w:rPr>
        <w:t>Criterios de clasificación</w:t>
      </w:r>
    </w:p>
    <w:p>
      <w:pPr>
        <w:spacing w:before="20" w:after="60"/>
      </w:pPr>
      <w:r>
        <w:rPr>
          <w:b/>
          <w:color w:val="1A1A1A"/>
          <w:sz w:val="20"/>
        </w:rPr>
        <w:t>Competidor directo</w:t>
      </w:r>
      <w:r>
        <w:rPr>
          <w:color w:val="1A1A1A"/>
          <w:sz w:val="20"/>
        </w:rPr>
        <w:t xml:space="preserve"> = constructora colombiana activa en </w:t>
      </w:r>
      <w:r>
        <w:rPr>
          <w:b/>
          <w:color w:val="1A1A1A"/>
          <w:sz w:val="20"/>
        </w:rPr>
        <w:t>VIS (Vivienda de Interés Social)</w:t>
      </w:r>
      <w:r>
        <w:rPr>
          <w:color w:val="1A1A1A"/>
          <w:sz w:val="20"/>
        </w:rPr>
        <w:t xml:space="preserve"> del Valle de Aburrá sur (Sabaneta, Itagüí, Envigado) o con presencia significativa en las mismas ciudades de Ascenso (Medellín, Cartagena, Coveñas, Montería). Compite por el mismo cliente (subsidiado/joven, ticket COP 200-260M) y por el mismo land bank.</w:t>
      </w:r>
    </w:p>
    <w:p>
      <w:pPr>
        <w:spacing w:before="20" w:after="60"/>
      </w:pPr>
      <w:r>
        <w:rPr>
          <w:b/>
          <w:color w:val="1A1A1A"/>
          <w:sz w:val="20"/>
        </w:rPr>
        <w:t>Competidor indirecto</w:t>
      </w:r>
      <w:r>
        <w:rPr>
          <w:color w:val="1A1A1A"/>
          <w:sz w:val="20"/>
        </w:rPr>
        <w:t xml:space="preserve"> = constructora que compite por el mismo presupuesto del comprador VIS pero con producto diferente (vivienda usada, NO VIS gama media-baja, arriendo nuevo), o por el mismo terreno/lote sin enfocar el mismo segmento.</w:t>
      </w:r>
    </w:p>
    <w:p>
      <w:pPr>
        <w:spacing w:before="160" w:after="40"/>
      </w:pPr>
      <w:r>
        <w:rPr>
          <w:b/>
          <w:color w:val="556577"/>
          <w:sz w:val="22"/>
        </w:rPr>
        <w:t>Competidores directos</w:t>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1813"/>
            <w:shd w:val="clear" w:color="auto" w:fill="1A2E4A"/>
          </w:tcPr>
          <w:p>
            <w:pPr>
              <w:spacing w:before="40" w:after="40"/>
            </w:pPr>
            <w:r>
              <w:rPr>
                <w:b/>
                <w:color w:val="FFFFFF"/>
                <w:sz w:val="18"/>
              </w:rPr>
              <w:t>Empresa</w:t>
            </w:r>
          </w:p>
        </w:tc>
        <w:tc>
          <w:tcPr>
            <w:tcW w:type="dxa" w:w="1813"/>
            <w:shd w:val="clear" w:color="auto" w:fill="1A2E4A"/>
          </w:tcPr>
          <w:p>
            <w:pPr>
              <w:spacing w:before="40" w:after="40"/>
            </w:pPr>
            <w:r>
              <w:rPr>
                <w:b/>
                <w:color w:val="FFFFFF"/>
                <w:sz w:val="18"/>
              </w:rPr>
              <w:t>País de origen</w:t>
            </w:r>
          </w:p>
        </w:tc>
        <w:tc>
          <w:tcPr>
            <w:tcW w:type="dxa" w:w="1813"/>
            <w:shd w:val="clear" w:color="auto" w:fill="1A2E4A"/>
          </w:tcPr>
          <w:p>
            <w:pPr>
              <w:spacing w:before="40" w:after="40"/>
            </w:pPr>
            <w:r>
              <w:rPr>
                <w:b/>
                <w:color w:val="FFFFFF"/>
                <w:sz w:val="18"/>
              </w:rPr>
              <w:t>Presencia CO</w:t>
            </w:r>
          </w:p>
        </w:tc>
        <w:tc>
          <w:tcPr>
            <w:tcW w:type="dxa" w:w="1813"/>
            <w:shd w:val="clear" w:color="auto" w:fill="1A2E4A"/>
          </w:tcPr>
          <w:p>
            <w:pPr>
              <w:spacing w:before="40" w:after="40"/>
            </w:pPr>
            <w:r>
              <w:rPr>
                <w:b/>
                <w:color w:val="FFFFFF"/>
                <w:sz w:val="18"/>
              </w:rPr>
              <w:t>Tamaño estimado</w:t>
            </w:r>
          </w:p>
        </w:tc>
        <w:tc>
          <w:tcPr>
            <w:tcW w:type="dxa" w:w="1813"/>
            <w:shd w:val="clear" w:color="auto" w:fill="1A2E4A"/>
          </w:tcPr>
          <w:p>
            <w:pPr>
              <w:spacing w:before="40" w:after="40"/>
            </w:pPr>
            <w:r>
              <w:rPr>
                <w:b/>
                <w:color w:val="FFFFFF"/>
                <w:sz w:val="18"/>
              </w:rPr>
              <w:t>Por qué es competidor directo</w:t>
            </w:r>
          </w:p>
        </w:tc>
      </w:tr>
      <w:tr>
        <w:tc>
          <w:tcPr>
            <w:tcW w:type="dxa" w:w="1813"/>
            <w:shd w:val="clear" w:color="auto" w:fill="FFFFFF"/>
          </w:tcPr>
          <w:p>
            <w:pPr>
              <w:spacing w:before="40" w:after="40"/>
            </w:pPr>
            <w:r>
              <w:rPr>
                <w:color w:val="1A1A1A"/>
                <w:sz w:val="18"/>
              </w:rPr>
              <w:t>Constructora Capital</w:t>
            </w:r>
          </w:p>
        </w:tc>
        <w:tc>
          <w:tcPr>
            <w:tcW w:type="dxa" w:w="1813"/>
            <w:shd w:val="clear" w:color="auto" w:fill="FFFFFF"/>
          </w:tcPr>
          <w:p>
            <w:pPr>
              <w:spacing w:before="40" w:after="40"/>
            </w:pPr>
            <w:r>
              <w:rPr>
                <w:color w:val="1A1A1A"/>
                <w:sz w:val="18"/>
              </w:rPr>
              <w:t>Colombia (Bogotá)</w:t>
            </w:r>
          </w:p>
        </w:tc>
        <w:tc>
          <w:tcPr>
            <w:tcW w:type="dxa" w:w="1813"/>
            <w:shd w:val="clear" w:color="auto" w:fill="FFFFFF"/>
          </w:tcPr>
          <w:p>
            <w:pPr>
              <w:spacing w:before="40" w:after="40"/>
            </w:pPr>
            <w:r>
              <w:rPr>
                <w:color w:val="1A1A1A"/>
                <w:sz w:val="18"/>
              </w:rPr>
              <w:t>Nacional — incluye Medellín, Bello, Envigado, Sabaneta, Itagüí</w:t>
            </w:r>
          </w:p>
        </w:tc>
        <w:tc>
          <w:tcPr>
            <w:tcW w:type="dxa" w:w="1813"/>
            <w:shd w:val="clear" w:color="auto" w:fill="FFFFFF"/>
          </w:tcPr>
          <w:p>
            <w:pPr>
              <w:spacing w:before="40" w:after="40"/>
            </w:pPr>
            <w:r>
              <w:rPr>
                <w:color w:val="1A1A1A"/>
                <w:sz w:val="18"/>
              </w:rPr>
              <w:t>Grande. Vendió ~8.000 unidades en 2025 entre Bogotá y Medellín (+18% YoY)</w:t>
            </w:r>
          </w:p>
        </w:tc>
        <w:tc>
          <w:tcPr>
            <w:tcW w:type="dxa" w:w="1813"/>
            <w:shd w:val="clear" w:color="auto" w:fill="FFFFFF"/>
          </w:tcPr>
          <w:p>
            <w:pPr>
              <w:spacing w:before="40" w:after="40"/>
            </w:pPr>
            <w:r>
              <w:rPr>
                <w:color w:val="1A1A1A"/>
                <w:sz w:val="18"/>
              </w:rPr>
              <w:t>Casi gemela: opera VIS en exactamente las mismas zonas que Ascenso (Sabaneta-Itagüí-Envigado), tamaño 10-20x mayor pero mismo nicho de cliente.</w:t>
            </w:r>
          </w:p>
        </w:tc>
      </w:tr>
      <w:tr>
        <w:tc>
          <w:tcPr>
            <w:tcW w:type="dxa" w:w="1813"/>
            <w:shd w:val="clear" w:color="auto" w:fill="EBF3FA"/>
          </w:tcPr>
          <w:p>
            <w:pPr>
              <w:spacing w:before="40" w:after="40"/>
            </w:pPr>
            <w:r>
              <w:rPr>
                <w:color w:val="1A1A1A"/>
                <w:sz w:val="18"/>
              </w:rPr>
              <w:t>Conconcreto</w:t>
            </w:r>
          </w:p>
        </w:tc>
        <w:tc>
          <w:tcPr>
            <w:tcW w:type="dxa" w:w="1813"/>
            <w:shd w:val="clear" w:color="auto" w:fill="EBF3FA"/>
          </w:tcPr>
          <w:p>
            <w:pPr>
              <w:spacing w:before="40" w:after="40"/>
            </w:pPr>
            <w:r>
              <w:rPr>
                <w:color w:val="1A1A1A"/>
                <w:sz w:val="18"/>
              </w:rPr>
              <w:t>Colombia (Medellín, fundada 1961)</w:t>
            </w:r>
          </w:p>
        </w:tc>
        <w:tc>
          <w:tcPr>
            <w:tcW w:type="dxa" w:w="1813"/>
            <w:shd w:val="clear" w:color="auto" w:fill="EBF3FA"/>
          </w:tcPr>
          <w:p>
            <w:pPr>
              <w:spacing w:before="40" w:after="40"/>
            </w:pPr>
            <w:r>
              <w:rPr>
                <w:color w:val="1A1A1A"/>
                <w:sz w:val="18"/>
              </w:rPr>
              <w:t>Nacional + internacional (Panamá, Perú)</w:t>
            </w:r>
          </w:p>
        </w:tc>
        <w:tc>
          <w:tcPr>
            <w:tcW w:type="dxa" w:w="1813"/>
            <w:shd w:val="clear" w:color="auto" w:fill="EBF3FA"/>
          </w:tcPr>
          <w:p>
            <w:pPr>
              <w:spacing w:before="40" w:after="40"/>
            </w:pPr>
            <w:r>
              <w:rPr>
                <w:color w:val="1A1A1A"/>
                <w:sz w:val="18"/>
              </w:rPr>
              <w:t>Grande / cotizada en BVC</w:t>
            </w:r>
          </w:p>
        </w:tc>
        <w:tc>
          <w:tcPr>
            <w:tcW w:type="dxa" w:w="1813"/>
            <w:shd w:val="clear" w:color="auto" w:fill="EBF3FA"/>
          </w:tcPr>
          <w:p>
            <w:pPr>
              <w:spacing w:before="40" w:after="40"/>
            </w:pPr>
            <w:r>
              <w:rPr>
                <w:color w:val="1A1A1A"/>
                <w:sz w:val="18"/>
              </w:rPr>
              <w:t>Proyectos como Menta (Sabaneta) y Nuevo Poblado Torre Baena (Itagüí). Compite por el mismo land bank y por el mismo cliente premium del segmento NO VIS y mixed-use.</w:t>
            </w:r>
          </w:p>
        </w:tc>
      </w:tr>
      <w:tr>
        <w:tc>
          <w:tcPr>
            <w:tcW w:type="dxa" w:w="1813"/>
            <w:shd w:val="clear" w:color="auto" w:fill="FFFFFF"/>
          </w:tcPr>
          <w:p>
            <w:pPr>
              <w:spacing w:before="40" w:after="40"/>
            </w:pPr>
            <w:r>
              <w:rPr>
                <w:color w:val="1A1A1A"/>
                <w:sz w:val="18"/>
              </w:rPr>
              <w:t>Arquitectura y Concreto</w:t>
            </w:r>
          </w:p>
        </w:tc>
        <w:tc>
          <w:tcPr>
            <w:tcW w:type="dxa" w:w="1813"/>
            <w:shd w:val="clear" w:color="auto" w:fill="FFFFFF"/>
          </w:tcPr>
          <w:p>
            <w:pPr>
              <w:spacing w:before="40" w:after="40"/>
            </w:pPr>
            <w:r>
              <w:rPr>
                <w:color w:val="1A1A1A"/>
                <w:sz w:val="18"/>
              </w:rPr>
              <w:t>Colombia (Medellín)</w:t>
            </w:r>
          </w:p>
        </w:tc>
        <w:tc>
          <w:tcPr>
            <w:tcW w:type="dxa" w:w="1813"/>
            <w:shd w:val="clear" w:color="auto" w:fill="FFFFFF"/>
          </w:tcPr>
          <w:p>
            <w:pPr>
              <w:spacing w:before="40" w:after="40"/>
            </w:pPr>
            <w:r>
              <w:rPr>
                <w:color w:val="1A1A1A"/>
                <w:sz w:val="18"/>
              </w:rPr>
              <w:t>Medellín + Antioquia (Envigado, Itagüí, Sabaneta) + nacional</w:t>
            </w:r>
          </w:p>
        </w:tc>
        <w:tc>
          <w:tcPr>
            <w:tcW w:type="dxa" w:w="1813"/>
            <w:shd w:val="clear" w:color="auto" w:fill="FFFFFF"/>
          </w:tcPr>
          <w:p>
            <w:pPr>
              <w:spacing w:before="40" w:after="40"/>
            </w:pPr>
            <w:r>
              <w:rPr>
                <w:color w:val="1A1A1A"/>
                <w:sz w:val="18"/>
              </w:rPr>
              <w:t>Grande / referente del Valle de Aburrá</w:t>
            </w:r>
          </w:p>
        </w:tc>
        <w:tc>
          <w:tcPr>
            <w:tcW w:type="dxa" w:w="1813"/>
            <w:shd w:val="clear" w:color="auto" w:fill="FFFFFF"/>
          </w:tcPr>
          <w:p>
            <w:pPr>
              <w:spacing w:before="40" w:after="40"/>
            </w:pPr>
            <w:r>
              <w:rPr>
                <w:color w:val="1A1A1A"/>
                <w:sz w:val="18"/>
              </w:rPr>
              <w:t>Proyectos residenciales VIS y NO VIS en las mismas zonas que Ascenso. Reputación de diseño y calidad.</w:t>
            </w:r>
          </w:p>
        </w:tc>
      </w:tr>
      <w:tr>
        <w:tc>
          <w:tcPr>
            <w:tcW w:type="dxa" w:w="1813"/>
            <w:shd w:val="clear" w:color="auto" w:fill="EBF3FA"/>
          </w:tcPr>
          <w:p>
            <w:pPr>
              <w:spacing w:before="40" w:after="40"/>
            </w:pPr>
            <w:r>
              <w:rPr>
                <w:color w:val="1A1A1A"/>
                <w:sz w:val="18"/>
              </w:rPr>
              <w:t>Constructora Bolívar</w:t>
            </w:r>
          </w:p>
        </w:tc>
        <w:tc>
          <w:tcPr>
            <w:tcW w:type="dxa" w:w="1813"/>
            <w:shd w:val="clear" w:color="auto" w:fill="EBF3FA"/>
          </w:tcPr>
          <w:p>
            <w:pPr>
              <w:spacing w:before="40" w:after="40"/>
            </w:pPr>
            <w:r>
              <w:rPr>
                <w:color w:val="1A1A1A"/>
                <w:sz w:val="18"/>
              </w:rPr>
              <w:t>Colombia (Bogotá, Grupo Bolívar)</w:t>
            </w:r>
          </w:p>
        </w:tc>
        <w:tc>
          <w:tcPr>
            <w:tcW w:type="dxa" w:w="1813"/>
            <w:shd w:val="clear" w:color="auto" w:fill="EBF3FA"/>
          </w:tcPr>
          <w:p>
            <w:pPr>
              <w:spacing w:before="40" w:after="40"/>
            </w:pPr>
            <w:r>
              <w:rPr>
                <w:color w:val="1A1A1A"/>
                <w:sz w:val="18"/>
              </w:rPr>
              <w:t>Nacional — líder en ventas de vivienda CO</w:t>
            </w:r>
          </w:p>
        </w:tc>
        <w:tc>
          <w:tcPr>
            <w:tcW w:type="dxa" w:w="1813"/>
            <w:shd w:val="clear" w:color="auto" w:fill="EBF3FA"/>
          </w:tcPr>
          <w:p>
            <w:pPr>
              <w:spacing w:before="40" w:after="40"/>
            </w:pPr>
            <w:r>
              <w:rPr>
                <w:color w:val="1A1A1A"/>
                <w:sz w:val="18"/>
              </w:rPr>
              <w:t>#1 del país en ventas — 28.170 unidades entregadas año récord</w:t>
            </w:r>
          </w:p>
        </w:tc>
        <w:tc>
          <w:tcPr>
            <w:tcW w:type="dxa" w:w="1813"/>
            <w:shd w:val="clear" w:color="auto" w:fill="EBF3FA"/>
          </w:tcPr>
          <w:p>
            <w:pPr>
              <w:spacing w:before="40" w:after="40"/>
            </w:pPr>
            <w:r>
              <w:rPr>
                <w:color w:val="1A1A1A"/>
                <w:sz w:val="18"/>
              </w:rPr>
              <w:t>Mayor jugador VIS del país. Llega a Medellín-Valle de Aburrá vía proyectos selectivos. Compite por subsidios y por capacidad financiera de comprador.</w:t>
            </w:r>
          </w:p>
        </w:tc>
      </w:tr>
      <w:tr>
        <w:tc>
          <w:tcPr>
            <w:tcW w:type="dxa" w:w="1813"/>
            <w:shd w:val="clear" w:color="auto" w:fill="FFFFFF"/>
          </w:tcPr>
          <w:p>
            <w:pPr>
              <w:spacing w:before="40" w:after="40"/>
            </w:pPr>
            <w:r>
              <w:rPr>
                <w:color w:val="1A1A1A"/>
                <w:sz w:val="18"/>
              </w:rPr>
              <w:t>Amarilo</w:t>
            </w:r>
          </w:p>
        </w:tc>
        <w:tc>
          <w:tcPr>
            <w:tcW w:type="dxa" w:w="1813"/>
            <w:shd w:val="clear" w:color="auto" w:fill="FFFFFF"/>
          </w:tcPr>
          <w:p>
            <w:pPr>
              <w:spacing w:before="40" w:after="40"/>
            </w:pPr>
            <w:r>
              <w:rPr>
                <w:color w:val="1A1A1A"/>
                <w:sz w:val="18"/>
              </w:rPr>
              <w:t>Colombia (Bogotá, Roberto Moreno)</w:t>
            </w:r>
          </w:p>
        </w:tc>
        <w:tc>
          <w:tcPr>
            <w:tcW w:type="dxa" w:w="1813"/>
            <w:shd w:val="clear" w:color="auto" w:fill="FFFFFF"/>
          </w:tcPr>
          <w:p>
            <w:pPr>
              <w:spacing w:before="40" w:after="40"/>
            </w:pPr>
            <w:r>
              <w:rPr>
                <w:color w:val="1A1A1A"/>
                <w:sz w:val="18"/>
              </w:rPr>
              <w:t>Nacional</w:t>
            </w:r>
          </w:p>
        </w:tc>
        <w:tc>
          <w:tcPr>
            <w:tcW w:type="dxa" w:w="1813"/>
            <w:shd w:val="clear" w:color="auto" w:fill="FFFFFF"/>
          </w:tcPr>
          <w:p>
            <w:pPr>
              <w:spacing w:before="40" w:after="40"/>
            </w:pPr>
            <w:r>
              <w:rPr>
                <w:color w:val="1A1A1A"/>
                <w:sz w:val="18"/>
              </w:rPr>
              <w:t>Grande, top desarrollador CO</w:t>
            </w:r>
          </w:p>
        </w:tc>
        <w:tc>
          <w:tcPr>
            <w:tcW w:type="dxa" w:w="1813"/>
            <w:shd w:val="clear" w:color="auto" w:fill="FFFFFF"/>
          </w:tcPr>
          <w:p>
            <w:pPr>
              <w:spacing w:before="40" w:after="40"/>
            </w:pPr>
            <w:r>
              <w:rPr>
                <w:color w:val="1A1A1A"/>
                <w:sz w:val="18"/>
              </w:rPr>
              <w:t>Mismo perfil que Bolívar pero con foco NO VIS y mixed-use. Compite por terreno y por compradores de gama media.</w:t>
            </w:r>
          </w:p>
        </w:tc>
      </w:tr>
    </w:tbl>
    <w:p/>
    <w:p>
      <w:pPr>
        <w:spacing w:before="160" w:after="40"/>
      </w:pPr>
      <w:r>
        <w:rPr>
          <w:b/>
          <w:color w:val="556577"/>
          <w:sz w:val="22"/>
        </w:rPr>
        <w:t>Competidores indirectos</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2E4A"/>
          </w:tcPr>
          <w:p>
            <w:pPr>
              <w:spacing w:before="40" w:after="40"/>
            </w:pPr>
            <w:r>
              <w:rPr>
                <w:b/>
                <w:color w:val="FFFFFF"/>
                <w:sz w:val="18"/>
              </w:rPr>
              <w:t>Empresa</w:t>
            </w:r>
          </w:p>
        </w:tc>
        <w:tc>
          <w:tcPr>
            <w:tcW w:type="dxa" w:w="3022"/>
            <w:shd w:val="clear" w:color="auto" w:fill="1A2E4A"/>
          </w:tcPr>
          <w:p>
            <w:pPr>
              <w:spacing w:before="40" w:after="40"/>
            </w:pPr>
            <w:r>
              <w:rPr>
                <w:b/>
                <w:color w:val="FFFFFF"/>
                <w:sz w:val="18"/>
              </w:rPr>
              <w:t>Tipo de competencia</w:t>
            </w:r>
          </w:p>
        </w:tc>
        <w:tc>
          <w:tcPr>
            <w:tcW w:type="dxa" w:w="3022"/>
            <w:shd w:val="clear" w:color="auto" w:fill="1A2E4A"/>
          </w:tcPr>
          <w:p>
            <w:pPr>
              <w:spacing w:before="40" w:after="40"/>
            </w:pPr>
            <w:r>
              <w:rPr>
                <w:b/>
                <w:color w:val="FFFFFF"/>
                <w:sz w:val="18"/>
              </w:rPr>
              <w:t>Por qué compite indirectamente</w:t>
            </w:r>
          </w:p>
        </w:tc>
      </w:tr>
      <w:tr>
        <w:tc>
          <w:tcPr>
            <w:tcW w:type="dxa" w:w="3022"/>
            <w:shd w:val="clear" w:color="auto" w:fill="FFFFFF"/>
          </w:tcPr>
          <w:p>
            <w:pPr>
              <w:spacing w:before="40" w:after="40"/>
            </w:pPr>
            <w:r>
              <w:rPr>
                <w:color w:val="1A1A1A"/>
                <w:sz w:val="18"/>
              </w:rPr>
              <w:t>Mercado de vivienda usada Valle de Aburrá</w:t>
            </w:r>
          </w:p>
        </w:tc>
        <w:tc>
          <w:tcPr>
            <w:tcW w:type="dxa" w:w="3022"/>
            <w:shd w:val="clear" w:color="auto" w:fill="FFFFFF"/>
          </w:tcPr>
          <w:p>
            <w:pPr>
              <w:spacing w:before="40" w:after="40"/>
            </w:pPr>
            <w:r>
              <w:rPr>
                <w:color w:val="1A1A1A"/>
                <w:sz w:val="18"/>
              </w:rPr>
              <w:t>Sustituto</w:t>
            </w:r>
          </w:p>
        </w:tc>
        <w:tc>
          <w:tcPr>
            <w:tcW w:type="dxa" w:w="3022"/>
            <w:shd w:val="clear" w:color="auto" w:fill="FFFFFF"/>
          </w:tcPr>
          <w:p>
            <w:pPr>
              <w:spacing w:before="40" w:after="40"/>
            </w:pPr>
            <w:r>
              <w:rPr>
                <w:color w:val="1A1A1A"/>
                <w:sz w:val="18"/>
              </w:rPr>
              <w:t>Cliente VIS puede preferir un apartamento usado de mejor ubicación al mismo precio. Inmobiliarias como CienCuadras, Properati, FincaRaíz son canales.</w:t>
            </w:r>
          </w:p>
        </w:tc>
      </w:tr>
      <w:tr>
        <w:tc>
          <w:tcPr>
            <w:tcW w:type="dxa" w:w="3022"/>
            <w:shd w:val="clear" w:color="auto" w:fill="EBF3FA"/>
          </w:tcPr>
          <w:p>
            <w:pPr>
              <w:spacing w:before="40" w:after="40"/>
            </w:pPr>
            <w:r>
              <w:rPr>
                <w:color w:val="1A1A1A"/>
                <w:sz w:val="18"/>
              </w:rPr>
              <w:t>Constructoras locales pequeñas (no marca nacional)</w:t>
            </w:r>
          </w:p>
        </w:tc>
        <w:tc>
          <w:tcPr>
            <w:tcW w:type="dxa" w:w="3022"/>
            <w:shd w:val="clear" w:color="auto" w:fill="EBF3FA"/>
          </w:tcPr>
          <w:p>
            <w:pPr>
              <w:spacing w:before="40" w:after="40"/>
            </w:pPr>
            <w:r>
              <w:rPr>
                <w:color w:val="1A1A1A"/>
                <w:sz w:val="18"/>
              </w:rPr>
              <w:t>Competencia fragmentada</w:t>
            </w:r>
          </w:p>
        </w:tc>
        <w:tc>
          <w:tcPr>
            <w:tcW w:type="dxa" w:w="3022"/>
            <w:shd w:val="clear" w:color="auto" w:fill="EBF3FA"/>
          </w:tcPr>
          <w:p>
            <w:pPr>
              <w:spacing w:before="40" w:after="40"/>
            </w:pPr>
            <w:r>
              <w:rPr>
                <w:color w:val="1A1A1A"/>
                <w:sz w:val="18"/>
              </w:rPr>
              <w:t>Decenas de constructoras micro-locales en Sabaneta-Itagüí (familia, primera/segunda obra) compiten por lotes y por compradores que valoran la cercanía/conocido.</w:t>
            </w:r>
          </w:p>
        </w:tc>
      </w:tr>
      <w:tr>
        <w:tc>
          <w:tcPr>
            <w:tcW w:type="dxa" w:w="3022"/>
            <w:shd w:val="clear" w:color="auto" w:fill="FFFFFF"/>
          </w:tcPr>
          <w:p>
            <w:pPr>
              <w:spacing w:before="40" w:after="40"/>
            </w:pPr>
            <w:r>
              <w:rPr>
                <w:color w:val="1A1A1A"/>
                <w:sz w:val="18"/>
              </w:rPr>
              <w:t>Build-to-rent / vivienda en arriendo nuevo</w:t>
            </w:r>
          </w:p>
        </w:tc>
        <w:tc>
          <w:tcPr>
            <w:tcW w:type="dxa" w:w="3022"/>
            <w:shd w:val="clear" w:color="auto" w:fill="FFFFFF"/>
          </w:tcPr>
          <w:p>
            <w:pPr>
              <w:spacing w:before="40" w:after="40"/>
            </w:pPr>
            <w:r>
              <w:rPr>
                <w:color w:val="1A1A1A"/>
                <w:sz w:val="18"/>
              </w:rPr>
              <w:t>Sustituto emergente</w:t>
            </w:r>
          </w:p>
        </w:tc>
        <w:tc>
          <w:tcPr>
            <w:tcW w:type="dxa" w:w="3022"/>
            <w:shd w:val="clear" w:color="auto" w:fill="FFFFFF"/>
          </w:tcPr>
          <w:p>
            <w:pPr>
              <w:spacing w:before="40" w:after="40"/>
            </w:pPr>
            <w:r>
              <w:rPr>
                <w:color w:val="1A1A1A"/>
                <w:sz w:val="18"/>
              </w:rPr>
              <w:t>Nuevos jugadores (PEI, Greystar Colombia, Edify) compiten por el joven que antes compraba VIS y ahora prefiere arrendar nuevo. Incipiente pero creciendo.</w:t>
            </w:r>
          </w:p>
        </w:tc>
      </w:tr>
    </w:tbl>
    <w:p/>
    <w:p>
      <w:pPr>
        <w:spacing w:before="280" w:after="60"/>
        <w:pBdr>
          <w:bottom w:val="single" w:sz="4" w:space="1" w:color="007AC3"/>
        </w:pBdr>
      </w:pPr>
      <w:r>
        <w:rPr>
          <w:b/>
          <w:color w:val="007AC3"/>
          <w:sz w:val="28"/>
        </w:rPr>
        <w:t>2. FICHAS POR COMPETIDOR</w:t>
      </w:r>
    </w:p>
    <w:p>
      <w:pPr>
        <w:spacing w:before="160" w:after="40"/>
      </w:pPr>
      <w:r>
        <w:rPr>
          <w:b/>
          <w:color w:val="556577"/>
          <w:sz w:val="22"/>
        </w:rPr>
        <w:t>Constructora Capital — competidor #1, prioridad máxima</w:t>
      </w:r>
    </w:p>
    <w:p>
      <w:pPr>
        <w:spacing w:before="80" w:after="40"/>
      </w:pPr>
      <w:r>
        <w:rPr>
          <w:b/>
          <w:color w:val="1A2E4A"/>
          <w:sz w:val="20"/>
        </w:rPr>
        <w:t>Propuesta de valor central:</w:t>
      </w:r>
    </w:p>
    <w:p>
      <w:pPr>
        <w:spacing w:before="20" w:after="60"/>
      </w:pPr>
      <w:r>
        <w:rPr>
          <w:color w:val="1A1A1A"/>
          <w:sz w:val="20"/>
        </w:rPr>
        <w:t xml:space="preserve">"Construcción de proyectos inmobiliarios" con foco específico en </w:t>
      </w:r>
      <w:r>
        <w:rPr>
          <w:b/>
          <w:color w:val="1A1A1A"/>
          <w:sz w:val="20"/>
        </w:rPr>
        <w:t>municipios en expansión del Valle de Aburrá</w:t>
      </w:r>
      <w:r>
        <w:rPr>
          <w:color w:val="1A1A1A"/>
          <w:sz w:val="20"/>
        </w:rPr>
        <w:t xml:space="preserve"> (Envigado, Sabaneta, Itagüí, Bello) "destacados por valorización y acceso a transporte". Foco mixto VIS + NO VIS + comercial. Posicionamiento: combinación de escala nacional + diversidad de productos + financiación facilitada.</w:t>
      </w:r>
    </w:p>
    <w:p>
      <w:pPr>
        <w:spacing w:before="80" w:after="40"/>
      </w:pPr>
      <w:r>
        <w:rPr>
          <w:b/>
          <w:color w:val="1A2E4A"/>
          <w:sz w:val="20"/>
        </w:rPr>
        <w:t>Presencia digital:</w:t>
      </w:r>
    </w:p>
    <w:p>
      <w:pPr>
        <w:pStyle w:val="ListBullet"/>
        <w:spacing w:before="0" w:after="40"/>
      </w:pPr>
      <w:r>
        <w:rPr>
          <w:b/>
          <w:color w:val="1A1A1A"/>
          <w:sz w:val="20"/>
        </w:rPr>
        <w:t>Web:</w:t>
      </w:r>
      <w:r>
        <w:rPr>
          <w:color w:val="1A1A1A"/>
          <w:sz w:val="20"/>
        </w:rPr>
        <w:t xml:space="preserve"> constructoracapital.com — calidad alta, navegación profesional, secciones bien organizadas (proyectos por ciudad, próximos lanzamientos, financiación, atención al cliente).</w:t>
      </w:r>
    </w:p>
    <w:p>
      <w:pPr>
        <w:pStyle w:val="ListBullet"/>
        <w:spacing w:before="0" w:after="40"/>
      </w:pPr>
      <w:r>
        <w:rPr>
          <w:b/>
          <w:color w:val="1A1A1A"/>
          <w:sz w:val="20"/>
        </w:rPr>
        <w:t>LinkedIn:</w:t>
      </w:r>
      <w:r>
        <w:rPr>
          <w:color w:val="1A1A1A"/>
          <w:sz w:val="20"/>
        </w:rPr>
        <w:t xml:space="preserve"> activo, marca corporativa visible.</w:t>
      </w:r>
    </w:p>
    <w:p>
      <w:pPr>
        <w:pStyle w:val="ListBullet"/>
        <w:spacing w:before="0" w:after="40"/>
      </w:pPr>
      <w:r>
        <w:rPr>
          <w:b/>
          <w:color w:val="1A1A1A"/>
          <w:sz w:val="20"/>
        </w:rPr>
        <w:t>Redes sociales:</w:t>
      </w:r>
      <w:r>
        <w:rPr>
          <w:color w:val="1A1A1A"/>
          <w:sz w:val="20"/>
        </w:rPr>
        <w:t xml:space="preserve"> presencia consolidada multicanal.</w:t>
      </w:r>
    </w:p>
    <w:p>
      <w:pPr>
        <w:pStyle w:val="ListBullet"/>
        <w:spacing w:before="0" w:after="40"/>
      </w:pPr>
      <w:r>
        <w:rPr>
          <w:b/>
          <w:color w:val="1A1A1A"/>
          <w:sz w:val="20"/>
        </w:rPr>
        <w:t>CRM/marketing automation:</w:t>
      </w:r>
      <w:r>
        <w:rPr>
          <w:color w:val="1A1A1A"/>
          <w:sz w:val="20"/>
        </w:rPr>
        <w:t xml:space="preserve"> sin evidencia pública, pero por tamaño se asume que tienen alguna herramienta corporativa.</w:t>
      </w:r>
    </w:p>
    <w:p>
      <w:pPr>
        <w:spacing w:before="80" w:after="40"/>
      </w:pPr>
      <w:r>
        <w:rPr>
          <w:b/>
          <w:color w:val="1A2E4A"/>
          <w:sz w:val="20"/>
        </w:rPr>
        <w:t>Tamaño:</w:t>
      </w:r>
    </w:p>
    <w:p>
      <w:pPr>
        <w:pStyle w:val="ListBullet"/>
        <w:spacing w:before="0" w:after="40"/>
      </w:pPr>
      <w:r>
        <w:rPr>
          <w:b/>
          <w:color w:val="1A1A1A"/>
          <w:sz w:val="20"/>
        </w:rPr>
        <w:t>Vendieron ~8.000 unidades</w:t>
      </w:r>
      <w:r>
        <w:rPr>
          <w:color w:val="1A1A1A"/>
          <w:sz w:val="20"/>
        </w:rPr>
        <w:t xml:space="preserve"> entre Bogotá y Medellín en 2025 (+18% YoY).</w:t>
      </w:r>
    </w:p>
    <w:p>
      <w:pPr>
        <w:pStyle w:val="ListBullet"/>
        <w:spacing w:before="0" w:after="40"/>
      </w:pPr>
      <w:r>
        <w:rPr>
          <w:color w:val="1A1A1A"/>
          <w:sz w:val="20"/>
        </w:rPr>
        <w:t xml:space="preserve">Fundada en 1992 por </w:t>
      </w:r>
      <w:r>
        <w:rPr>
          <w:b/>
          <w:color w:val="1A1A1A"/>
          <w:sz w:val="20"/>
        </w:rPr>
        <w:t>Felipe Echeverri Jaramillo y Pablo Echeverri</w:t>
      </w:r>
      <w:r>
        <w:rPr>
          <w:color w:val="1A1A1A"/>
          <w:sz w:val="20"/>
        </w:rPr>
        <w:t xml:space="preserve"> (hermanos).</w:t>
      </w:r>
    </w:p>
    <w:p>
      <w:pPr>
        <w:pStyle w:val="ListBullet"/>
        <w:spacing w:before="0" w:after="40"/>
      </w:pPr>
      <w:r>
        <w:rPr>
          <w:color w:val="1A1A1A"/>
          <w:sz w:val="20"/>
        </w:rPr>
        <w:t>33+ años de operación.</w:t>
      </w:r>
    </w:p>
    <w:p>
      <w:pPr>
        <w:pStyle w:val="ListBullet"/>
        <w:spacing w:before="0" w:after="40"/>
      </w:pPr>
      <w:r>
        <w:rPr>
          <w:color w:val="1A1A1A"/>
          <w:sz w:val="20"/>
        </w:rPr>
        <w:t>Empleados: probablemente 500-1.000+.</w:t>
      </w:r>
    </w:p>
    <w:p>
      <w:pPr>
        <w:pStyle w:val="ListBullet"/>
        <w:spacing w:before="0" w:after="40"/>
      </w:pPr>
      <w:r>
        <w:rPr>
          <w:color w:val="1A1A1A"/>
          <w:sz w:val="20"/>
        </w:rPr>
        <w:t>Cobertura: Bogotá, Medellín y alrededores, otras ciudades grandes.</w:t>
      </w:r>
    </w:p>
    <w:p>
      <w:pPr>
        <w:spacing w:before="80" w:after="40"/>
      </w:pPr>
      <w:r>
        <w:rPr>
          <w:b/>
          <w:color w:val="1A2E4A"/>
          <w:sz w:val="20"/>
        </w:rPr>
        <w:t>Diferenciadores clave:</w:t>
      </w:r>
    </w:p>
    <w:p>
      <w:pPr>
        <w:pStyle w:val="ListBullet"/>
        <w:spacing w:before="0" w:after="40"/>
      </w:pPr>
      <w:r>
        <w:rPr>
          <w:b/>
          <w:color w:val="1A1A1A"/>
          <w:sz w:val="20"/>
        </w:rPr>
        <w:t>Escala nacional</w:t>
      </w:r>
      <w:r>
        <w:rPr>
          <w:color w:val="1A1A1A"/>
          <w:sz w:val="20"/>
        </w:rPr>
        <w:t xml:space="preserve"> que les da poder de negociación con bancos, fiducias y proveedores.</w:t>
      </w:r>
    </w:p>
    <w:p>
      <w:pPr>
        <w:pStyle w:val="ListBullet"/>
        <w:spacing w:before="0" w:after="40"/>
      </w:pPr>
      <w:r>
        <w:rPr>
          <w:b/>
          <w:color w:val="1A1A1A"/>
          <w:sz w:val="20"/>
        </w:rPr>
        <w:t>Tres décadas de track record</w:t>
      </w:r>
      <w:r>
        <w:rPr>
          <w:color w:val="1A1A1A"/>
          <w:sz w:val="20"/>
        </w:rPr>
        <w:t xml:space="preserve"> — los compradores y bancos los conocen.</w:t>
      </w:r>
    </w:p>
    <w:p>
      <w:pPr>
        <w:pStyle w:val="ListBullet"/>
        <w:spacing w:before="0" w:after="40"/>
      </w:pPr>
      <w:r>
        <w:rPr>
          <w:b/>
          <w:color w:val="1A1A1A"/>
          <w:sz w:val="20"/>
        </w:rPr>
        <w:t>Equipo comercial profesionalizado</w:t>
      </w:r>
      <w:r>
        <w:rPr>
          <w:color w:val="1A1A1A"/>
          <w:sz w:val="20"/>
        </w:rPr>
        <w:t xml:space="preserve"> — múltiples salas de venta por proyecto.</w:t>
      </w:r>
    </w:p>
    <w:p>
      <w:pPr>
        <w:pStyle w:val="ListBullet"/>
        <w:spacing w:before="0" w:after="40"/>
      </w:pPr>
      <w:r>
        <w:rPr>
          <w:b/>
          <w:color w:val="1A1A1A"/>
          <w:sz w:val="20"/>
        </w:rPr>
        <w:t>Cobertura VIS Valle de Aburrá sur</w:t>
      </w:r>
      <w:r>
        <w:rPr>
          <w:color w:val="1A1A1A"/>
          <w:sz w:val="20"/>
        </w:rPr>
        <w:t xml:space="preserve"> específicamente coincide con la zona core de Ascenso.</w:t>
      </w:r>
    </w:p>
    <w:p>
      <w:pPr>
        <w:spacing w:before="80" w:after="40"/>
      </w:pPr>
      <w:r>
        <w:rPr>
          <w:b/>
          <w:color w:val="1A2E4A"/>
          <w:sz w:val="20"/>
        </w:rPr>
        <w:t>Adopción de IA y tecnología:</w:t>
      </w:r>
    </w:p>
    <w:p>
      <w:pPr>
        <w:pStyle w:val="ListBullet"/>
        <w:spacing w:before="0" w:after="40"/>
      </w:pPr>
      <w:r>
        <w:rPr>
          <w:color w:val="1A1A1A"/>
          <w:sz w:val="20"/>
        </w:rPr>
        <w:t>No se encontró evidencia pública de IA aplicada en operaciones.</w:t>
      </w:r>
    </w:p>
    <w:p>
      <w:pPr>
        <w:pStyle w:val="ListBullet"/>
        <w:spacing w:before="0" w:after="40"/>
      </w:pPr>
      <w:r>
        <w:rPr>
          <w:color w:val="1A1A1A"/>
          <w:sz w:val="20"/>
        </w:rPr>
        <w:t>Probable madurez digital: 3-3.5/5 — usan portales inmobiliarios y digital marketing, pero no se identifica BIM corporativo, gemelos digitales ni IA generativa.</w:t>
      </w:r>
    </w:p>
    <w:p>
      <w:pPr>
        <w:spacing w:before="80" w:after="40"/>
      </w:pPr>
      <w:r>
        <w:rPr>
          <w:b/>
          <w:color w:val="1A2E4A"/>
          <w:sz w:val="20"/>
        </w:rPr>
        <w:t>Vulnerabilidades observadas:</w:t>
      </w:r>
    </w:p>
    <w:p>
      <w:pPr>
        <w:pStyle w:val="ListBullet"/>
        <w:spacing w:before="0" w:after="40"/>
      </w:pPr>
      <w:r>
        <w:rPr>
          <w:color w:val="1A1A1A"/>
          <w:sz w:val="20"/>
        </w:rPr>
        <w:t>Por escala, lentos en innovación.</w:t>
      </w:r>
    </w:p>
    <w:p>
      <w:pPr>
        <w:pStyle w:val="ListBullet"/>
        <w:spacing w:before="0" w:after="40"/>
      </w:pPr>
      <w:r>
        <w:rPr>
          <w:color w:val="1A1A1A"/>
          <w:sz w:val="20"/>
        </w:rPr>
        <w:t>No comunican sostenibilidad como diferencial estratégico — gap vs Ascenso que sí es miembro CCCS.</w:t>
      </w:r>
    </w:p>
    <w:p>
      <w:pPr>
        <w:pStyle w:val="ListBullet"/>
        <w:spacing w:before="0" w:after="40"/>
      </w:pPr>
      <w:r>
        <w:rPr>
          <w:color w:val="1A1A1A"/>
          <w:sz w:val="20"/>
        </w:rPr>
        <w:t>Compiten en muchas ciudades simultáneamente, sin especialización de nicho.</w:t>
      </w:r>
    </w:p>
    <w:p>
      <w:pPr>
        <w:spacing w:before="160" w:after="40"/>
      </w:pPr>
      <w:r>
        <w:rPr>
          <w:b/>
          <w:color w:val="556577"/>
          <w:sz w:val="22"/>
        </w:rPr>
        <w:t>Conconcreto — competidor #2 (incumbente regional)</w:t>
      </w:r>
    </w:p>
    <w:p>
      <w:pPr>
        <w:spacing w:before="80" w:after="40"/>
      </w:pPr>
      <w:r>
        <w:rPr>
          <w:b/>
          <w:color w:val="1A2E4A"/>
          <w:sz w:val="20"/>
        </w:rPr>
        <w:t>Propuesta de valor central:</w:t>
      </w:r>
    </w:p>
    <w:p>
      <w:pPr>
        <w:spacing w:before="20" w:after="60"/>
      </w:pPr>
      <w:r>
        <w:rPr>
          <w:color w:val="1A1A1A"/>
          <w:sz w:val="20"/>
        </w:rPr>
        <w:t>Constructora antioqueña fundada en 1961, cotizada en la Bolsa de Valores de Colombia. Foco amplio: residencial, comercial, industrial, infraestructura. Proyectos icónicos en Medellín y nacional. Sostenibilidad como pilar declarado (Casa Colombia, LEED).</w:t>
      </w:r>
    </w:p>
    <w:p>
      <w:pPr>
        <w:spacing w:before="80" w:after="40"/>
      </w:pPr>
      <w:r>
        <w:rPr>
          <w:b/>
          <w:color w:val="1A2E4A"/>
          <w:sz w:val="20"/>
        </w:rPr>
        <w:t>Presencia digital:</w:t>
      </w:r>
    </w:p>
    <w:p>
      <w:pPr>
        <w:pStyle w:val="ListBullet"/>
        <w:spacing w:before="0" w:after="40"/>
      </w:pPr>
      <w:r>
        <w:rPr>
          <w:color w:val="1A1A1A"/>
          <w:sz w:val="20"/>
        </w:rPr>
        <w:t>Web corporativa robusta + investor relations.</w:t>
      </w:r>
    </w:p>
    <w:p>
      <w:pPr>
        <w:pStyle w:val="ListBullet"/>
        <w:spacing w:before="0" w:after="40"/>
      </w:pPr>
      <w:r>
        <w:rPr>
          <w:color w:val="1A1A1A"/>
          <w:sz w:val="20"/>
        </w:rPr>
        <w:t>LinkedIn altamente activo (empresa cotizada).</w:t>
      </w:r>
    </w:p>
    <w:p>
      <w:pPr>
        <w:pStyle w:val="ListBullet"/>
        <w:spacing w:before="0" w:after="40"/>
      </w:pPr>
      <w:r>
        <w:rPr>
          <w:color w:val="1A1A1A"/>
          <w:sz w:val="20"/>
        </w:rPr>
        <w:t xml:space="preserve">Adopción de </w:t>
      </w:r>
      <w:r>
        <w:rPr>
          <w:b/>
          <w:color w:val="1A1A1A"/>
          <w:sz w:val="20"/>
        </w:rPr>
        <w:t>BIM</w:t>
      </w:r>
      <w:r>
        <w:rPr>
          <w:color w:val="1A1A1A"/>
          <w:sz w:val="20"/>
        </w:rPr>
        <w:t xml:space="preserve"> confirmada en publicaciones Camacol.</w:t>
      </w:r>
    </w:p>
    <w:p>
      <w:pPr>
        <w:spacing w:before="80" w:after="40"/>
      </w:pPr>
      <w:r>
        <w:rPr>
          <w:b/>
          <w:color w:val="1A2E4A"/>
          <w:sz w:val="20"/>
        </w:rPr>
        <w:t>Tamaño:</w:t>
      </w:r>
    </w:p>
    <w:p>
      <w:pPr>
        <w:pStyle w:val="ListBullet"/>
        <w:spacing w:before="0" w:after="40"/>
      </w:pPr>
      <w:r>
        <w:rPr>
          <w:color w:val="1A1A1A"/>
          <w:sz w:val="20"/>
        </w:rPr>
        <w:t>Empresa grande, cotizada.</w:t>
      </w:r>
    </w:p>
    <w:p>
      <w:pPr>
        <w:pStyle w:val="ListBullet"/>
        <w:spacing w:before="0" w:after="40"/>
      </w:pPr>
      <w:r>
        <w:rPr>
          <w:color w:val="1A1A1A"/>
          <w:sz w:val="20"/>
        </w:rPr>
        <w:t>60+ años de operación.</w:t>
      </w:r>
    </w:p>
    <w:p>
      <w:pPr>
        <w:pStyle w:val="ListBullet"/>
        <w:spacing w:before="0" w:after="40"/>
      </w:pPr>
      <w:r>
        <w:rPr>
          <w:color w:val="1A1A1A"/>
          <w:sz w:val="20"/>
        </w:rPr>
        <w:t>Cobertura nacional + presencia Panamá, Perú.</w:t>
      </w:r>
    </w:p>
    <w:p>
      <w:pPr>
        <w:pStyle w:val="ListBullet"/>
        <w:spacing w:before="0" w:after="40"/>
      </w:pPr>
      <w:r>
        <w:rPr>
          <w:color w:val="1A1A1A"/>
          <w:sz w:val="20"/>
        </w:rPr>
        <w:t>Empleados: miles.</w:t>
      </w:r>
    </w:p>
    <w:p>
      <w:pPr>
        <w:spacing w:before="80" w:after="40"/>
      </w:pPr>
      <w:r>
        <w:rPr>
          <w:b/>
          <w:color w:val="1A2E4A"/>
          <w:sz w:val="20"/>
        </w:rPr>
        <w:t>Diferenciadores clave:</w:t>
      </w:r>
    </w:p>
    <w:p>
      <w:pPr>
        <w:pStyle w:val="ListBullet"/>
        <w:spacing w:before="0" w:after="40"/>
      </w:pPr>
      <w:r>
        <w:rPr>
          <w:b/>
          <w:color w:val="1A1A1A"/>
          <w:sz w:val="20"/>
        </w:rPr>
        <w:t>Marca histórica antioqueña</w:t>
      </w:r>
      <w:r>
        <w:rPr>
          <w:color w:val="1A1A1A"/>
          <w:sz w:val="20"/>
        </w:rPr>
        <w:t xml:space="preserve"> con prestigio.</w:t>
      </w:r>
    </w:p>
    <w:p>
      <w:pPr>
        <w:pStyle w:val="ListBullet"/>
        <w:spacing w:before="0" w:after="40"/>
      </w:pPr>
      <w:r>
        <w:rPr>
          <w:b/>
          <w:color w:val="1A1A1A"/>
          <w:sz w:val="20"/>
        </w:rPr>
        <w:t>Capacidad técnica y financiera</w:t>
      </w:r>
      <w:r>
        <w:rPr>
          <w:color w:val="1A1A1A"/>
          <w:sz w:val="20"/>
        </w:rPr>
        <w:t xml:space="preserve"> muy superior.</w:t>
      </w:r>
    </w:p>
    <w:p>
      <w:pPr>
        <w:pStyle w:val="ListBullet"/>
        <w:spacing w:before="0" w:after="40"/>
      </w:pPr>
      <w:r>
        <w:rPr>
          <w:b/>
          <w:color w:val="1A1A1A"/>
          <w:sz w:val="20"/>
        </w:rPr>
        <w:t>BIM + capacidades digitales</w:t>
      </w:r>
      <w:r>
        <w:rPr>
          <w:color w:val="1A1A1A"/>
          <w:sz w:val="20"/>
        </w:rPr>
        <w:t xml:space="preserve"> ya integradas.</w:t>
      </w:r>
    </w:p>
    <w:p>
      <w:pPr>
        <w:pStyle w:val="ListBullet"/>
        <w:spacing w:before="0" w:after="40"/>
      </w:pPr>
      <w:r>
        <w:rPr>
          <w:b/>
          <w:color w:val="1A1A1A"/>
          <w:sz w:val="20"/>
        </w:rPr>
        <w:t>Proyectos icónicos</w:t>
      </w:r>
      <w:r>
        <w:rPr>
          <w:color w:val="1A1A1A"/>
          <w:sz w:val="20"/>
        </w:rPr>
        <w:t xml:space="preserve"> que generan PR ganada constante.</w:t>
      </w:r>
    </w:p>
    <w:p>
      <w:pPr>
        <w:spacing w:before="80" w:after="40"/>
      </w:pPr>
      <w:r>
        <w:rPr>
          <w:b/>
          <w:color w:val="1A2E4A"/>
          <w:sz w:val="20"/>
        </w:rPr>
        <w:t>Adopción de IA y tecnología:</w:t>
      </w:r>
    </w:p>
    <w:p>
      <w:pPr>
        <w:pStyle w:val="ListBullet"/>
        <w:spacing w:before="0" w:after="40"/>
      </w:pPr>
      <w:r>
        <w:rPr>
          <w:b/>
          <w:color w:val="1A1A1A"/>
          <w:sz w:val="20"/>
        </w:rPr>
        <w:t>BIM ya en uso.</w:t>
      </w:r>
    </w:p>
    <w:p>
      <w:pPr>
        <w:pStyle w:val="ListBullet"/>
        <w:spacing w:before="0" w:after="40"/>
      </w:pPr>
      <w:r>
        <w:rPr>
          <w:b/>
          <w:color w:val="1A1A1A"/>
          <w:sz w:val="20"/>
        </w:rPr>
        <w:t>Probable adopción de IA en planeación, optimización de costos y diseño.</w:t>
      </w:r>
      <w:r>
        <w:rPr>
          <w:color w:val="1A1A1A"/>
          <w:sz w:val="20"/>
        </w:rPr>
        <w:t xml:space="preserve"> Tienen capacidad y presupuesto.</w:t>
      </w:r>
    </w:p>
    <w:p>
      <w:pPr>
        <w:pStyle w:val="ListBullet"/>
        <w:spacing w:before="0" w:after="40"/>
      </w:pPr>
      <w:r>
        <w:rPr>
          <w:color w:val="1A1A1A"/>
          <w:sz w:val="20"/>
        </w:rPr>
        <w:t>Madurez digital: 4/5.</w:t>
      </w:r>
    </w:p>
    <w:p>
      <w:pPr>
        <w:spacing w:before="80" w:after="40"/>
      </w:pPr>
      <w:r>
        <w:rPr>
          <w:b/>
          <w:color w:val="1A2E4A"/>
          <w:sz w:val="20"/>
        </w:rPr>
        <w:t>Vulnerabilidades observadas:</w:t>
      </w:r>
    </w:p>
    <w:p>
      <w:pPr>
        <w:pStyle w:val="ListBullet"/>
        <w:spacing w:before="0" w:after="40"/>
      </w:pPr>
      <w:r>
        <w:rPr>
          <w:color w:val="1A1A1A"/>
          <w:sz w:val="20"/>
        </w:rPr>
        <w:t>Por estructura corporativa, decisiones lentas.</w:t>
      </w:r>
    </w:p>
    <w:p>
      <w:pPr>
        <w:pStyle w:val="ListBullet"/>
        <w:spacing w:before="0" w:after="40"/>
      </w:pPr>
      <w:r>
        <w:rPr>
          <w:color w:val="1A1A1A"/>
          <w:sz w:val="20"/>
        </w:rPr>
        <w:t>Foco en proyectos grandes — VIS Sabaneta puede no ser su prioridad estratégica.</w:t>
      </w:r>
    </w:p>
    <w:p>
      <w:pPr>
        <w:spacing w:before="160" w:after="40"/>
      </w:pPr>
      <w:r>
        <w:rPr>
          <w:b/>
          <w:color w:val="556577"/>
          <w:sz w:val="22"/>
        </w:rPr>
        <w:t>Arquitectura y Concreto — competidor #3</w:t>
      </w:r>
    </w:p>
    <w:p>
      <w:pPr>
        <w:spacing w:before="80" w:after="40"/>
      </w:pPr>
      <w:r>
        <w:rPr>
          <w:b/>
          <w:color w:val="1A2E4A"/>
          <w:sz w:val="20"/>
        </w:rPr>
        <w:t>Propuesta de valor central:</w:t>
      </w:r>
    </w:p>
    <w:p>
      <w:pPr>
        <w:spacing w:before="20" w:after="60"/>
      </w:pPr>
      <w:r>
        <w:rPr>
          <w:color w:val="1A1A1A"/>
          <w:sz w:val="20"/>
        </w:rPr>
        <w:t>Constructora antioqueña referente, foco en diseño + ejecución cuidada. Proyectos en Medellín, Envigado, Itagüí, Sabaneta. Marca premium dentro del segmento residencial medio-alto.</w:t>
      </w:r>
    </w:p>
    <w:p>
      <w:pPr>
        <w:spacing w:before="80" w:after="40"/>
      </w:pPr>
      <w:r>
        <w:rPr>
          <w:b/>
          <w:color w:val="1A2E4A"/>
          <w:sz w:val="20"/>
        </w:rPr>
        <w:t>Presencia digital:</w:t>
      </w:r>
    </w:p>
    <w:p>
      <w:pPr>
        <w:pStyle w:val="ListBullet"/>
        <w:spacing w:before="0" w:after="40"/>
      </w:pPr>
      <w:r>
        <w:rPr>
          <w:color w:val="1A1A1A"/>
          <w:sz w:val="20"/>
        </w:rPr>
        <w:t>Sitio web profesional.</w:t>
      </w:r>
    </w:p>
    <w:p>
      <w:pPr>
        <w:pStyle w:val="ListBullet"/>
        <w:spacing w:before="0" w:after="40"/>
      </w:pPr>
      <w:r>
        <w:rPr>
          <w:color w:val="1A1A1A"/>
          <w:sz w:val="20"/>
        </w:rPr>
        <w:t>Marca conocida en Medellín.</w:t>
      </w:r>
    </w:p>
    <w:p>
      <w:pPr>
        <w:pStyle w:val="ListBullet"/>
        <w:spacing w:before="0" w:after="40"/>
      </w:pPr>
      <w:r>
        <w:rPr>
          <w:color w:val="1A1A1A"/>
          <w:sz w:val="20"/>
        </w:rPr>
        <w:t>Visibilidad LinkedIn moderada.</w:t>
      </w:r>
    </w:p>
    <w:p>
      <w:pPr>
        <w:spacing w:before="80" w:after="40"/>
      </w:pPr>
      <w:r>
        <w:rPr>
          <w:b/>
          <w:color w:val="1A2E4A"/>
          <w:sz w:val="20"/>
        </w:rPr>
        <w:t>Tamaño:</w:t>
      </w:r>
    </w:p>
    <w:p>
      <w:pPr>
        <w:pStyle w:val="ListBullet"/>
        <w:spacing w:before="0" w:after="40"/>
      </w:pPr>
      <w:r>
        <w:rPr>
          <w:color w:val="1A1A1A"/>
          <w:sz w:val="20"/>
        </w:rPr>
        <w:t>Mediana-grande.</w:t>
      </w:r>
    </w:p>
    <w:p>
      <w:pPr>
        <w:pStyle w:val="ListBullet"/>
        <w:spacing w:before="0" w:after="40"/>
      </w:pPr>
      <w:r>
        <w:rPr>
          <w:color w:val="1A1A1A"/>
          <w:sz w:val="20"/>
        </w:rPr>
        <w:t>Décadas de operación.</w:t>
      </w:r>
    </w:p>
    <w:p>
      <w:pPr>
        <w:spacing w:before="80" w:after="40"/>
      </w:pPr>
      <w:r>
        <w:rPr>
          <w:b/>
          <w:color w:val="1A2E4A"/>
          <w:sz w:val="20"/>
        </w:rPr>
        <w:t>Diferenciadores clave:</w:t>
      </w:r>
    </w:p>
    <w:p>
      <w:pPr>
        <w:pStyle w:val="ListBullet"/>
        <w:spacing w:before="0" w:after="40"/>
      </w:pPr>
      <w:r>
        <w:rPr>
          <w:b/>
          <w:color w:val="1A1A1A"/>
          <w:sz w:val="20"/>
        </w:rPr>
        <w:t>Reputación de diseño y calidad</w:t>
      </w:r>
      <w:r>
        <w:rPr>
          <w:color w:val="1A1A1A"/>
          <w:sz w:val="20"/>
        </w:rPr>
        <w:t xml:space="preserve"> — referencia visual.</w:t>
      </w:r>
    </w:p>
    <w:p>
      <w:pPr>
        <w:pStyle w:val="ListBullet"/>
        <w:spacing w:before="0" w:after="40"/>
      </w:pPr>
      <w:r>
        <w:rPr>
          <w:b/>
          <w:color w:val="1A1A1A"/>
          <w:sz w:val="20"/>
        </w:rPr>
        <w:t>Conocimiento profundo del Valle de Aburrá.</w:t>
      </w:r>
    </w:p>
    <w:p>
      <w:pPr>
        <w:spacing w:before="80" w:after="40"/>
      </w:pPr>
      <w:r>
        <w:rPr>
          <w:b/>
          <w:color w:val="1A2E4A"/>
          <w:sz w:val="20"/>
        </w:rPr>
        <w:t>Adopción de IA y tecnología:</w:t>
      </w:r>
    </w:p>
    <w:p>
      <w:pPr>
        <w:pStyle w:val="ListBullet"/>
        <w:spacing w:before="0" w:after="40"/>
      </w:pPr>
      <w:r>
        <w:rPr>
          <w:color w:val="1A1A1A"/>
          <w:sz w:val="20"/>
        </w:rPr>
        <w:t>No evidencia pública de IA específica.</w:t>
      </w:r>
    </w:p>
    <w:p>
      <w:pPr>
        <w:pStyle w:val="ListBullet"/>
        <w:spacing w:before="0" w:after="40"/>
      </w:pPr>
      <w:r>
        <w:rPr>
          <w:color w:val="1A1A1A"/>
          <w:sz w:val="20"/>
        </w:rPr>
        <w:t>Madurez digital: 3/5.</w:t>
      </w:r>
    </w:p>
    <w:p>
      <w:pPr>
        <w:spacing w:before="80" w:after="40"/>
      </w:pPr>
      <w:r>
        <w:rPr>
          <w:b/>
          <w:color w:val="1A2E4A"/>
          <w:sz w:val="20"/>
        </w:rPr>
        <w:t>Vulnerabilidades observadas:</w:t>
      </w:r>
    </w:p>
    <w:p>
      <w:pPr>
        <w:pStyle w:val="ListBullet"/>
        <w:spacing w:before="0" w:after="40"/>
      </w:pPr>
      <w:r>
        <w:rPr>
          <w:color w:val="1A1A1A"/>
          <w:sz w:val="20"/>
        </w:rPr>
        <w:t>Sin escala financiera de Bolívar/Capital.</w:t>
      </w:r>
    </w:p>
    <w:p>
      <w:pPr>
        <w:pStyle w:val="ListBullet"/>
        <w:spacing w:before="0" w:after="40"/>
      </w:pPr>
      <w:r>
        <w:rPr>
          <w:color w:val="1A1A1A"/>
          <w:sz w:val="20"/>
        </w:rPr>
        <w:t>Sin diferencial digital ni sostenibilidad-líder.</w:t>
      </w:r>
    </w:p>
    <w:p>
      <w:pPr>
        <w:spacing w:before="160" w:after="40"/>
      </w:pPr>
      <w:r>
        <w:rPr>
          <w:b/>
          <w:color w:val="556577"/>
          <w:sz w:val="22"/>
        </w:rPr>
        <w:t>Constructora Bolívar — incumbente líder nacional, indirecto pero relevante</w:t>
      </w:r>
    </w:p>
    <w:p>
      <w:pPr>
        <w:spacing w:before="80" w:after="40"/>
      </w:pPr>
      <w:r>
        <w:rPr>
          <w:b/>
          <w:color w:val="1A2E4A"/>
          <w:sz w:val="20"/>
        </w:rPr>
        <w:t>Propuesta de valor central:</w:t>
      </w:r>
    </w:p>
    <w:p>
      <w:pPr>
        <w:spacing w:before="20" w:after="60"/>
      </w:pPr>
      <w:r>
        <w:rPr>
          <w:color w:val="1A1A1A"/>
          <w:sz w:val="20"/>
        </w:rPr>
        <w:t>Líder nacional en ventas de vivienda en Colombia (#1 por tres años consecutivos). Brazo constructor del Grupo Bolívar (Davivienda + Seguros Bolívar + Constructora). Sinergia financiera-construcción única.</w:t>
      </w:r>
    </w:p>
    <w:p>
      <w:pPr>
        <w:spacing w:before="80" w:after="40"/>
      </w:pPr>
      <w:r>
        <w:rPr>
          <w:b/>
          <w:color w:val="1A2E4A"/>
          <w:sz w:val="20"/>
        </w:rPr>
        <w:t>Tamaño:</w:t>
      </w:r>
    </w:p>
    <w:p>
      <w:pPr>
        <w:pStyle w:val="ListBullet"/>
        <w:spacing w:before="0" w:after="40"/>
      </w:pPr>
      <w:r>
        <w:rPr>
          <w:color w:val="1A1A1A"/>
          <w:sz w:val="20"/>
        </w:rPr>
        <w:t>28.170 unidades entregadas en año récord.</w:t>
      </w:r>
    </w:p>
    <w:p>
      <w:pPr>
        <w:pStyle w:val="ListBullet"/>
        <w:spacing w:before="0" w:after="40"/>
      </w:pPr>
      <w:r>
        <w:rPr>
          <w:color w:val="1A1A1A"/>
          <w:sz w:val="20"/>
        </w:rPr>
        <w:t>Cobertura nacional.</w:t>
      </w:r>
    </w:p>
    <w:p>
      <w:pPr>
        <w:pStyle w:val="ListBullet"/>
        <w:spacing w:before="0" w:after="40"/>
      </w:pPr>
      <w:r>
        <w:rPr>
          <w:color w:val="1A1A1A"/>
          <w:sz w:val="20"/>
        </w:rPr>
        <w:t>Empleados: miles.</w:t>
      </w:r>
    </w:p>
    <w:p>
      <w:pPr>
        <w:spacing w:before="80" w:after="40"/>
      </w:pPr>
      <w:r>
        <w:rPr>
          <w:b/>
          <w:color w:val="1A2E4A"/>
          <w:sz w:val="20"/>
        </w:rPr>
        <w:t>Diferenciadores clave:</w:t>
      </w:r>
    </w:p>
    <w:p>
      <w:pPr>
        <w:pStyle w:val="ListBullet"/>
        <w:spacing w:before="0" w:after="40"/>
      </w:pPr>
      <w:r>
        <w:rPr>
          <w:b/>
          <w:color w:val="1A1A1A"/>
          <w:sz w:val="20"/>
        </w:rPr>
        <w:t>Sinergia con Davivienda</w:t>
      </w:r>
      <w:r>
        <w:rPr>
          <w:color w:val="1A1A1A"/>
          <w:sz w:val="20"/>
        </w:rPr>
        <w:t xml:space="preserve"> — financiación al comprador integrada.</w:t>
      </w:r>
    </w:p>
    <w:p>
      <w:pPr>
        <w:pStyle w:val="ListBullet"/>
        <w:spacing w:before="0" w:after="40"/>
      </w:pPr>
      <w:r>
        <w:rPr>
          <w:b/>
          <w:color w:val="1A1A1A"/>
          <w:sz w:val="20"/>
        </w:rPr>
        <w:t>Capacidad financiera para sostener inventario</w:t>
      </w:r>
      <w:r>
        <w:rPr>
          <w:color w:val="1A1A1A"/>
          <w:sz w:val="20"/>
        </w:rPr>
        <w:t xml:space="preserve"> en periodos de baja venta.</w:t>
      </w:r>
    </w:p>
    <w:p>
      <w:pPr>
        <w:spacing w:before="80" w:after="40"/>
      </w:pPr>
      <w:r>
        <w:rPr>
          <w:b/>
          <w:color w:val="1A2E4A"/>
          <w:sz w:val="20"/>
        </w:rPr>
        <w:t>Adopción de IA y tecnología:</w:t>
      </w:r>
    </w:p>
    <w:p>
      <w:pPr>
        <w:pStyle w:val="ListBullet"/>
        <w:spacing w:before="0" w:after="40"/>
      </w:pPr>
      <w:r>
        <w:rPr>
          <w:color w:val="1A1A1A"/>
          <w:sz w:val="20"/>
        </w:rPr>
        <w:t>No evidencia pública específica, pero por escala asumimos uso avanzado en finanzas y CRM corporativo.</w:t>
      </w:r>
    </w:p>
    <w:p>
      <w:pPr>
        <w:spacing w:before="80" w:after="40"/>
      </w:pPr>
      <w:r>
        <w:rPr>
          <w:b/>
          <w:color w:val="1A2E4A"/>
          <w:sz w:val="20"/>
        </w:rPr>
        <w:t>Vulnerabilidad relativa para Ascenso:</w:t>
      </w:r>
    </w:p>
    <w:p>
      <w:pPr>
        <w:pStyle w:val="ListBullet"/>
        <w:spacing w:before="0" w:after="40"/>
      </w:pPr>
      <w:r>
        <w:rPr>
          <w:color w:val="1A1A1A"/>
          <w:sz w:val="20"/>
        </w:rPr>
        <w:t>No compite directo en VIS Sabaneta a la misma intensidad — su foco está en proyectos masivos en periferias de grandes ciudades.</w:t>
      </w:r>
    </w:p>
    <w:p>
      <w:pPr>
        <w:spacing w:before="280" w:after="60"/>
        <w:pBdr>
          <w:bottom w:val="single" w:sz="4" w:space="1" w:color="007AC3"/>
        </w:pBdr>
      </w:pPr>
      <w:r>
        <w:rPr>
          <w:b/>
          <w:color w:val="007AC3"/>
          <w:sz w:val="28"/>
        </w:rPr>
        <w:t>3. TABLA COMPARATIVA</w:t>
      </w:r>
    </w:p>
    <w:tbl>
      <w:tblPr>
        <w:tblStyle w:val="TableGrid"/>
        <w:tblW w:type="auto" w:w="0"/>
        <w:jc w:val="left"/>
        <w:tblLook w:firstColumn="1" w:firstRow="1" w:lastColumn="0" w:lastRow="0" w:noHBand="0" w:noVBand="1" w:val="04A0"/>
      </w:tblPr>
      <w:tblGrid>
        <w:gridCol w:w="1511"/>
        <w:gridCol w:w="1511"/>
        <w:gridCol w:w="1511"/>
        <w:gridCol w:w="1511"/>
        <w:gridCol w:w="1511"/>
        <w:gridCol w:w="1511"/>
      </w:tblGrid>
      <w:tr>
        <w:tc>
          <w:tcPr>
            <w:tcW w:type="dxa" w:w="1511"/>
            <w:shd w:val="clear" w:color="auto" w:fill="1A2E4A"/>
          </w:tcPr>
          <w:p>
            <w:pPr>
              <w:spacing w:before="40" w:after="40"/>
            </w:pPr>
            <w:r>
              <w:rPr>
                <w:b/>
                <w:color w:val="FFFFFF"/>
                <w:sz w:val="18"/>
              </w:rPr>
              <w:t>Criterio</w:t>
            </w:r>
          </w:p>
        </w:tc>
        <w:tc>
          <w:tcPr>
            <w:tcW w:type="dxa" w:w="1511"/>
            <w:shd w:val="clear" w:color="auto" w:fill="1A2E4A"/>
          </w:tcPr>
          <w:p>
            <w:pPr>
              <w:spacing w:before="40" w:after="40"/>
            </w:pPr>
            <w:r>
              <w:rPr>
                <w:b/>
                <w:color w:val="FFFFFF"/>
                <w:sz w:val="18"/>
              </w:rPr>
              <w:t>ASCENSO</w:t>
            </w:r>
          </w:p>
        </w:tc>
        <w:tc>
          <w:tcPr>
            <w:tcW w:type="dxa" w:w="1511"/>
            <w:shd w:val="clear" w:color="auto" w:fill="1A2E4A"/>
          </w:tcPr>
          <w:p>
            <w:pPr>
              <w:spacing w:before="40" w:after="40"/>
            </w:pPr>
            <w:r>
              <w:rPr>
                <w:b/>
                <w:color w:val="FFFFFF"/>
                <w:sz w:val="18"/>
              </w:rPr>
              <w:t>C. Capital</w:t>
            </w:r>
          </w:p>
        </w:tc>
        <w:tc>
          <w:tcPr>
            <w:tcW w:type="dxa" w:w="1511"/>
            <w:shd w:val="clear" w:color="auto" w:fill="1A2E4A"/>
          </w:tcPr>
          <w:p>
            <w:pPr>
              <w:spacing w:before="40" w:after="40"/>
            </w:pPr>
            <w:r>
              <w:rPr>
                <w:b/>
                <w:color w:val="FFFFFF"/>
                <w:sz w:val="18"/>
              </w:rPr>
              <w:t>Conconcreto</w:t>
            </w:r>
          </w:p>
        </w:tc>
        <w:tc>
          <w:tcPr>
            <w:tcW w:type="dxa" w:w="1511"/>
            <w:shd w:val="clear" w:color="auto" w:fill="1A2E4A"/>
          </w:tcPr>
          <w:p>
            <w:pPr>
              <w:spacing w:before="40" w:after="40"/>
            </w:pPr>
            <w:r>
              <w:rPr>
                <w:b/>
                <w:color w:val="FFFFFF"/>
                <w:sz w:val="18"/>
              </w:rPr>
              <w:t>Arq. y Concreto</w:t>
            </w:r>
          </w:p>
        </w:tc>
        <w:tc>
          <w:tcPr>
            <w:tcW w:type="dxa" w:w="1511"/>
            <w:shd w:val="clear" w:color="auto" w:fill="1A2E4A"/>
          </w:tcPr>
          <w:p>
            <w:pPr>
              <w:spacing w:before="40" w:after="40"/>
            </w:pPr>
            <w:r>
              <w:rPr>
                <w:b/>
                <w:color w:val="FFFFFF"/>
                <w:sz w:val="18"/>
              </w:rPr>
              <w:t>Bolívar</w:t>
            </w:r>
          </w:p>
        </w:tc>
      </w:tr>
      <w:tr>
        <w:tc>
          <w:tcPr>
            <w:tcW w:type="dxa" w:w="1511"/>
            <w:shd w:val="clear" w:color="auto" w:fill="FFFFFF"/>
          </w:tcPr>
          <w:p>
            <w:pPr>
              <w:spacing w:before="40" w:after="40"/>
            </w:pPr>
            <w:r>
              <w:rPr>
                <w:color w:val="1A1A1A"/>
                <w:sz w:val="18"/>
              </w:rPr>
              <w:t>Propuesta de valor</w:t>
            </w:r>
          </w:p>
        </w:tc>
        <w:tc>
          <w:tcPr>
            <w:tcW w:type="dxa" w:w="1511"/>
            <w:shd w:val="clear" w:color="auto" w:fill="FFFFFF"/>
          </w:tcPr>
          <w:p>
            <w:pPr>
              <w:spacing w:before="40" w:after="40"/>
            </w:pPr>
            <w:r>
              <w:rPr>
                <w:color w:val="1A1A1A"/>
                <w:sz w:val="18"/>
              </w:rPr>
              <w:t>VIS + NO VIS + turístico, sostenibilidad</w:t>
            </w:r>
          </w:p>
        </w:tc>
        <w:tc>
          <w:tcPr>
            <w:tcW w:type="dxa" w:w="1511"/>
            <w:shd w:val="clear" w:color="auto" w:fill="FFFFFF"/>
          </w:tcPr>
          <w:p>
            <w:pPr>
              <w:spacing w:before="40" w:after="40"/>
            </w:pPr>
            <w:r>
              <w:rPr>
                <w:color w:val="1A1A1A"/>
                <w:sz w:val="18"/>
              </w:rPr>
              <w:t>VIS + NO VIS, escala nacional, financiación</w:t>
            </w:r>
          </w:p>
        </w:tc>
        <w:tc>
          <w:tcPr>
            <w:tcW w:type="dxa" w:w="1511"/>
            <w:shd w:val="clear" w:color="auto" w:fill="FFFFFF"/>
          </w:tcPr>
          <w:p>
            <w:pPr>
              <w:spacing w:before="40" w:after="40"/>
            </w:pPr>
            <w:r>
              <w:rPr>
                <w:color w:val="1A1A1A"/>
                <w:sz w:val="18"/>
              </w:rPr>
              <w:t>Construcción integral + BIM + sostenibilidad</w:t>
            </w:r>
          </w:p>
        </w:tc>
        <w:tc>
          <w:tcPr>
            <w:tcW w:type="dxa" w:w="1511"/>
            <w:shd w:val="clear" w:color="auto" w:fill="FFFFFF"/>
          </w:tcPr>
          <w:p>
            <w:pPr>
              <w:spacing w:before="40" w:after="40"/>
            </w:pPr>
            <w:r>
              <w:rPr>
                <w:color w:val="1A1A1A"/>
                <w:sz w:val="18"/>
              </w:rPr>
              <w:t>Diseño + calidad referencial Antioquia</w:t>
            </w:r>
          </w:p>
        </w:tc>
        <w:tc>
          <w:tcPr>
            <w:tcW w:type="dxa" w:w="1511"/>
            <w:shd w:val="clear" w:color="auto" w:fill="FFFFFF"/>
          </w:tcPr>
          <w:p>
            <w:pPr>
              <w:spacing w:before="40" w:after="40"/>
            </w:pPr>
            <w:r>
              <w:rPr>
                <w:color w:val="1A1A1A"/>
                <w:sz w:val="18"/>
              </w:rPr>
              <w:t>Vivienda masiva + Davivienda</w:t>
            </w:r>
          </w:p>
        </w:tc>
      </w:tr>
      <w:tr>
        <w:tc>
          <w:tcPr>
            <w:tcW w:type="dxa" w:w="1511"/>
            <w:shd w:val="clear" w:color="auto" w:fill="EBF3FA"/>
          </w:tcPr>
          <w:p>
            <w:pPr>
              <w:spacing w:before="40" w:after="40"/>
            </w:pPr>
            <w:r>
              <w:rPr>
                <w:color w:val="1A1A1A"/>
                <w:sz w:val="18"/>
              </w:rPr>
              <w:t>Presencia web</w:t>
            </w:r>
          </w:p>
        </w:tc>
        <w:tc>
          <w:tcPr>
            <w:tcW w:type="dxa" w:w="1511"/>
            <w:shd w:val="clear" w:color="auto" w:fill="EBF3FA"/>
          </w:tcPr>
          <w:p>
            <w:pPr>
              <w:spacing w:before="40" w:after="40"/>
            </w:pPr>
            <w:r>
              <w:rPr>
                <w:color w:val="1A1A1A"/>
                <w:sz w:val="18"/>
              </w:rPr>
              <w:t>✅ Funcional</w:t>
            </w:r>
          </w:p>
        </w:tc>
        <w:tc>
          <w:tcPr>
            <w:tcW w:type="dxa" w:w="1511"/>
            <w:shd w:val="clear" w:color="auto" w:fill="EBF3FA"/>
          </w:tcPr>
          <w:p>
            <w:pPr>
              <w:spacing w:before="40" w:after="40"/>
            </w:pPr>
            <w:r>
              <w:rPr>
                <w:color w:val="1A1A1A"/>
                <w:sz w:val="18"/>
              </w:rPr>
              <w:t>✅ Profesional</w:t>
            </w:r>
          </w:p>
        </w:tc>
        <w:tc>
          <w:tcPr>
            <w:tcW w:type="dxa" w:w="1511"/>
            <w:shd w:val="clear" w:color="auto" w:fill="EBF3FA"/>
          </w:tcPr>
          <w:p>
            <w:pPr>
              <w:spacing w:before="40" w:after="40"/>
            </w:pPr>
            <w:r>
              <w:rPr>
                <w:color w:val="1A1A1A"/>
                <w:sz w:val="18"/>
              </w:rPr>
              <w:t>✅ Robusta + investor</w:t>
            </w:r>
          </w:p>
        </w:tc>
        <w:tc>
          <w:tcPr>
            <w:tcW w:type="dxa" w:w="1511"/>
            <w:shd w:val="clear" w:color="auto" w:fill="EBF3FA"/>
          </w:tcPr>
          <w:p>
            <w:pPr>
              <w:spacing w:before="40" w:after="40"/>
            </w:pPr>
            <w:r>
              <w:rPr>
                <w:color w:val="1A1A1A"/>
                <w:sz w:val="18"/>
              </w:rPr>
              <w:t>✅ Profesional</w:t>
            </w:r>
          </w:p>
        </w:tc>
        <w:tc>
          <w:tcPr>
            <w:tcW w:type="dxa" w:w="1511"/>
            <w:shd w:val="clear" w:color="auto" w:fill="EBF3FA"/>
          </w:tcPr>
          <w:p>
            <w:pPr>
              <w:spacing w:before="40" w:after="40"/>
            </w:pPr>
            <w:r>
              <w:rPr>
                <w:color w:val="1A1A1A"/>
                <w:sz w:val="18"/>
              </w:rPr>
              <w:t>✅ Robusta</w:t>
            </w:r>
          </w:p>
        </w:tc>
      </w:tr>
      <w:tr>
        <w:tc>
          <w:tcPr>
            <w:tcW w:type="dxa" w:w="1511"/>
            <w:shd w:val="clear" w:color="auto" w:fill="FFFFFF"/>
          </w:tcPr>
          <w:p>
            <w:pPr>
              <w:spacing w:before="40" w:after="40"/>
            </w:pPr>
            <w:r>
              <w:rPr>
                <w:color w:val="1A1A1A"/>
                <w:sz w:val="18"/>
              </w:rPr>
              <w:t>CRM / autoservicio</w:t>
            </w:r>
          </w:p>
        </w:tc>
        <w:tc>
          <w:tcPr>
            <w:tcW w:type="dxa" w:w="1511"/>
            <w:shd w:val="clear" w:color="auto" w:fill="FFFFFF"/>
          </w:tcPr>
          <w:p>
            <w:pPr>
              <w:spacing w:before="40" w:after="40"/>
            </w:pPr>
            <w:r>
              <w:rPr>
                <w:color w:val="1A1A1A"/>
                <w:sz w:val="18"/>
              </w:rPr>
              <w:t>❌ Sin evidencia</w:t>
            </w:r>
          </w:p>
        </w:tc>
        <w:tc>
          <w:tcPr>
            <w:tcW w:type="dxa" w:w="1511"/>
            <w:shd w:val="clear" w:color="auto" w:fill="FFFFFF"/>
          </w:tcPr>
          <w:p>
            <w:pPr>
              <w:spacing w:before="40" w:after="40"/>
            </w:pPr>
            <w:r>
              <w:rPr>
                <w:color w:val="1A1A1A"/>
                <w:sz w:val="18"/>
              </w:rPr>
              <w:t>⚠️ Probable interno</w:t>
            </w:r>
          </w:p>
        </w:tc>
        <w:tc>
          <w:tcPr>
            <w:tcW w:type="dxa" w:w="1511"/>
            <w:shd w:val="clear" w:color="auto" w:fill="FFFFFF"/>
          </w:tcPr>
          <w:p>
            <w:pPr>
              <w:spacing w:before="40" w:after="40"/>
            </w:pPr>
            <w:r>
              <w:rPr>
                <w:color w:val="1A1A1A"/>
                <w:sz w:val="18"/>
              </w:rPr>
              <w:t>⚠️ Probable corporativo</w:t>
            </w:r>
          </w:p>
        </w:tc>
        <w:tc>
          <w:tcPr>
            <w:tcW w:type="dxa" w:w="1511"/>
            <w:shd w:val="clear" w:color="auto" w:fill="FFFFFF"/>
          </w:tcPr>
          <w:p>
            <w:pPr>
              <w:spacing w:before="40" w:after="40"/>
            </w:pPr>
            <w:r>
              <w:rPr>
                <w:color w:val="1A1A1A"/>
                <w:sz w:val="18"/>
              </w:rPr>
              <w:t>❌ Sin evidencia</w:t>
            </w:r>
          </w:p>
        </w:tc>
        <w:tc>
          <w:tcPr>
            <w:tcW w:type="dxa" w:w="1511"/>
            <w:shd w:val="clear" w:color="auto" w:fill="FFFFFF"/>
          </w:tcPr>
          <w:p>
            <w:pPr>
              <w:spacing w:before="40" w:after="40"/>
            </w:pPr>
            <w:r>
              <w:rPr>
                <w:color w:val="1A1A1A"/>
                <w:sz w:val="18"/>
              </w:rPr>
              <w:t>✅ Sinergia Davivienda</w:t>
            </w:r>
          </w:p>
        </w:tc>
      </w:tr>
      <w:tr>
        <w:tc>
          <w:tcPr>
            <w:tcW w:type="dxa" w:w="1511"/>
            <w:shd w:val="clear" w:color="auto" w:fill="EBF3FA"/>
          </w:tcPr>
          <w:p>
            <w:pPr>
              <w:spacing w:before="40" w:after="40"/>
            </w:pPr>
            <w:r>
              <w:rPr>
                <w:color w:val="1A1A1A"/>
                <w:sz w:val="18"/>
              </w:rPr>
              <w:t>Reseñas / reputación</w:t>
            </w:r>
          </w:p>
        </w:tc>
        <w:tc>
          <w:tcPr>
            <w:tcW w:type="dxa" w:w="1511"/>
            <w:shd w:val="clear" w:color="auto" w:fill="EBF3FA"/>
          </w:tcPr>
          <w:p>
            <w:pPr>
              <w:spacing w:before="40" w:after="40"/>
            </w:pPr>
            <w:r>
              <w:rPr>
                <w:color w:val="1A1A1A"/>
                <w:sz w:val="18"/>
              </w:rPr>
              <w:t>OK — sin GBP centralizado</w:t>
            </w:r>
          </w:p>
        </w:tc>
        <w:tc>
          <w:tcPr>
            <w:tcW w:type="dxa" w:w="1511"/>
            <w:shd w:val="clear" w:color="auto" w:fill="EBF3FA"/>
          </w:tcPr>
          <w:p>
            <w:pPr>
              <w:spacing w:before="40" w:after="40"/>
            </w:pPr>
            <w:r>
              <w:rPr>
                <w:color w:val="1A1A1A"/>
                <w:sz w:val="18"/>
              </w:rPr>
              <w:t>Marca conocida</w:t>
            </w:r>
          </w:p>
        </w:tc>
        <w:tc>
          <w:tcPr>
            <w:tcW w:type="dxa" w:w="1511"/>
            <w:shd w:val="clear" w:color="auto" w:fill="EBF3FA"/>
          </w:tcPr>
          <w:p>
            <w:pPr>
              <w:spacing w:before="40" w:after="40"/>
            </w:pPr>
            <w:r>
              <w:rPr>
                <w:color w:val="1A1A1A"/>
                <w:sz w:val="18"/>
              </w:rPr>
              <w:t>Prestigio histórico</w:t>
            </w:r>
          </w:p>
        </w:tc>
        <w:tc>
          <w:tcPr>
            <w:tcW w:type="dxa" w:w="1511"/>
            <w:shd w:val="clear" w:color="auto" w:fill="EBF3FA"/>
          </w:tcPr>
          <w:p>
            <w:pPr>
              <w:spacing w:before="40" w:after="40"/>
            </w:pPr>
            <w:r>
              <w:rPr>
                <w:color w:val="1A1A1A"/>
                <w:sz w:val="18"/>
              </w:rPr>
              <w:t>Prestigio diseño</w:t>
            </w:r>
          </w:p>
        </w:tc>
        <w:tc>
          <w:tcPr>
            <w:tcW w:type="dxa" w:w="1511"/>
            <w:shd w:val="clear" w:color="auto" w:fill="EBF3FA"/>
          </w:tcPr>
          <w:p>
            <w:pPr>
              <w:spacing w:before="40" w:after="40"/>
            </w:pPr>
            <w:r>
              <w:rPr>
                <w:color w:val="1A1A1A"/>
                <w:sz w:val="18"/>
              </w:rPr>
              <w:t>Líder nacional</w:t>
            </w:r>
          </w:p>
        </w:tc>
      </w:tr>
      <w:tr>
        <w:tc>
          <w:tcPr>
            <w:tcW w:type="dxa" w:w="1511"/>
            <w:shd w:val="clear" w:color="auto" w:fill="FFFFFF"/>
          </w:tcPr>
          <w:p>
            <w:pPr>
              <w:spacing w:before="40" w:after="40"/>
            </w:pPr>
            <w:r>
              <w:rPr>
                <w:color w:val="1A1A1A"/>
                <w:sz w:val="18"/>
              </w:rPr>
              <w:t>Precio relativo VIS</w:t>
            </w:r>
          </w:p>
        </w:tc>
        <w:tc>
          <w:tcPr>
            <w:tcW w:type="dxa" w:w="1511"/>
            <w:shd w:val="clear" w:color="auto" w:fill="FFFFFF"/>
          </w:tcPr>
          <w:p>
            <w:pPr>
              <w:spacing w:before="40" w:after="40"/>
            </w:pPr>
            <w:r>
              <w:rPr>
                <w:color w:val="1A1A1A"/>
                <w:sz w:val="18"/>
              </w:rPr>
              <w:t>COP 237-257M (estándar VIS)</w:t>
            </w:r>
          </w:p>
        </w:tc>
        <w:tc>
          <w:tcPr>
            <w:tcW w:type="dxa" w:w="1511"/>
            <w:shd w:val="clear" w:color="auto" w:fill="FFFFFF"/>
          </w:tcPr>
          <w:p>
            <w:pPr>
              <w:spacing w:before="40" w:after="40"/>
            </w:pPr>
            <w:r>
              <w:rPr>
                <w:color w:val="1A1A1A"/>
                <w:sz w:val="18"/>
              </w:rPr>
              <w:t>Similar</w:t>
            </w:r>
          </w:p>
        </w:tc>
        <w:tc>
          <w:tcPr>
            <w:tcW w:type="dxa" w:w="1511"/>
            <w:shd w:val="clear" w:color="auto" w:fill="FFFFFF"/>
          </w:tcPr>
          <w:p>
            <w:pPr>
              <w:spacing w:before="40" w:after="40"/>
            </w:pPr>
            <w:r>
              <w:rPr>
                <w:color w:val="1A1A1A"/>
                <w:sz w:val="18"/>
              </w:rPr>
              <w:t>Premium (NO VIS)</w:t>
            </w:r>
          </w:p>
        </w:tc>
        <w:tc>
          <w:tcPr>
            <w:tcW w:type="dxa" w:w="1511"/>
            <w:shd w:val="clear" w:color="auto" w:fill="FFFFFF"/>
          </w:tcPr>
          <w:p>
            <w:pPr>
              <w:spacing w:before="40" w:after="40"/>
            </w:pPr>
            <w:r>
              <w:rPr>
                <w:color w:val="1A1A1A"/>
                <w:sz w:val="18"/>
              </w:rPr>
              <w:t>Premium</w:t>
            </w:r>
          </w:p>
        </w:tc>
        <w:tc>
          <w:tcPr>
            <w:tcW w:type="dxa" w:w="1511"/>
            <w:shd w:val="clear" w:color="auto" w:fill="FFFFFF"/>
          </w:tcPr>
          <w:p>
            <w:pPr>
              <w:spacing w:before="40" w:after="40"/>
            </w:pPr>
            <w:r>
              <w:rPr>
                <w:color w:val="1A1A1A"/>
                <w:sz w:val="18"/>
              </w:rPr>
              <w:t>Variable</w:t>
            </w:r>
          </w:p>
        </w:tc>
      </w:tr>
      <w:tr>
        <w:tc>
          <w:tcPr>
            <w:tcW w:type="dxa" w:w="1511"/>
            <w:shd w:val="clear" w:color="auto" w:fill="EBF3FA"/>
          </w:tcPr>
          <w:p>
            <w:pPr>
              <w:spacing w:before="40" w:after="40"/>
            </w:pPr>
            <w:r>
              <w:rPr>
                <w:color w:val="1A1A1A"/>
                <w:sz w:val="18"/>
              </w:rPr>
              <w:t>Madurez digital (1-5)</w:t>
            </w:r>
          </w:p>
        </w:tc>
        <w:tc>
          <w:tcPr>
            <w:tcW w:type="dxa" w:w="1511"/>
            <w:shd w:val="clear" w:color="auto" w:fill="EBF3FA"/>
          </w:tcPr>
          <w:p>
            <w:pPr>
              <w:spacing w:before="40" w:after="40"/>
            </w:pPr>
            <w:r>
              <w:rPr>
                <w:color w:val="1A1A1A"/>
                <w:sz w:val="18"/>
              </w:rPr>
              <w:t>2.5</w:t>
            </w:r>
          </w:p>
        </w:tc>
        <w:tc>
          <w:tcPr>
            <w:tcW w:type="dxa" w:w="1511"/>
            <w:shd w:val="clear" w:color="auto" w:fill="EBF3FA"/>
          </w:tcPr>
          <w:p>
            <w:pPr>
              <w:spacing w:before="40" w:after="40"/>
            </w:pPr>
            <w:r>
              <w:rPr>
                <w:color w:val="1A1A1A"/>
                <w:sz w:val="18"/>
              </w:rPr>
              <w:t>3.5</w:t>
            </w:r>
          </w:p>
        </w:tc>
        <w:tc>
          <w:tcPr>
            <w:tcW w:type="dxa" w:w="1511"/>
            <w:shd w:val="clear" w:color="auto" w:fill="EBF3FA"/>
          </w:tcPr>
          <w:p>
            <w:pPr>
              <w:spacing w:before="40" w:after="40"/>
            </w:pPr>
            <w:r>
              <w:rPr>
                <w:color w:val="1A1A1A"/>
                <w:sz w:val="18"/>
              </w:rPr>
              <w:t>4</w:t>
            </w:r>
          </w:p>
        </w:tc>
        <w:tc>
          <w:tcPr>
            <w:tcW w:type="dxa" w:w="1511"/>
            <w:shd w:val="clear" w:color="auto" w:fill="EBF3FA"/>
          </w:tcPr>
          <w:p>
            <w:pPr>
              <w:spacing w:before="40" w:after="40"/>
            </w:pPr>
            <w:r>
              <w:rPr>
                <w:color w:val="1A1A1A"/>
                <w:sz w:val="18"/>
              </w:rPr>
              <w:t>3</w:t>
            </w:r>
          </w:p>
        </w:tc>
        <w:tc>
          <w:tcPr>
            <w:tcW w:type="dxa" w:w="1511"/>
            <w:shd w:val="clear" w:color="auto" w:fill="EBF3FA"/>
          </w:tcPr>
          <w:p>
            <w:pPr>
              <w:spacing w:before="40" w:after="40"/>
            </w:pPr>
            <w:r>
              <w:rPr>
                <w:color w:val="1A1A1A"/>
                <w:sz w:val="18"/>
              </w:rPr>
              <w:t>3.5</w:t>
            </w:r>
          </w:p>
        </w:tc>
      </w:tr>
      <w:tr>
        <w:tc>
          <w:tcPr>
            <w:tcW w:type="dxa" w:w="1511"/>
            <w:shd w:val="clear" w:color="auto" w:fill="FFFFFF"/>
          </w:tcPr>
          <w:p>
            <w:pPr>
              <w:spacing w:before="40" w:after="40"/>
            </w:pPr>
            <w:r>
              <w:rPr>
                <w:color w:val="1A1A1A"/>
                <w:sz w:val="18"/>
              </w:rPr>
              <w:t>BIM</w:t>
            </w:r>
          </w:p>
        </w:tc>
        <w:tc>
          <w:tcPr>
            <w:tcW w:type="dxa" w:w="1511"/>
            <w:shd w:val="clear" w:color="auto" w:fill="FFFFFF"/>
          </w:tcPr>
          <w:p>
            <w:pPr>
              <w:spacing w:before="40" w:after="40"/>
            </w:pPr>
            <w:r>
              <w:rPr>
                <w:color w:val="1A1A1A"/>
                <w:sz w:val="18"/>
              </w:rPr>
              <w:t>❌ Sin evidencia</w:t>
            </w:r>
          </w:p>
        </w:tc>
        <w:tc>
          <w:tcPr>
            <w:tcW w:type="dxa" w:w="1511"/>
            <w:shd w:val="clear" w:color="auto" w:fill="FFFFFF"/>
          </w:tcPr>
          <w:p>
            <w:pPr>
              <w:spacing w:before="40" w:after="40"/>
            </w:pPr>
            <w:r>
              <w:rPr>
                <w:color w:val="1A1A1A"/>
                <w:sz w:val="18"/>
              </w:rPr>
              <w:t>⚠️ Probable parcial</w:t>
            </w:r>
          </w:p>
        </w:tc>
        <w:tc>
          <w:tcPr>
            <w:tcW w:type="dxa" w:w="1511"/>
            <w:shd w:val="clear" w:color="auto" w:fill="FFFFFF"/>
          </w:tcPr>
          <w:p>
            <w:pPr>
              <w:spacing w:before="40" w:after="40"/>
            </w:pPr>
            <w:r>
              <w:rPr>
                <w:color w:val="1A1A1A"/>
                <w:sz w:val="18"/>
              </w:rPr>
              <w:t>✅ Sí</w:t>
            </w:r>
          </w:p>
        </w:tc>
        <w:tc>
          <w:tcPr>
            <w:tcW w:type="dxa" w:w="1511"/>
            <w:shd w:val="clear" w:color="auto" w:fill="FFFFFF"/>
          </w:tcPr>
          <w:p>
            <w:pPr>
              <w:spacing w:before="40" w:after="40"/>
            </w:pPr>
            <w:r>
              <w:rPr>
                <w:color w:val="1A1A1A"/>
                <w:sz w:val="18"/>
              </w:rPr>
              <w:t>⚠️ Parcial</w:t>
            </w:r>
          </w:p>
        </w:tc>
        <w:tc>
          <w:tcPr>
            <w:tcW w:type="dxa" w:w="1511"/>
            <w:shd w:val="clear" w:color="auto" w:fill="FFFFFF"/>
          </w:tcPr>
          <w:p>
            <w:pPr>
              <w:spacing w:before="40" w:after="40"/>
            </w:pPr>
            <w:r>
              <w:rPr>
                <w:color w:val="1A1A1A"/>
                <w:sz w:val="18"/>
              </w:rPr>
              <w:t>⚠️ Parcial</w:t>
            </w:r>
          </w:p>
        </w:tc>
      </w:tr>
      <w:tr>
        <w:tc>
          <w:tcPr>
            <w:tcW w:type="dxa" w:w="1511"/>
            <w:shd w:val="clear" w:color="auto" w:fill="EBF3FA"/>
          </w:tcPr>
          <w:p>
            <w:pPr>
              <w:spacing w:before="40" w:after="40"/>
            </w:pPr>
            <w:r>
              <w:rPr>
                <w:color w:val="1A1A1A"/>
                <w:sz w:val="18"/>
              </w:rPr>
              <w:t>IA adoptada</w:t>
            </w:r>
          </w:p>
        </w:tc>
        <w:tc>
          <w:tcPr>
            <w:tcW w:type="dxa" w:w="1511"/>
            <w:shd w:val="clear" w:color="auto" w:fill="EBF3FA"/>
          </w:tcPr>
          <w:p>
            <w:pPr>
              <w:spacing w:before="40" w:after="40"/>
            </w:pPr>
            <w:r>
              <w:rPr>
                <w:color w:val="1A1A1A"/>
                <w:sz w:val="18"/>
              </w:rPr>
              <w:t>Ninguna evidencia pública</w:t>
            </w:r>
          </w:p>
        </w:tc>
        <w:tc>
          <w:tcPr>
            <w:tcW w:type="dxa" w:w="1511"/>
            <w:shd w:val="clear" w:color="auto" w:fill="EBF3FA"/>
          </w:tcPr>
          <w:p>
            <w:pPr>
              <w:spacing w:before="40" w:after="40"/>
            </w:pPr>
            <w:r>
              <w:rPr>
                <w:color w:val="1A1A1A"/>
                <w:sz w:val="18"/>
              </w:rPr>
              <w:t>Ninguna evidencia pública</w:t>
            </w:r>
          </w:p>
        </w:tc>
        <w:tc>
          <w:tcPr>
            <w:tcW w:type="dxa" w:w="1511"/>
            <w:shd w:val="clear" w:color="auto" w:fill="EBF3FA"/>
          </w:tcPr>
          <w:p>
            <w:pPr>
              <w:spacing w:before="40" w:after="40"/>
            </w:pPr>
            <w:r>
              <w:rPr>
                <w:color w:val="1A1A1A"/>
                <w:sz w:val="18"/>
              </w:rPr>
              <w:t>Probable en planeación corporativa</w:t>
            </w:r>
          </w:p>
        </w:tc>
        <w:tc>
          <w:tcPr>
            <w:tcW w:type="dxa" w:w="1511"/>
            <w:shd w:val="clear" w:color="auto" w:fill="EBF3FA"/>
          </w:tcPr>
          <w:p>
            <w:pPr>
              <w:spacing w:before="40" w:after="40"/>
            </w:pPr>
            <w:r>
              <w:rPr>
                <w:color w:val="1A1A1A"/>
                <w:sz w:val="18"/>
              </w:rPr>
              <w:t>Ninguna evidencia</w:t>
            </w:r>
          </w:p>
        </w:tc>
        <w:tc>
          <w:tcPr>
            <w:tcW w:type="dxa" w:w="1511"/>
            <w:shd w:val="clear" w:color="auto" w:fill="EBF3FA"/>
          </w:tcPr>
          <w:p>
            <w:pPr>
              <w:spacing w:before="40" w:after="40"/>
            </w:pPr>
            <w:r>
              <w:rPr>
                <w:color w:val="1A1A1A"/>
                <w:sz w:val="18"/>
              </w:rPr>
              <w:t>Probable en finanzas/CRM</w:t>
            </w:r>
          </w:p>
        </w:tc>
      </w:tr>
      <w:tr>
        <w:tc>
          <w:tcPr>
            <w:tcW w:type="dxa" w:w="1511"/>
            <w:shd w:val="clear" w:color="auto" w:fill="FFFFFF"/>
          </w:tcPr>
          <w:p>
            <w:pPr>
              <w:spacing w:before="40" w:after="40"/>
            </w:pPr>
            <w:r>
              <w:rPr>
                <w:color w:val="1A1A1A"/>
                <w:sz w:val="18"/>
              </w:rPr>
              <w:t>Sostenibilidad certificada</w:t>
            </w:r>
          </w:p>
        </w:tc>
        <w:tc>
          <w:tcPr>
            <w:tcW w:type="dxa" w:w="1511"/>
            <w:shd w:val="clear" w:color="auto" w:fill="FFFFFF"/>
          </w:tcPr>
          <w:p>
            <w:pPr>
              <w:spacing w:before="40" w:after="40"/>
            </w:pPr>
            <w:r>
              <w:rPr>
                <w:color w:val="1A1A1A"/>
                <w:sz w:val="18"/>
              </w:rPr>
              <w:t>✅ Miembro CCCS, EDGE</w:t>
            </w:r>
          </w:p>
        </w:tc>
        <w:tc>
          <w:tcPr>
            <w:tcW w:type="dxa" w:w="1511"/>
            <w:shd w:val="clear" w:color="auto" w:fill="FFFFFF"/>
          </w:tcPr>
          <w:p>
            <w:pPr>
              <w:spacing w:before="40" w:after="40"/>
            </w:pPr>
            <w:r>
              <w:rPr>
                <w:color w:val="1A1A1A"/>
                <w:sz w:val="18"/>
              </w:rPr>
              <w:t>⚠️ Algunos proyectos</w:t>
            </w:r>
          </w:p>
        </w:tc>
        <w:tc>
          <w:tcPr>
            <w:tcW w:type="dxa" w:w="1511"/>
            <w:shd w:val="clear" w:color="auto" w:fill="FFFFFF"/>
          </w:tcPr>
          <w:p>
            <w:pPr>
              <w:spacing w:before="40" w:after="40"/>
            </w:pPr>
            <w:r>
              <w:rPr>
                <w:color w:val="1A1A1A"/>
                <w:sz w:val="18"/>
              </w:rPr>
              <w:t>✅ LEED + Casa Colombia</w:t>
            </w:r>
          </w:p>
        </w:tc>
        <w:tc>
          <w:tcPr>
            <w:tcW w:type="dxa" w:w="1511"/>
            <w:shd w:val="clear" w:color="auto" w:fill="FFFFFF"/>
          </w:tcPr>
          <w:p>
            <w:pPr>
              <w:spacing w:before="40" w:after="40"/>
            </w:pPr>
            <w:r>
              <w:rPr>
                <w:color w:val="1A1A1A"/>
                <w:sz w:val="18"/>
              </w:rPr>
              <w:t>⚠️ Parcial</w:t>
            </w:r>
          </w:p>
        </w:tc>
        <w:tc>
          <w:tcPr>
            <w:tcW w:type="dxa" w:w="1511"/>
            <w:shd w:val="clear" w:color="auto" w:fill="FFFFFF"/>
          </w:tcPr>
          <w:p>
            <w:pPr>
              <w:spacing w:before="40" w:after="40"/>
            </w:pPr>
            <w:r>
              <w:rPr>
                <w:color w:val="1A1A1A"/>
                <w:sz w:val="18"/>
              </w:rPr>
              <w:t>⚠️ Parcial</w:t>
            </w:r>
          </w:p>
        </w:tc>
      </w:tr>
      <w:tr>
        <w:tc>
          <w:tcPr>
            <w:tcW w:type="dxa" w:w="1511"/>
            <w:shd w:val="clear" w:color="auto" w:fill="EBF3FA"/>
          </w:tcPr>
          <w:p>
            <w:pPr>
              <w:spacing w:before="40" w:after="40"/>
            </w:pPr>
            <w:r>
              <w:rPr>
                <w:color w:val="1A1A1A"/>
                <w:sz w:val="18"/>
              </w:rPr>
              <w:t>Fortaleza principal</w:t>
            </w:r>
          </w:p>
        </w:tc>
        <w:tc>
          <w:tcPr>
            <w:tcW w:type="dxa" w:w="1511"/>
            <w:shd w:val="clear" w:color="auto" w:fill="EBF3FA"/>
          </w:tcPr>
          <w:p>
            <w:pPr>
              <w:spacing w:before="40" w:after="40"/>
            </w:pPr>
            <w:r>
              <w:rPr>
                <w:color w:val="1A1A1A"/>
                <w:sz w:val="18"/>
              </w:rPr>
              <w:t>Foco específico VIS Sabaneta + sostenibilidad</w:t>
            </w:r>
          </w:p>
        </w:tc>
        <w:tc>
          <w:tcPr>
            <w:tcW w:type="dxa" w:w="1511"/>
            <w:shd w:val="clear" w:color="auto" w:fill="EBF3FA"/>
          </w:tcPr>
          <w:p>
            <w:pPr>
              <w:spacing w:before="40" w:after="40"/>
            </w:pPr>
            <w:r>
              <w:rPr>
                <w:color w:val="1A1A1A"/>
                <w:sz w:val="18"/>
              </w:rPr>
              <w:t>Escala nacional + 33 años + financiación</w:t>
            </w:r>
          </w:p>
        </w:tc>
        <w:tc>
          <w:tcPr>
            <w:tcW w:type="dxa" w:w="1511"/>
            <w:shd w:val="clear" w:color="auto" w:fill="EBF3FA"/>
          </w:tcPr>
          <w:p>
            <w:pPr>
              <w:spacing w:before="40" w:after="40"/>
            </w:pPr>
            <w:r>
              <w:rPr>
                <w:color w:val="1A1A1A"/>
                <w:sz w:val="18"/>
              </w:rPr>
              <w:t>Capacidad técnica + BIM + cotizada</w:t>
            </w:r>
          </w:p>
        </w:tc>
        <w:tc>
          <w:tcPr>
            <w:tcW w:type="dxa" w:w="1511"/>
            <w:shd w:val="clear" w:color="auto" w:fill="EBF3FA"/>
          </w:tcPr>
          <w:p>
            <w:pPr>
              <w:spacing w:before="40" w:after="40"/>
            </w:pPr>
            <w:r>
              <w:rPr>
                <w:color w:val="1A1A1A"/>
                <w:sz w:val="18"/>
              </w:rPr>
              <w:t>Reputación diseño Antioquia</w:t>
            </w:r>
          </w:p>
        </w:tc>
        <w:tc>
          <w:tcPr>
            <w:tcW w:type="dxa" w:w="1511"/>
            <w:shd w:val="clear" w:color="auto" w:fill="EBF3FA"/>
          </w:tcPr>
          <w:p>
            <w:pPr>
              <w:spacing w:before="40" w:after="40"/>
            </w:pPr>
            <w:r>
              <w:rPr>
                <w:color w:val="1A1A1A"/>
                <w:sz w:val="18"/>
              </w:rPr>
              <w:t>Sinergia banco + #1 nacional</w:t>
            </w:r>
          </w:p>
        </w:tc>
      </w:tr>
      <w:tr>
        <w:tc>
          <w:tcPr>
            <w:tcW w:type="dxa" w:w="1511"/>
            <w:shd w:val="clear" w:color="auto" w:fill="FFFFFF"/>
          </w:tcPr>
          <w:p>
            <w:pPr>
              <w:spacing w:before="40" w:after="40"/>
            </w:pPr>
            <w:r>
              <w:rPr>
                <w:color w:val="1A1A1A"/>
                <w:sz w:val="18"/>
              </w:rPr>
              <w:t>Debilidad principal</w:t>
            </w:r>
          </w:p>
        </w:tc>
        <w:tc>
          <w:tcPr>
            <w:tcW w:type="dxa" w:w="1511"/>
            <w:shd w:val="clear" w:color="auto" w:fill="FFFFFF"/>
          </w:tcPr>
          <w:p>
            <w:pPr>
              <w:spacing w:before="40" w:after="40"/>
            </w:pPr>
            <w:r>
              <w:rPr>
                <w:color w:val="1A1A1A"/>
                <w:sz w:val="18"/>
              </w:rPr>
              <w:t>Tamaño + información pública desigual</w:t>
            </w:r>
          </w:p>
        </w:tc>
        <w:tc>
          <w:tcPr>
            <w:tcW w:type="dxa" w:w="1511"/>
            <w:shd w:val="clear" w:color="auto" w:fill="FFFFFF"/>
          </w:tcPr>
          <w:p>
            <w:pPr>
              <w:spacing w:before="40" w:after="40"/>
            </w:pPr>
            <w:r>
              <w:rPr>
                <w:color w:val="1A1A1A"/>
                <w:sz w:val="18"/>
              </w:rPr>
              <w:t>Innovación lenta por escala</w:t>
            </w:r>
          </w:p>
        </w:tc>
        <w:tc>
          <w:tcPr>
            <w:tcW w:type="dxa" w:w="1511"/>
            <w:shd w:val="clear" w:color="auto" w:fill="FFFFFF"/>
          </w:tcPr>
          <w:p>
            <w:pPr>
              <w:spacing w:before="40" w:after="40"/>
            </w:pPr>
            <w:r>
              <w:rPr>
                <w:color w:val="1A1A1A"/>
                <w:sz w:val="18"/>
              </w:rPr>
              <w:t>Decisiones lentas / no foco VIS Sabaneta</w:t>
            </w:r>
          </w:p>
        </w:tc>
        <w:tc>
          <w:tcPr>
            <w:tcW w:type="dxa" w:w="1511"/>
            <w:shd w:val="clear" w:color="auto" w:fill="FFFFFF"/>
          </w:tcPr>
          <w:p>
            <w:pPr>
              <w:spacing w:before="40" w:after="40"/>
            </w:pPr>
            <w:r>
              <w:rPr>
                <w:color w:val="1A1A1A"/>
                <w:sz w:val="18"/>
              </w:rPr>
              <w:t>Sin escala financiera</w:t>
            </w:r>
          </w:p>
        </w:tc>
        <w:tc>
          <w:tcPr>
            <w:tcW w:type="dxa" w:w="1511"/>
            <w:shd w:val="clear" w:color="auto" w:fill="FFFFFF"/>
          </w:tcPr>
          <w:p>
            <w:pPr>
              <w:spacing w:before="40" w:after="40"/>
            </w:pPr>
            <w:r>
              <w:rPr>
                <w:color w:val="1A1A1A"/>
                <w:sz w:val="18"/>
              </w:rPr>
              <w:t>Foco en proyectos masivos, no Sabaneta</w:t>
            </w:r>
          </w:p>
        </w:tc>
      </w:tr>
    </w:tbl>
    <w:p/>
    <w:p>
      <w:pPr>
        <w:spacing w:before="20" w:after="60"/>
      </w:pPr>
      <w:r>
        <w:rPr>
          <w:color w:val="1A1A1A"/>
          <w:sz w:val="20"/>
        </w:rPr>
        <w:t>Leyenda: ✅ = fuerte / ⚠️ = medio / ❌ = débil o ausente</w:t>
      </w:r>
    </w:p>
    <w:p>
      <w:pPr>
        <w:spacing w:before="280" w:after="60"/>
        <w:pBdr>
          <w:bottom w:val="single" w:sz="4" w:space="1" w:color="007AC3"/>
        </w:pBdr>
      </w:pPr>
      <w:r>
        <w:rPr>
          <w:b/>
          <w:color w:val="007AC3"/>
          <w:sz w:val="28"/>
        </w:rPr>
        <w:t>4. ANÁLISIS DE BRECHAS</w:t>
      </w:r>
    </w:p>
    <w:p>
      <w:pPr>
        <w:spacing w:before="160" w:after="40"/>
      </w:pPr>
      <w:r>
        <w:rPr>
          <w:b/>
          <w:color w:val="556577"/>
          <w:sz w:val="22"/>
        </w:rPr>
        <w:t>Qué hacen mejor los competidores (que Ascenso no hace)</w:t>
      </w:r>
    </w:p>
    <w:p>
      <w:pPr>
        <w:pStyle w:val="ListNumber"/>
        <w:spacing w:before="0" w:after="40"/>
      </w:pPr>
      <w:r>
        <w:rPr>
          <w:b/>
          <w:color w:val="1A1A1A"/>
          <w:sz w:val="20"/>
        </w:rPr>
        <w:t>Conconcreto tiene BIM integrado en flujo de trabajo.</w:t>
      </w:r>
      <w:r>
        <w:rPr>
          <w:color w:val="1A1A1A"/>
          <w:sz w:val="20"/>
        </w:rPr>
        <w:t xml:space="preserve"> Ascenso probablemente no. En proyectos VIS esto significa: mejor coordinación de instalaciones, menos retrabajos, menores costos de construcción.</w:t>
      </w:r>
    </w:p>
    <w:p>
      <w:pPr>
        <w:pStyle w:val="ListNumber"/>
        <w:spacing w:before="0" w:after="40"/>
      </w:pPr>
      <w:r>
        <w:rPr>
          <w:b/>
          <w:color w:val="1A1A1A"/>
          <w:sz w:val="20"/>
        </w:rPr>
        <w:t>Constructora Capital tiene escala comercial que le da poder de negociación con bancos y fiducias.</w:t>
      </w:r>
      <w:r>
        <w:rPr>
          <w:color w:val="1A1A1A"/>
          <w:sz w:val="20"/>
        </w:rPr>
        <w:t xml:space="preserve"> Ascenso opera con menor apalancamiento.</w:t>
      </w:r>
    </w:p>
    <w:p>
      <w:pPr>
        <w:pStyle w:val="ListNumber"/>
        <w:spacing w:before="0" w:after="40"/>
      </w:pPr>
      <w:r>
        <w:rPr>
          <w:b/>
          <w:color w:val="1A1A1A"/>
          <w:sz w:val="20"/>
        </w:rPr>
        <w:t>Constructora Bolívar tiene sinergia financiera con Davivienda</w:t>
      </w:r>
      <w:r>
        <w:rPr>
          <w:color w:val="1A1A1A"/>
          <w:sz w:val="20"/>
        </w:rPr>
        <w:t xml:space="preserve"> — el comprador VIS recibe crédito integrado. Ascenso depende de bancos terceros.</w:t>
      </w:r>
    </w:p>
    <w:p>
      <w:pPr>
        <w:pStyle w:val="ListNumber"/>
        <w:spacing w:before="0" w:after="40"/>
      </w:pPr>
      <w:r>
        <w:rPr>
          <w:b/>
          <w:color w:val="1A1A1A"/>
          <w:sz w:val="20"/>
        </w:rPr>
        <w:t>Arquitectura y Concreto tiene reputación de diseño</w:t>
      </w:r>
      <w:r>
        <w:rPr>
          <w:color w:val="1A1A1A"/>
          <w:sz w:val="20"/>
        </w:rPr>
        <w:t xml:space="preserve"> que justifica precios un peldaño arriba en NO VIS.</w:t>
      </w:r>
    </w:p>
    <w:p>
      <w:pPr>
        <w:pStyle w:val="ListNumber"/>
        <w:spacing w:before="0" w:after="40"/>
      </w:pPr>
      <w:r>
        <w:rPr>
          <w:b/>
          <w:color w:val="1A1A1A"/>
          <w:sz w:val="20"/>
        </w:rPr>
        <w:t>Bolívar y Capital tienen marca nacional reconocida</w:t>
      </w:r>
      <w:r>
        <w:rPr>
          <w:color w:val="1A1A1A"/>
          <w:sz w:val="20"/>
        </w:rPr>
        <w:t xml:space="preserve"> — el comprador VIS los busca primero.</w:t>
      </w:r>
    </w:p>
    <w:p>
      <w:pPr>
        <w:spacing w:before="160" w:after="40"/>
      </w:pPr>
      <w:r>
        <w:rPr>
          <w:b/>
          <w:color w:val="556577"/>
          <w:sz w:val="22"/>
        </w:rPr>
        <w:t>Qué NO está haciendo nadie (oportunidades de mercado abiertas)</w:t>
      </w:r>
    </w:p>
    <w:p>
      <w:pPr>
        <w:pStyle w:val="ListNumber"/>
        <w:spacing w:before="0" w:after="40"/>
      </w:pPr>
      <w:r>
        <w:rPr>
          <w:b/>
          <w:color w:val="1A1A1A"/>
          <w:sz w:val="20"/>
        </w:rPr>
        <w:t>CRM inmobiliario VIS con scoring automático del lead.</w:t>
      </w:r>
      <w:r>
        <w:rPr>
          <w:color w:val="1A1A1A"/>
          <w:sz w:val="20"/>
        </w:rPr>
        <w:t xml:space="preserve"> Ninguna de las grandes parece tener un sistema de scoring del lead VIS basado en IA (probabilidad de cierre × velocidad de cierre × monto subsidio). Es real estate digital gratis.</w:t>
      </w:r>
    </w:p>
    <w:p>
      <w:pPr>
        <w:pStyle w:val="ListNumber"/>
        <w:spacing w:before="0" w:after="40"/>
      </w:pPr>
      <w:r>
        <w:rPr>
          <w:b/>
          <w:color w:val="1A1A1A"/>
          <w:sz w:val="20"/>
        </w:rPr>
        <w:t>Agente WhatsApp 24/7 con respuestas técnicas serias</w:t>
      </w:r>
      <w:r>
        <w:rPr>
          <w:color w:val="1A1A1A"/>
          <w:sz w:val="20"/>
        </w:rPr>
        <w:t xml:space="preserve"> (¿califico subsidio?, ¿cuánto cuota inicial?, ¿cuándo entregan?). Nadie en el sector lo tiene a nivel proyecto.</w:t>
      </w:r>
    </w:p>
    <w:p>
      <w:pPr>
        <w:pStyle w:val="ListNumber"/>
        <w:spacing w:before="0" w:after="40"/>
      </w:pPr>
      <w:r>
        <w:rPr>
          <w:b/>
          <w:color w:val="1A1A1A"/>
          <w:sz w:val="20"/>
        </w:rPr>
        <w:t>Simulador personalizado de cuota mensual + subsidio + crédito</w:t>
      </w:r>
      <w:r>
        <w:rPr>
          <w:color w:val="1A1A1A"/>
          <w:sz w:val="20"/>
        </w:rPr>
        <w:t xml:space="preserve"> en un solo widget en la web del proyecto. Algunos tienen simulador básico; nadie lo tiene integrado con IA conversacional.</w:t>
      </w:r>
    </w:p>
    <w:p>
      <w:pPr>
        <w:pStyle w:val="ListNumber"/>
        <w:spacing w:before="0" w:after="40"/>
      </w:pPr>
      <w:r>
        <w:rPr>
          <w:b/>
          <w:color w:val="1A1A1A"/>
          <w:sz w:val="20"/>
        </w:rPr>
        <w:t>Recorridos virtuales 3D con configurador IA</w:t>
      </w:r>
      <w:r>
        <w:rPr>
          <w:color w:val="1A1A1A"/>
          <w:sz w:val="20"/>
        </w:rPr>
        <w:t xml:space="preserve"> ("yo soy madre de 2 niños, presupuesto X, recomienda tipología"). Nadie en VIS Antioquia lo tiene a nivel premium.</w:t>
      </w:r>
    </w:p>
    <w:p>
      <w:pPr>
        <w:pStyle w:val="ListNumber"/>
        <w:spacing w:before="0" w:after="40"/>
      </w:pPr>
      <w:r>
        <w:rPr>
          <w:b/>
          <w:color w:val="1A1A1A"/>
          <w:sz w:val="20"/>
        </w:rPr>
        <w:t>Análisis automatizado de land bank y oportunidades de lote</w:t>
      </w:r>
      <w:r>
        <w:rPr>
          <w:color w:val="1A1A1A"/>
          <w:sz w:val="20"/>
        </w:rPr>
        <w:t xml:space="preserve"> — herramienta interna donde nadie compite hoy.</w:t>
      </w:r>
    </w:p>
    <w:p>
      <w:pPr>
        <w:spacing w:before="160" w:after="40"/>
      </w:pPr>
      <w:r>
        <w:rPr>
          <w:b/>
          <w:color w:val="556577"/>
          <w:sz w:val="22"/>
        </w:rPr>
        <w:t>Brechas de IA específicas</w:t>
      </w:r>
    </w:p>
    <w:tbl>
      <w:tblPr>
        <w:tblStyle w:val="TableGrid"/>
        <w:tblW w:type="auto" w:w="0"/>
        <w:jc w:val="left"/>
        <w:tblLook w:firstColumn="1" w:firstRow="1" w:lastColumn="0" w:lastRow="0" w:noHBand="0" w:noVBand="1" w:val="04A0"/>
      </w:tblPr>
      <w:tblGrid>
        <w:gridCol w:w="1511"/>
        <w:gridCol w:w="1511"/>
        <w:gridCol w:w="1511"/>
        <w:gridCol w:w="1511"/>
        <w:gridCol w:w="1511"/>
        <w:gridCol w:w="1511"/>
      </w:tblGrid>
      <w:tr>
        <w:tc>
          <w:tcPr>
            <w:tcW w:type="dxa" w:w="1511"/>
            <w:shd w:val="clear" w:color="auto" w:fill="1A2E4A"/>
          </w:tcPr>
          <w:p>
            <w:pPr>
              <w:spacing w:before="40" w:after="40"/>
            </w:pPr>
            <w:r>
              <w:rPr>
                <w:b/>
                <w:color w:val="FFFFFF"/>
                <w:sz w:val="18"/>
              </w:rPr>
              <w:t>Capacidad de IA</w:t>
            </w:r>
          </w:p>
        </w:tc>
        <w:tc>
          <w:tcPr>
            <w:tcW w:type="dxa" w:w="1511"/>
            <w:shd w:val="clear" w:color="auto" w:fill="1A2E4A"/>
          </w:tcPr>
          <w:p>
            <w:pPr>
              <w:spacing w:before="40" w:after="40"/>
            </w:pPr>
            <w:r>
              <w:rPr>
                <w:b/>
                <w:color w:val="FFFFFF"/>
                <w:sz w:val="18"/>
              </w:rPr>
              <w:t>Ascenso</w:t>
            </w:r>
          </w:p>
        </w:tc>
        <w:tc>
          <w:tcPr>
            <w:tcW w:type="dxa" w:w="1511"/>
            <w:shd w:val="clear" w:color="auto" w:fill="1A2E4A"/>
          </w:tcPr>
          <w:p>
            <w:pPr>
              <w:spacing w:before="40" w:after="40"/>
            </w:pPr>
            <w:r>
              <w:rPr>
                <w:b/>
                <w:color w:val="FFFFFF"/>
                <w:sz w:val="18"/>
              </w:rPr>
              <w:t>C. Capital</w:t>
            </w:r>
          </w:p>
        </w:tc>
        <w:tc>
          <w:tcPr>
            <w:tcW w:type="dxa" w:w="1511"/>
            <w:shd w:val="clear" w:color="auto" w:fill="1A2E4A"/>
          </w:tcPr>
          <w:p>
            <w:pPr>
              <w:spacing w:before="40" w:after="40"/>
            </w:pPr>
            <w:r>
              <w:rPr>
                <w:b/>
                <w:color w:val="FFFFFF"/>
                <w:sz w:val="18"/>
              </w:rPr>
              <w:t>Conconcreto</w:t>
            </w:r>
          </w:p>
        </w:tc>
        <w:tc>
          <w:tcPr>
            <w:tcW w:type="dxa" w:w="1511"/>
            <w:shd w:val="clear" w:color="auto" w:fill="1A2E4A"/>
          </w:tcPr>
          <w:p>
            <w:pPr>
              <w:spacing w:before="40" w:after="40"/>
            </w:pPr>
            <w:r>
              <w:rPr>
                <w:b/>
                <w:color w:val="FFFFFF"/>
                <w:sz w:val="18"/>
              </w:rPr>
              <w:t>Bolívar</w:t>
            </w:r>
          </w:p>
        </w:tc>
        <w:tc>
          <w:tcPr>
            <w:tcW w:type="dxa" w:w="1511"/>
            <w:shd w:val="clear" w:color="auto" w:fill="1A2E4A"/>
          </w:tcPr>
          <w:p>
            <w:pPr>
              <w:spacing w:before="40" w:after="40"/>
            </w:pPr>
            <w:r>
              <w:rPr>
                <w:b/>
                <w:color w:val="FFFFFF"/>
                <w:sz w:val="18"/>
              </w:rPr>
              <w:t>Estado del mercado</w:t>
            </w:r>
          </w:p>
        </w:tc>
      </w:tr>
      <w:tr>
        <w:tc>
          <w:tcPr>
            <w:tcW w:type="dxa" w:w="1511"/>
            <w:shd w:val="clear" w:color="auto" w:fill="FFFFFF"/>
          </w:tcPr>
          <w:p>
            <w:pPr>
              <w:spacing w:before="40" w:after="40"/>
            </w:pPr>
            <w:r>
              <w:rPr>
                <w:color w:val="1A1A1A"/>
                <w:sz w:val="18"/>
              </w:rPr>
              <w:t>BIM</w:t>
            </w:r>
          </w:p>
        </w:tc>
        <w:tc>
          <w:tcPr>
            <w:tcW w:type="dxa" w:w="1511"/>
            <w:shd w:val="clear" w:color="auto" w:fill="FFFFFF"/>
          </w:tcPr>
          <w:p>
            <w:pPr>
              <w:spacing w:before="40" w:after="40"/>
            </w:pPr>
            <w:r>
              <w:rPr>
                <w:color w:val="1A1A1A"/>
                <w:sz w:val="18"/>
              </w:rPr>
              <w:t>❌</w:t>
            </w:r>
          </w:p>
        </w:tc>
        <w:tc>
          <w:tcPr>
            <w:tcW w:type="dxa" w:w="1511"/>
            <w:shd w:val="clear" w:color="auto" w:fill="FFFFFF"/>
          </w:tcPr>
          <w:p>
            <w:pPr>
              <w:spacing w:before="40" w:after="40"/>
            </w:pPr>
            <w:r>
              <w:rPr>
                <w:color w:val="1A1A1A"/>
                <w:sz w:val="18"/>
              </w:rPr>
              <w:t>⚠️</w:t>
            </w:r>
          </w:p>
        </w:tc>
        <w:tc>
          <w:tcPr>
            <w:tcW w:type="dxa" w:w="1511"/>
            <w:shd w:val="clear" w:color="auto" w:fill="FFFFFF"/>
          </w:tcPr>
          <w:p>
            <w:pPr>
              <w:spacing w:before="40" w:after="40"/>
            </w:pPr>
            <w:r>
              <w:rPr>
                <w:color w:val="1A1A1A"/>
                <w:sz w:val="18"/>
              </w:rPr>
              <w:t>✅</w:t>
            </w:r>
          </w:p>
        </w:tc>
        <w:tc>
          <w:tcPr>
            <w:tcW w:type="dxa" w:w="1511"/>
            <w:shd w:val="clear" w:color="auto" w:fill="FFFFFF"/>
          </w:tcPr>
          <w:p>
            <w:pPr>
              <w:spacing w:before="40" w:after="40"/>
            </w:pPr>
            <w:r>
              <w:rPr>
                <w:color w:val="1A1A1A"/>
                <w:sz w:val="18"/>
              </w:rPr>
              <w:t>⚠️</w:t>
            </w:r>
          </w:p>
        </w:tc>
        <w:tc>
          <w:tcPr>
            <w:tcW w:type="dxa" w:w="1511"/>
            <w:shd w:val="clear" w:color="auto" w:fill="FFFFFF"/>
          </w:tcPr>
          <w:p>
            <w:pPr>
              <w:spacing w:before="40" w:after="40"/>
            </w:pPr>
            <w:r>
              <w:rPr>
                <w:color w:val="1A1A1A"/>
                <w:sz w:val="18"/>
              </w:rPr>
              <w:t>Conconcreto lidera; Ascenso atrasado</w:t>
            </w:r>
          </w:p>
        </w:tc>
      </w:tr>
      <w:tr>
        <w:tc>
          <w:tcPr>
            <w:tcW w:type="dxa" w:w="1511"/>
            <w:shd w:val="clear" w:color="auto" w:fill="EBF3FA"/>
          </w:tcPr>
          <w:p>
            <w:pPr>
              <w:spacing w:before="40" w:after="40"/>
            </w:pPr>
            <w:r>
              <w:rPr>
                <w:color w:val="1A1A1A"/>
                <w:sz w:val="18"/>
              </w:rPr>
              <w:t>CRM con scoring IA del lead</w:t>
            </w:r>
          </w:p>
        </w:tc>
        <w:tc>
          <w:tcPr>
            <w:tcW w:type="dxa" w:w="1511"/>
            <w:shd w:val="clear" w:color="auto" w:fill="EBF3FA"/>
          </w:tcPr>
          <w:p>
            <w:pPr>
              <w:spacing w:before="40" w:after="40"/>
            </w:pPr>
            <w:r>
              <w:rPr>
                <w:color w:val="1A1A1A"/>
                <w:sz w:val="18"/>
              </w:rPr>
              <w:t>❌</w:t>
            </w:r>
          </w:p>
        </w:tc>
        <w:tc>
          <w:tcPr>
            <w:tcW w:type="dxa" w:w="1511"/>
            <w:shd w:val="clear" w:color="auto" w:fill="EBF3FA"/>
          </w:tcPr>
          <w:p>
            <w:pPr>
              <w:spacing w:before="40" w:after="40"/>
            </w:pPr>
            <w:r>
              <w:rPr>
                <w:color w:val="1A1A1A"/>
                <w:sz w:val="18"/>
              </w:rPr>
              <w:t>❌</w:t>
            </w:r>
          </w:p>
        </w:tc>
        <w:tc>
          <w:tcPr>
            <w:tcW w:type="dxa" w:w="1511"/>
            <w:shd w:val="clear" w:color="auto" w:fill="EBF3FA"/>
          </w:tcPr>
          <w:p>
            <w:pPr>
              <w:spacing w:before="40" w:after="40"/>
            </w:pPr>
            <w:r>
              <w:rPr>
                <w:color w:val="1A1A1A"/>
                <w:sz w:val="18"/>
              </w:rPr>
              <w:t>❌</w:t>
            </w:r>
          </w:p>
        </w:tc>
        <w:tc>
          <w:tcPr>
            <w:tcW w:type="dxa" w:w="1511"/>
            <w:shd w:val="clear" w:color="auto" w:fill="EBF3FA"/>
          </w:tcPr>
          <w:p>
            <w:pPr>
              <w:spacing w:before="40" w:after="40"/>
            </w:pPr>
            <w:r>
              <w:rPr>
                <w:color w:val="1A1A1A"/>
                <w:sz w:val="18"/>
              </w:rPr>
              <w:t>❌</w:t>
            </w:r>
          </w:p>
        </w:tc>
        <w:tc>
          <w:tcPr>
            <w:tcW w:type="dxa" w:w="1511"/>
            <w:shd w:val="clear" w:color="auto" w:fill="EBF3FA"/>
          </w:tcPr>
          <w:p>
            <w:pPr>
              <w:spacing w:before="40" w:after="40"/>
            </w:pPr>
            <w:r>
              <w:rPr>
                <w:color w:val="1A1A1A"/>
                <w:sz w:val="18"/>
              </w:rPr>
              <w:t>Nadie lo tiene — oportunidad abierta</w:t>
            </w:r>
          </w:p>
        </w:tc>
      </w:tr>
      <w:tr>
        <w:tc>
          <w:tcPr>
            <w:tcW w:type="dxa" w:w="1511"/>
            <w:shd w:val="clear" w:color="auto" w:fill="FFFFFF"/>
          </w:tcPr>
          <w:p>
            <w:pPr>
              <w:spacing w:before="40" w:after="40"/>
            </w:pPr>
            <w:r>
              <w:rPr>
                <w:color w:val="1A1A1A"/>
                <w:sz w:val="18"/>
              </w:rPr>
              <w:t>Agente WhatsApp/DM</w:t>
            </w:r>
          </w:p>
        </w:tc>
        <w:tc>
          <w:tcPr>
            <w:tcW w:type="dxa" w:w="1511"/>
            <w:shd w:val="clear" w:color="auto" w:fill="FFFFFF"/>
          </w:tcPr>
          <w:p>
            <w:pPr>
              <w:spacing w:before="40" w:after="40"/>
            </w:pPr>
            <w:r>
              <w:rPr>
                <w:color w:val="1A1A1A"/>
                <w:sz w:val="18"/>
              </w:rPr>
              <w:t>❌</w:t>
            </w:r>
          </w:p>
        </w:tc>
        <w:tc>
          <w:tcPr>
            <w:tcW w:type="dxa" w:w="1511"/>
            <w:shd w:val="clear" w:color="auto" w:fill="FFFFFF"/>
          </w:tcPr>
          <w:p>
            <w:pPr>
              <w:spacing w:before="40" w:after="40"/>
            </w:pPr>
            <w:r>
              <w:rPr>
                <w:color w:val="1A1A1A"/>
                <w:sz w:val="18"/>
              </w:rPr>
              <w:t>❌</w:t>
            </w:r>
          </w:p>
        </w:tc>
        <w:tc>
          <w:tcPr>
            <w:tcW w:type="dxa" w:w="1511"/>
            <w:shd w:val="clear" w:color="auto" w:fill="FFFFFF"/>
          </w:tcPr>
          <w:p>
            <w:pPr>
              <w:spacing w:before="40" w:after="40"/>
            </w:pPr>
            <w:r>
              <w:rPr>
                <w:color w:val="1A1A1A"/>
                <w:sz w:val="18"/>
              </w:rPr>
              <w:t>❌</w:t>
            </w:r>
          </w:p>
        </w:tc>
        <w:tc>
          <w:tcPr>
            <w:tcW w:type="dxa" w:w="1511"/>
            <w:shd w:val="clear" w:color="auto" w:fill="FFFFFF"/>
          </w:tcPr>
          <w:p>
            <w:pPr>
              <w:spacing w:before="40" w:after="40"/>
            </w:pPr>
            <w:r>
              <w:rPr>
                <w:color w:val="1A1A1A"/>
                <w:sz w:val="18"/>
              </w:rPr>
              <w:t>❌</w:t>
            </w:r>
          </w:p>
        </w:tc>
        <w:tc>
          <w:tcPr>
            <w:tcW w:type="dxa" w:w="1511"/>
            <w:shd w:val="clear" w:color="auto" w:fill="FFFFFF"/>
          </w:tcPr>
          <w:p>
            <w:pPr>
              <w:spacing w:before="40" w:after="40"/>
            </w:pPr>
            <w:r>
              <w:rPr>
                <w:color w:val="1A1A1A"/>
                <w:sz w:val="18"/>
              </w:rPr>
              <w:t>Nadie lo tiene</w:t>
            </w:r>
          </w:p>
        </w:tc>
      </w:tr>
      <w:tr>
        <w:tc>
          <w:tcPr>
            <w:tcW w:type="dxa" w:w="1511"/>
            <w:shd w:val="clear" w:color="auto" w:fill="EBF3FA"/>
          </w:tcPr>
          <w:p>
            <w:pPr>
              <w:spacing w:before="40" w:after="40"/>
            </w:pPr>
            <w:r>
              <w:rPr>
                <w:color w:val="1A1A1A"/>
                <w:sz w:val="18"/>
              </w:rPr>
              <w:t>Recorridos 3D + configurador IA</w:t>
            </w:r>
          </w:p>
        </w:tc>
        <w:tc>
          <w:tcPr>
            <w:tcW w:type="dxa" w:w="1511"/>
            <w:shd w:val="clear" w:color="auto" w:fill="EBF3FA"/>
          </w:tcPr>
          <w:p>
            <w:pPr>
              <w:spacing w:before="40" w:after="40"/>
            </w:pPr>
            <w:r>
              <w:rPr>
                <w:color w:val="1A1A1A"/>
                <w:sz w:val="18"/>
              </w:rPr>
              <w:t>❌</w:t>
            </w:r>
          </w:p>
        </w:tc>
        <w:tc>
          <w:tcPr>
            <w:tcW w:type="dxa" w:w="1511"/>
            <w:shd w:val="clear" w:color="auto" w:fill="EBF3FA"/>
          </w:tcPr>
          <w:p>
            <w:pPr>
              <w:spacing w:before="40" w:after="40"/>
            </w:pPr>
            <w:r>
              <w:rPr>
                <w:color w:val="1A1A1A"/>
                <w:sz w:val="18"/>
              </w:rPr>
              <w:t>❌</w:t>
            </w:r>
          </w:p>
        </w:tc>
        <w:tc>
          <w:tcPr>
            <w:tcW w:type="dxa" w:w="1511"/>
            <w:shd w:val="clear" w:color="auto" w:fill="EBF3FA"/>
          </w:tcPr>
          <w:p>
            <w:pPr>
              <w:spacing w:before="40" w:after="40"/>
            </w:pPr>
            <w:r>
              <w:rPr>
                <w:color w:val="1A1A1A"/>
                <w:sz w:val="18"/>
              </w:rPr>
              <w:t>⚠️ parcial</w:t>
            </w:r>
          </w:p>
        </w:tc>
        <w:tc>
          <w:tcPr>
            <w:tcW w:type="dxa" w:w="1511"/>
            <w:shd w:val="clear" w:color="auto" w:fill="EBF3FA"/>
          </w:tcPr>
          <w:p>
            <w:pPr>
              <w:spacing w:before="40" w:after="40"/>
            </w:pPr>
            <w:r>
              <w:rPr>
                <w:color w:val="1A1A1A"/>
                <w:sz w:val="18"/>
              </w:rPr>
              <w:t>⚠️ parcial</w:t>
            </w:r>
          </w:p>
        </w:tc>
        <w:tc>
          <w:tcPr>
            <w:tcW w:type="dxa" w:w="1511"/>
            <w:shd w:val="clear" w:color="auto" w:fill="EBF3FA"/>
          </w:tcPr>
          <w:p>
            <w:pPr>
              <w:spacing w:before="40" w:after="40"/>
            </w:pPr>
            <w:r>
              <w:rPr>
                <w:color w:val="1A1A1A"/>
                <w:sz w:val="18"/>
              </w:rPr>
              <w:t>Algunos tours básicos, ninguno con IA</w:t>
            </w:r>
          </w:p>
        </w:tc>
      </w:tr>
      <w:tr>
        <w:tc>
          <w:tcPr>
            <w:tcW w:type="dxa" w:w="1511"/>
            <w:shd w:val="clear" w:color="auto" w:fill="FFFFFF"/>
          </w:tcPr>
          <w:p>
            <w:pPr>
              <w:spacing w:before="40" w:after="40"/>
            </w:pPr>
            <w:r>
              <w:rPr>
                <w:color w:val="1A1A1A"/>
                <w:sz w:val="18"/>
              </w:rPr>
              <w:t>Forecast / análisis de obra con IA</w:t>
            </w:r>
          </w:p>
        </w:tc>
        <w:tc>
          <w:tcPr>
            <w:tcW w:type="dxa" w:w="1511"/>
            <w:shd w:val="clear" w:color="auto" w:fill="FFFFFF"/>
          </w:tcPr>
          <w:p>
            <w:pPr>
              <w:spacing w:before="40" w:after="40"/>
            </w:pPr>
            <w:r>
              <w:rPr>
                <w:color w:val="1A1A1A"/>
                <w:sz w:val="18"/>
              </w:rPr>
              <w:t>❌</w:t>
            </w:r>
          </w:p>
        </w:tc>
        <w:tc>
          <w:tcPr>
            <w:tcW w:type="dxa" w:w="1511"/>
            <w:shd w:val="clear" w:color="auto" w:fill="FFFFFF"/>
          </w:tcPr>
          <w:p>
            <w:pPr>
              <w:spacing w:before="40" w:after="40"/>
            </w:pPr>
            <w:r>
              <w:rPr>
                <w:color w:val="1A1A1A"/>
                <w:sz w:val="18"/>
              </w:rPr>
              <w:t>❌</w:t>
            </w:r>
          </w:p>
        </w:tc>
        <w:tc>
          <w:tcPr>
            <w:tcW w:type="dxa" w:w="1511"/>
            <w:shd w:val="clear" w:color="auto" w:fill="FFFFFF"/>
          </w:tcPr>
          <w:p>
            <w:pPr>
              <w:spacing w:before="40" w:after="40"/>
            </w:pPr>
            <w:r>
              <w:rPr>
                <w:color w:val="1A1A1A"/>
                <w:sz w:val="18"/>
              </w:rPr>
              <w:t>⚠️ probable</w:t>
            </w:r>
          </w:p>
        </w:tc>
        <w:tc>
          <w:tcPr>
            <w:tcW w:type="dxa" w:w="1511"/>
            <w:shd w:val="clear" w:color="auto" w:fill="FFFFFF"/>
          </w:tcPr>
          <w:p>
            <w:pPr>
              <w:spacing w:before="40" w:after="40"/>
            </w:pPr>
            <w:r>
              <w:rPr>
                <w:color w:val="1A1A1A"/>
                <w:sz w:val="18"/>
              </w:rPr>
              <w:t>⚠️ probable</w:t>
            </w:r>
          </w:p>
        </w:tc>
        <w:tc>
          <w:tcPr>
            <w:tcW w:type="dxa" w:w="1511"/>
            <w:shd w:val="clear" w:color="auto" w:fill="FFFFFF"/>
          </w:tcPr>
          <w:p>
            <w:pPr>
              <w:spacing w:before="40" w:after="40"/>
            </w:pPr>
            <w:r>
              <w:rPr>
                <w:color w:val="1A1A1A"/>
                <w:sz w:val="18"/>
              </w:rPr>
              <w:t>Pioneros: aeropuerto El Dorado</w:t>
            </w:r>
          </w:p>
        </w:tc>
      </w:tr>
      <w:tr>
        <w:tc>
          <w:tcPr>
            <w:tcW w:type="dxa" w:w="1511"/>
            <w:shd w:val="clear" w:color="auto" w:fill="EBF3FA"/>
          </w:tcPr>
          <w:p>
            <w:pPr>
              <w:spacing w:before="40" w:after="40"/>
            </w:pPr>
            <w:r>
              <w:rPr>
                <w:color w:val="1A1A1A"/>
                <w:sz w:val="18"/>
              </w:rPr>
              <w:t>BI consolidado multi-proyecto</w:t>
            </w:r>
          </w:p>
        </w:tc>
        <w:tc>
          <w:tcPr>
            <w:tcW w:type="dxa" w:w="1511"/>
            <w:shd w:val="clear" w:color="auto" w:fill="EBF3FA"/>
          </w:tcPr>
          <w:p>
            <w:pPr>
              <w:spacing w:before="40" w:after="40"/>
            </w:pPr>
            <w:r>
              <w:rPr>
                <w:color w:val="1A1A1A"/>
                <w:sz w:val="18"/>
              </w:rPr>
              <w:t>❌</w:t>
            </w:r>
          </w:p>
        </w:tc>
        <w:tc>
          <w:tcPr>
            <w:tcW w:type="dxa" w:w="1511"/>
            <w:shd w:val="clear" w:color="auto" w:fill="EBF3FA"/>
          </w:tcPr>
          <w:p>
            <w:pPr>
              <w:spacing w:before="40" w:after="40"/>
            </w:pPr>
            <w:r>
              <w:rPr>
                <w:color w:val="1A1A1A"/>
                <w:sz w:val="18"/>
              </w:rPr>
              <w:t>⚠️ probable</w:t>
            </w:r>
          </w:p>
        </w:tc>
        <w:tc>
          <w:tcPr>
            <w:tcW w:type="dxa" w:w="1511"/>
            <w:shd w:val="clear" w:color="auto" w:fill="EBF3FA"/>
          </w:tcPr>
          <w:p>
            <w:pPr>
              <w:spacing w:before="40" w:after="40"/>
            </w:pPr>
            <w:r>
              <w:rPr>
                <w:color w:val="1A1A1A"/>
                <w:sz w:val="18"/>
              </w:rPr>
              <w:t>✅</w:t>
            </w:r>
          </w:p>
        </w:tc>
        <w:tc>
          <w:tcPr>
            <w:tcW w:type="dxa" w:w="1511"/>
            <w:shd w:val="clear" w:color="auto" w:fill="EBF3FA"/>
          </w:tcPr>
          <w:p>
            <w:pPr>
              <w:spacing w:before="40" w:after="40"/>
            </w:pPr>
            <w:r>
              <w:rPr>
                <w:color w:val="1A1A1A"/>
                <w:sz w:val="18"/>
              </w:rPr>
              <w:t>✅</w:t>
            </w:r>
          </w:p>
        </w:tc>
        <w:tc>
          <w:tcPr>
            <w:tcW w:type="dxa" w:w="1511"/>
            <w:shd w:val="clear" w:color="auto" w:fill="EBF3FA"/>
          </w:tcPr>
          <w:p>
            <w:pPr>
              <w:spacing w:before="40" w:after="40"/>
            </w:pPr>
            <w:r>
              <w:rPr>
                <w:color w:val="1A1A1A"/>
                <w:sz w:val="18"/>
              </w:rPr>
              <w:t>Las grandes tienen; Ascenso no</w:t>
            </w:r>
          </w:p>
        </w:tc>
      </w:tr>
    </w:tbl>
    <w:p/>
    <w:p>
      <w:pPr>
        <w:spacing w:before="20" w:after="60"/>
      </w:pPr>
      <w:r>
        <w:rPr>
          <w:b/>
          <w:color w:val="1A1A1A"/>
          <w:sz w:val="20"/>
        </w:rPr>
        <w:t>Lectura crítica:</w:t>
      </w:r>
      <w:r>
        <w:rPr>
          <w:color w:val="1A1A1A"/>
          <w:sz w:val="20"/>
        </w:rPr>
        <w:t xml:space="preserve"> El sector construcción CO está en </w:t>
      </w:r>
      <w:r>
        <w:rPr>
          <w:b/>
          <w:color w:val="1A1A1A"/>
          <w:sz w:val="20"/>
        </w:rPr>
        <w:t>fase muy temprana de adopción de IA — 84% de organizaciones aún no han iniciado</w:t>
      </w:r>
      <w:r>
        <w:rPr>
          <w:color w:val="1A1A1A"/>
          <w:sz w:val="20"/>
        </w:rPr>
        <w:t xml:space="preserve"> (Camacol 2025 BIM Survey). Las grandes (Conconcreto, Bolívar, Capital) tienen ventaja en BIM y sistemas corporativos, pero </w:t>
      </w:r>
      <w:r>
        <w:rPr>
          <w:b/>
          <w:color w:val="1A1A1A"/>
          <w:sz w:val="20"/>
        </w:rPr>
        <w:t>ninguna ha desplegado IA en el funnel del lead VIS, en atención conversacional, ni en configurador interactivo</w:t>
      </w:r>
      <w:r>
        <w:rPr>
          <w:color w:val="1A1A1A"/>
          <w:sz w:val="20"/>
        </w:rPr>
        <w:t>. Ascenso puede saltar la curva: invertir directo en IA aplicada al funnel comercial sin pasar por años de migración BIM.</w:t>
      </w:r>
    </w:p>
    <w:p>
      <w:pPr>
        <w:spacing w:before="280" w:after="60"/>
        <w:pBdr>
          <w:bottom w:val="single" w:sz="4" w:space="1" w:color="007AC3"/>
        </w:pBdr>
      </w:pPr>
      <w:r>
        <w:rPr>
          <w:b/>
          <w:color w:val="007AC3"/>
          <w:sz w:val="28"/>
        </w:rPr>
        <w:t>5. POSICIONAMIENTO RELATIVO</w:t>
      </w:r>
    </w:p>
    <w:p>
      <w:pPr>
        <w:spacing w:before="160" w:after="40"/>
      </w:pPr>
      <w:r>
        <w:rPr>
          <w:b/>
          <w:color w:val="556577"/>
          <w:sz w:val="22"/>
        </w:rPr>
        <w:t>Mapa de posicionamiento</w:t>
      </w:r>
    </w:p>
    <w:p>
      <w:pPr>
        <w:spacing w:before="20" w:after="60"/>
      </w:pPr>
      <w:r>
        <w:rPr>
          <w:b/>
          <w:color w:val="1A1A1A"/>
          <w:sz w:val="20"/>
        </w:rPr>
        <w:t>Eje X: Escala / capacidad financiera</w:t>
      </w:r>
      <w:r>
        <w:rPr>
          <w:color w:val="1A1A1A"/>
          <w:sz w:val="20"/>
        </w:rPr>
        <w:t xml:space="preserve"> (de pequeña a grande)</w:t>
      </w:r>
    </w:p>
    <w:p>
      <w:pPr>
        <w:spacing w:before="20" w:after="60"/>
      </w:pPr>
      <w:r>
        <w:rPr>
          <w:b/>
          <w:color w:val="1A1A1A"/>
          <w:sz w:val="20"/>
        </w:rPr>
        <w:t>Eje Y: Madurez digital + diferenciación sostenible</w:t>
      </w:r>
      <w:r>
        <w:rPr>
          <w:color w:val="1A1A1A"/>
          <w:sz w:val="20"/>
        </w:rPr>
        <w:t xml:space="preserve"> (de baja a alta)</w:t>
      </w:r>
    </w:p>
    <w:p>
      <w:pPr>
        <w:spacing w:before="80" w:after="40"/>
      </w:pPr>
      <w:r>
        <w:rPr>
          <w:b/>
          <w:color w:val="1A2E4A"/>
          <w:sz w:val="20"/>
        </w:rPr>
        <w:t>Lectura del mapa:</w:t>
      </w:r>
    </w:p>
    <w:p>
      <w:pPr>
        <w:pStyle w:val="ListBullet"/>
        <w:spacing w:before="0" w:after="40"/>
      </w:pPr>
      <w:r>
        <w:rPr>
          <w:b/>
          <w:color w:val="1A1A1A"/>
          <w:sz w:val="20"/>
        </w:rPr>
        <w:t>Conconcreto</w:t>
      </w:r>
      <w:r>
        <w:rPr>
          <w:color w:val="1A1A1A"/>
          <w:sz w:val="20"/>
        </w:rPr>
        <w:t xml:space="preserve"> = top-right: capacidad técnica y digital fuerte.</w:t>
      </w:r>
    </w:p>
    <w:p>
      <w:pPr>
        <w:pStyle w:val="ListBullet"/>
        <w:spacing w:before="0" w:after="40"/>
      </w:pPr>
      <w:r>
        <w:rPr>
          <w:b/>
          <w:color w:val="1A1A1A"/>
          <w:sz w:val="20"/>
        </w:rPr>
        <w:t>Bolívar y Capital</w:t>
      </w:r>
      <w:r>
        <w:rPr>
          <w:color w:val="1A1A1A"/>
          <w:sz w:val="20"/>
        </w:rPr>
        <w:t xml:space="preserve"> = derecha-media: escala alta, digital medio.</w:t>
      </w:r>
    </w:p>
    <w:p>
      <w:pPr>
        <w:pStyle w:val="ListBullet"/>
        <w:spacing w:before="0" w:after="40"/>
      </w:pPr>
      <w:r>
        <w:rPr>
          <w:b/>
          <w:color w:val="1A1A1A"/>
          <w:sz w:val="20"/>
        </w:rPr>
        <w:t>Arquitectura y Concreto</w:t>
      </w:r>
      <w:r>
        <w:rPr>
          <w:color w:val="1A1A1A"/>
          <w:sz w:val="20"/>
        </w:rPr>
        <w:t xml:space="preserve"> = derecha-baja: escala alta, digital bajo.</w:t>
      </w:r>
    </w:p>
    <w:p>
      <w:pPr>
        <w:pStyle w:val="ListBullet"/>
        <w:spacing w:before="0" w:after="40"/>
      </w:pPr>
      <w:r>
        <w:rPr>
          <w:b/>
          <w:color w:val="1A1A1A"/>
          <w:sz w:val="20"/>
        </w:rPr>
        <w:t>Ascenso</w:t>
      </w:r>
      <w:r>
        <w:rPr>
          <w:color w:val="1A1A1A"/>
          <w:sz w:val="20"/>
        </w:rPr>
        <w:t xml:space="preserve"> = izquierda-media-alta: pequeño pero con bandera de sostenibilidad (CCCS, EDGE) y consciente de la conversación.</w:t>
      </w:r>
    </w:p>
    <w:p>
      <w:pPr>
        <w:spacing w:before="160" w:after="40"/>
      </w:pPr>
      <w:r>
        <w:rPr>
          <w:b/>
          <w:color w:val="556577"/>
          <w:sz w:val="22"/>
        </w:rPr>
        <w:t>Posición actual: fortalezas relativas de Ascenso</w:t>
      </w:r>
    </w:p>
    <w:p>
      <w:pPr>
        <w:pStyle w:val="ListNumber"/>
        <w:spacing w:before="0" w:after="40"/>
      </w:pPr>
      <w:r>
        <w:rPr>
          <w:b/>
          <w:color w:val="1A1A1A"/>
          <w:sz w:val="20"/>
        </w:rPr>
        <w:t>Foco específico VIS Sabaneta/Valle de Aburrá sur.</w:t>
      </w:r>
      <w:r>
        <w:rPr>
          <w:color w:val="1A1A1A"/>
          <w:sz w:val="20"/>
        </w:rPr>
        <w:t xml:space="preserve"> Las grandes diversifican; Ascenso concentra → conocimiento profundo del cliente, del terreno y de la zonificación local.</w:t>
      </w:r>
    </w:p>
    <w:p>
      <w:pPr>
        <w:pStyle w:val="ListNumber"/>
        <w:spacing w:before="0" w:after="40"/>
      </w:pPr>
      <w:r>
        <w:rPr>
          <w:b/>
          <w:color w:val="1A1A1A"/>
          <w:sz w:val="20"/>
        </w:rPr>
        <w:t>Miembro activo CCCS — sostenibilidad como ADN.</w:t>
      </w:r>
      <w:r>
        <w:rPr>
          <w:color w:val="1A1A1A"/>
          <w:sz w:val="20"/>
        </w:rPr>
        <w:t xml:space="preserve"> Las grandes hablan de sostenibilidad pero pocos la viven a nivel proyecto. Ascenso puede capitalizarlo.</w:t>
      </w:r>
    </w:p>
    <w:p>
      <w:pPr>
        <w:pStyle w:val="ListNumber"/>
        <w:spacing w:before="0" w:after="40"/>
      </w:pPr>
      <w:r>
        <w:rPr>
          <w:b/>
          <w:color w:val="1A1A1A"/>
          <w:sz w:val="20"/>
        </w:rPr>
        <w:t>Multi-ciudad operacional (6 plazas)</w:t>
      </w:r>
      <w:r>
        <w:rPr>
          <w:color w:val="1A1A1A"/>
          <w:sz w:val="20"/>
        </w:rPr>
        <w:t xml:space="preserve"> pero sin tamaño corporativo — agilidad para entrar a oportunidades que las grandes no priorizan.</w:t>
      </w:r>
    </w:p>
    <w:p>
      <w:pPr>
        <w:pStyle w:val="ListNumber"/>
        <w:spacing w:before="0" w:after="40"/>
      </w:pPr>
      <w:r>
        <w:rPr>
          <w:b/>
          <w:color w:val="1A1A1A"/>
          <w:sz w:val="20"/>
        </w:rPr>
        <w:t>Sin deuda visible de transformación digital legacy.</w:t>
      </w:r>
      <w:r>
        <w:rPr>
          <w:color w:val="1A1A1A"/>
          <w:sz w:val="20"/>
        </w:rPr>
        <w:t xml:space="preserve"> Pueden saltar a stack moderno (Shopify-like en inmobiliario, CRM cloud, IA conversacional) sin reemplazar sistemas viejos.</w:t>
      </w:r>
    </w:p>
    <w:p>
      <w:pPr>
        <w:spacing w:before="160" w:after="40"/>
      </w:pPr>
      <w:r>
        <w:rPr>
          <w:b/>
          <w:color w:val="556577"/>
          <w:sz w:val="22"/>
        </w:rPr>
        <w:t>Posición actual: vulnerabilidades relativas de Ascenso</w:t>
      </w:r>
    </w:p>
    <w:p>
      <w:pPr>
        <w:pStyle w:val="ListNumber"/>
        <w:spacing w:before="0" w:after="40"/>
      </w:pPr>
      <w:r>
        <w:rPr>
          <w:b/>
          <w:color w:val="1A1A1A"/>
          <w:sz w:val="20"/>
        </w:rPr>
        <w:t>Sin BIM declarado</w:t>
      </w:r>
      <w:r>
        <w:rPr>
          <w:color w:val="1A1A1A"/>
          <w:sz w:val="20"/>
        </w:rPr>
        <w:t xml:space="preserve"> — pierden frente a Conconcreto en eficiencia constructiva y reputación técnica.</w:t>
      </w:r>
    </w:p>
    <w:p>
      <w:pPr>
        <w:pStyle w:val="ListNumber"/>
        <w:spacing w:before="0" w:after="40"/>
      </w:pPr>
      <w:r>
        <w:rPr>
          <w:b/>
          <w:color w:val="1A1A1A"/>
          <w:sz w:val="20"/>
        </w:rPr>
        <w:t>Sin marca nacional reconocida</w:t>
      </w:r>
      <w:r>
        <w:rPr>
          <w:color w:val="1A1A1A"/>
          <w:sz w:val="20"/>
        </w:rPr>
        <w:t xml:space="preserve"> — el comprador VIS busca primero Bolívar y Capital.</w:t>
      </w:r>
    </w:p>
    <w:p>
      <w:pPr>
        <w:pStyle w:val="ListNumber"/>
        <w:spacing w:before="0" w:after="40"/>
      </w:pPr>
      <w:r>
        <w:rPr>
          <w:b/>
          <w:color w:val="1A1A1A"/>
          <w:sz w:val="20"/>
        </w:rPr>
        <w:t>Sin sinergia financiera bancaria como Bolívar-Davivienda</w:t>
      </w:r>
      <w:r>
        <w:rPr>
          <w:color w:val="1A1A1A"/>
          <w:sz w:val="20"/>
        </w:rPr>
        <w:t xml:space="preserve"> — el comprador VIS tarda más en cerrar.</w:t>
      </w:r>
    </w:p>
    <w:p>
      <w:pPr>
        <w:pStyle w:val="ListNumber"/>
        <w:spacing w:before="0" w:after="40"/>
      </w:pPr>
      <w:r>
        <w:rPr>
          <w:b/>
          <w:color w:val="1A1A1A"/>
          <w:sz w:val="20"/>
        </w:rPr>
        <w:t>Cobertura geográfica dispersa</w:t>
      </w:r>
      <w:r>
        <w:rPr>
          <w:color w:val="1A1A1A"/>
          <w:sz w:val="20"/>
        </w:rPr>
        <w:t xml:space="preserve"> sin sistema central — riesgo operativo.</w:t>
      </w:r>
    </w:p>
    <w:p>
      <w:pPr>
        <w:spacing w:before="280" w:after="60"/>
        <w:pBdr>
          <w:bottom w:val="single" w:sz="4" w:space="1" w:color="007AC3"/>
        </w:pBdr>
      </w:pPr>
      <w:r>
        <w:rPr>
          <w:b/>
          <w:color w:val="007AC3"/>
          <w:sz w:val="28"/>
        </w:rPr>
        <w:t>6. OPORTUNIDADES DE DIFERENCIACIÓN CON IA</w:t>
      </w:r>
    </w:p>
    <w:p>
      <w:pPr>
        <w:spacing w:before="160" w:after="40"/>
      </w:pPr>
      <w:r>
        <w:rPr>
          <w:b/>
          <w:color w:val="556577"/>
          <w:sz w:val="22"/>
        </w:rPr>
        <w:t>Oportunidades donde la IA daría ventaja sobre competidores que ya adoptaron</w:t>
      </w:r>
    </w:p>
    <w:p>
      <w:pPr>
        <w:spacing w:before="80" w:after="40"/>
      </w:pPr>
      <w:r>
        <w:rPr>
          <w:b/>
          <w:color w:val="1A2E4A"/>
          <w:sz w:val="20"/>
        </w:rPr>
        <w:t>Caso vigente: BIM de Conconcreto.</w:t>
      </w:r>
    </w:p>
    <w:p>
      <w:pPr>
        <w:spacing w:before="20" w:after="60"/>
      </w:pPr>
      <w:r>
        <w:rPr>
          <w:color w:val="1A1A1A"/>
          <w:sz w:val="20"/>
        </w:rPr>
        <w:t xml:space="preserve">Conconcreto ya tiene BIM. Para Ascenso, alcanzarlo en BIM tradicional toma 3-5 años. </w:t>
      </w:r>
      <w:r>
        <w:rPr>
          <w:b/>
          <w:color w:val="1A1A1A"/>
          <w:sz w:val="20"/>
        </w:rPr>
        <w:t>Pero</w:t>
      </w:r>
      <w:r>
        <w:rPr>
          <w:color w:val="1A1A1A"/>
          <w:sz w:val="20"/>
        </w:rPr>
        <w:t xml:space="preserve"> Conconcreto NO tiene aún IA generativa sobre BIM (optimización automática de cantidades, detección de conflictos en tiempo real con visión computacional, etc.). Si Ascenso adopta BIM-light + IA encima, salta el escalón.</w:t>
      </w:r>
    </w:p>
    <w:p>
      <w:pPr>
        <w:spacing w:before="160" w:after="40"/>
      </w:pPr>
      <w:r>
        <w:rPr>
          <w:b/>
          <w:color w:val="556577"/>
          <w:sz w:val="22"/>
        </w:rPr>
        <w:t>Oportunidades donde la IA abriría terreno inexplorado</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2E4A"/>
          </w:tcPr>
          <w:p>
            <w:pPr>
              <w:spacing w:before="40" w:after="40"/>
            </w:pPr>
            <w:r>
              <w:rPr>
                <w:b/>
                <w:color w:val="FFFFFF"/>
                <w:sz w:val="18"/>
              </w:rPr>
              <w:t>Capacidad IA</w:t>
            </w:r>
          </w:p>
        </w:tc>
        <w:tc>
          <w:tcPr>
            <w:tcW w:type="dxa" w:w="3022"/>
            <w:shd w:val="clear" w:color="auto" w:fill="1A2E4A"/>
          </w:tcPr>
          <w:p>
            <w:pPr>
              <w:spacing w:before="40" w:after="40"/>
            </w:pPr>
            <w:r>
              <w:rPr>
                <w:b/>
                <w:color w:val="FFFFFF"/>
                <w:sz w:val="18"/>
              </w:rPr>
              <w:t>Ventaja competitiva generada</w:t>
            </w:r>
          </w:p>
        </w:tc>
        <w:tc>
          <w:tcPr>
            <w:tcW w:type="dxa" w:w="3022"/>
            <w:shd w:val="clear" w:color="auto" w:fill="1A2E4A"/>
          </w:tcPr>
          <w:p>
            <w:pPr>
              <w:spacing w:before="40" w:after="40"/>
            </w:pPr>
            <w:r>
              <w:rPr>
                <w:b/>
                <w:color w:val="FFFFFF"/>
                <w:sz w:val="18"/>
              </w:rPr>
              <w:t>Quién ya lo hace</w:t>
            </w:r>
          </w:p>
        </w:tc>
      </w:tr>
      <w:tr>
        <w:tc>
          <w:tcPr>
            <w:tcW w:type="dxa" w:w="3022"/>
            <w:shd w:val="clear" w:color="auto" w:fill="FFFFFF"/>
          </w:tcPr>
          <w:p>
            <w:pPr>
              <w:spacing w:before="40" w:after="40"/>
            </w:pPr>
            <w:r>
              <w:rPr>
                <w:color w:val="1A1A1A"/>
                <w:sz w:val="18"/>
              </w:rPr>
              <w:t>CRM VIS con scoring de probabilidad de cierre</w:t>
            </w:r>
          </w:p>
        </w:tc>
        <w:tc>
          <w:tcPr>
            <w:tcW w:type="dxa" w:w="3022"/>
            <w:shd w:val="clear" w:color="auto" w:fill="FFFFFF"/>
          </w:tcPr>
          <w:p>
            <w:pPr>
              <w:spacing w:before="40" w:after="40"/>
            </w:pPr>
            <w:r>
              <w:rPr>
                <w:color w:val="1A1A1A"/>
                <w:sz w:val="18"/>
              </w:rPr>
              <w:t>Subir tasa de cierre 10-20% sobre la misma base de leads</w:t>
            </w:r>
          </w:p>
        </w:tc>
        <w:tc>
          <w:tcPr>
            <w:tcW w:type="dxa" w:w="3022"/>
            <w:shd w:val="clear" w:color="auto" w:fill="FFFFFF"/>
          </w:tcPr>
          <w:p>
            <w:pPr>
              <w:spacing w:before="40" w:after="40"/>
            </w:pPr>
            <w:r>
              <w:rPr>
                <w:color w:val="1A1A1A"/>
                <w:sz w:val="18"/>
              </w:rPr>
              <w:t>Nadie en VIS Antioquia</w:t>
            </w:r>
          </w:p>
        </w:tc>
      </w:tr>
      <w:tr>
        <w:tc>
          <w:tcPr>
            <w:tcW w:type="dxa" w:w="3022"/>
            <w:shd w:val="clear" w:color="auto" w:fill="EBF3FA"/>
          </w:tcPr>
          <w:p>
            <w:pPr>
              <w:spacing w:before="40" w:after="40"/>
            </w:pPr>
            <w:r>
              <w:rPr>
                <w:color w:val="1A1A1A"/>
                <w:sz w:val="18"/>
              </w:rPr>
              <w:t>Agente WhatsApp 24/7 por proyecto</w:t>
            </w:r>
          </w:p>
        </w:tc>
        <w:tc>
          <w:tcPr>
            <w:tcW w:type="dxa" w:w="3022"/>
            <w:shd w:val="clear" w:color="auto" w:fill="EBF3FA"/>
          </w:tcPr>
          <w:p>
            <w:pPr>
              <w:spacing w:before="40" w:after="40"/>
            </w:pPr>
            <w:r>
              <w:rPr>
                <w:color w:val="1A1A1A"/>
                <w:sz w:val="18"/>
              </w:rPr>
              <w:t>Capturar leads que se pierden por silencio nocturno y fin de semana</w:t>
            </w:r>
          </w:p>
        </w:tc>
        <w:tc>
          <w:tcPr>
            <w:tcW w:type="dxa" w:w="3022"/>
            <w:shd w:val="clear" w:color="auto" w:fill="EBF3FA"/>
          </w:tcPr>
          <w:p>
            <w:pPr>
              <w:spacing w:before="40" w:after="40"/>
            </w:pPr>
            <w:r>
              <w:rPr>
                <w:color w:val="1A1A1A"/>
                <w:sz w:val="18"/>
              </w:rPr>
              <w:t>Nadie</w:t>
            </w:r>
          </w:p>
        </w:tc>
      </w:tr>
      <w:tr>
        <w:tc>
          <w:tcPr>
            <w:tcW w:type="dxa" w:w="3022"/>
            <w:shd w:val="clear" w:color="auto" w:fill="FFFFFF"/>
          </w:tcPr>
          <w:p>
            <w:pPr>
              <w:spacing w:before="40" w:after="40"/>
            </w:pPr>
            <w:r>
              <w:rPr>
                <w:color w:val="1A1A1A"/>
                <w:sz w:val="18"/>
              </w:rPr>
              <w:t>Recorrido virtual 3D + configurador IA</w:t>
            </w:r>
          </w:p>
        </w:tc>
        <w:tc>
          <w:tcPr>
            <w:tcW w:type="dxa" w:w="3022"/>
            <w:shd w:val="clear" w:color="auto" w:fill="FFFFFF"/>
          </w:tcPr>
          <w:p>
            <w:pPr>
              <w:spacing w:before="40" w:after="40"/>
            </w:pPr>
            <w:r>
              <w:rPr>
                <w:color w:val="1A1A1A"/>
                <w:sz w:val="18"/>
              </w:rPr>
              <w:t>Cierre remoto del comprador VIS (cartageneros invirtiendo en Sabaneta, etc.)</w:t>
            </w:r>
          </w:p>
        </w:tc>
        <w:tc>
          <w:tcPr>
            <w:tcW w:type="dxa" w:w="3022"/>
            <w:shd w:val="clear" w:color="auto" w:fill="FFFFFF"/>
          </w:tcPr>
          <w:p>
            <w:pPr>
              <w:spacing w:before="40" w:after="40"/>
            </w:pPr>
            <w:r>
              <w:rPr>
                <w:color w:val="1A1A1A"/>
                <w:sz w:val="18"/>
              </w:rPr>
              <w:t>Nadie en VIS</w:t>
            </w:r>
          </w:p>
        </w:tc>
      </w:tr>
      <w:tr>
        <w:tc>
          <w:tcPr>
            <w:tcW w:type="dxa" w:w="3022"/>
            <w:shd w:val="clear" w:color="auto" w:fill="EBF3FA"/>
          </w:tcPr>
          <w:p>
            <w:pPr>
              <w:spacing w:before="40" w:after="40"/>
            </w:pPr>
            <w:r>
              <w:rPr>
                <w:color w:val="1A1A1A"/>
                <w:sz w:val="18"/>
              </w:rPr>
              <w:t>Dashboard control de obra + costo en tiempo real</w:t>
            </w:r>
          </w:p>
        </w:tc>
        <w:tc>
          <w:tcPr>
            <w:tcW w:type="dxa" w:w="3022"/>
            <w:shd w:val="clear" w:color="auto" w:fill="EBF3FA"/>
          </w:tcPr>
          <w:p>
            <w:pPr>
              <w:spacing w:before="40" w:after="40"/>
            </w:pPr>
            <w:r>
              <w:rPr>
                <w:color w:val="1A1A1A"/>
                <w:sz w:val="18"/>
              </w:rPr>
              <w:t>Recuperar 1-3% margen sobre costos = COP cientos de millones/año</w:t>
            </w:r>
          </w:p>
        </w:tc>
        <w:tc>
          <w:tcPr>
            <w:tcW w:type="dxa" w:w="3022"/>
            <w:shd w:val="clear" w:color="auto" w:fill="EBF3FA"/>
          </w:tcPr>
          <w:p>
            <w:pPr>
              <w:spacing w:before="40" w:after="40"/>
            </w:pPr>
            <w:r>
              <w:rPr>
                <w:color w:val="1A1A1A"/>
                <w:sz w:val="18"/>
              </w:rPr>
              <w:t>Solo grandes a nivel corporativo</w:t>
            </w:r>
          </w:p>
        </w:tc>
      </w:tr>
      <w:tr>
        <w:tc>
          <w:tcPr>
            <w:tcW w:type="dxa" w:w="3022"/>
            <w:shd w:val="clear" w:color="auto" w:fill="FFFFFF"/>
          </w:tcPr>
          <w:p>
            <w:pPr>
              <w:spacing w:before="40" w:after="40"/>
            </w:pPr>
            <w:r>
              <w:rPr>
                <w:color w:val="1A1A1A"/>
                <w:sz w:val="18"/>
              </w:rPr>
              <w:t>Análisis de land bank con IA</w:t>
            </w:r>
          </w:p>
        </w:tc>
        <w:tc>
          <w:tcPr>
            <w:tcW w:type="dxa" w:w="3022"/>
            <w:shd w:val="clear" w:color="auto" w:fill="FFFFFF"/>
          </w:tcPr>
          <w:p>
            <w:pPr>
              <w:spacing w:before="40" w:after="40"/>
            </w:pPr>
            <w:r>
              <w:rPr>
                <w:color w:val="1A1A1A"/>
                <w:sz w:val="18"/>
              </w:rPr>
              <w:t>Acelerar decisión de compra de lote — clave en zonas valorizadas</w:t>
            </w:r>
          </w:p>
        </w:tc>
        <w:tc>
          <w:tcPr>
            <w:tcW w:type="dxa" w:w="3022"/>
            <w:shd w:val="clear" w:color="auto" w:fill="FFFFFF"/>
          </w:tcPr>
          <w:p>
            <w:pPr>
              <w:spacing w:before="40" w:after="40"/>
            </w:pPr>
            <w:r>
              <w:rPr>
                <w:color w:val="1A1A1A"/>
                <w:sz w:val="18"/>
              </w:rPr>
              <w:t>Nadie</w:t>
            </w:r>
          </w:p>
        </w:tc>
      </w:tr>
    </w:tbl>
    <w:p/>
    <w:p>
      <w:pPr>
        <w:spacing w:before="160" w:after="40"/>
      </w:pPr>
      <w:r>
        <w:rPr>
          <w:b/>
          <w:color w:val="556577"/>
          <w:sz w:val="22"/>
        </w:rPr>
        <w:t>Quick Wins de IA recomendados (en orden de impacto competitivo)</w:t>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1813"/>
            <w:shd w:val="clear" w:color="auto" w:fill="1A2E4A"/>
          </w:tcPr>
          <w:p>
            <w:pPr>
              <w:spacing w:before="40" w:after="40"/>
            </w:pPr>
            <w:r>
              <w:rPr>
                <w:b/>
                <w:color w:val="FFFFFF"/>
                <w:sz w:val="18"/>
              </w:rPr>
              <w:t>#</w:t>
            </w:r>
          </w:p>
        </w:tc>
        <w:tc>
          <w:tcPr>
            <w:tcW w:type="dxa" w:w="1813"/>
            <w:shd w:val="clear" w:color="auto" w:fill="1A2E4A"/>
          </w:tcPr>
          <w:p>
            <w:pPr>
              <w:spacing w:before="40" w:after="40"/>
            </w:pPr>
            <w:r>
              <w:rPr>
                <w:b/>
                <w:color w:val="FFFFFF"/>
                <w:sz w:val="18"/>
              </w:rPr>
              <w:t>Quick Win</w:t>
            </w:r>
          </w:p>
        </w:tc>
        <w:tc>
          <w:tcPr>
            <w:tcW w:type="dxa" w:w="1813"/>
            <w:shd w:val="clear" w:color="auto" w:fill="1A2E4A"/>
          </w:tcPr>
          <w:p>
            <w:pPr>
              <w:spacing w:before="40" w:after="40"/>
            </w:pPr>
            <w:r>
              <w:rPr>
                <w:b/>
                <w:color w:val="FFFFFF"/>
                <w:sz w:val="18"/>
              </w:rPr>
              <w:t>Proceso actual</w:t>
            </w:r>
          </w:p>
        </w:tc>
        <w:tc>
          <w:tcPr>
            <w:tcW w:type="dxa" w:w="1813"/>
            <w:shd w:val="clear" w:color="auto" w:fill="1A2E4A"/>
          </w:tcPr>
          <w:p>
            <w:pPr>
              <w:spacing w:before="40" w:after="40"/>
            </w:pPr>
            <w:r>
              <w:rPr>
                <w:b/>
                <w:color w:val="FFFFFF"/>
                <w:sz w:val="18"/>
              </w:rPr>
              <w:t>Herramienta sugerida</w:t>
            </w:r>
          </w:p>
        </w:tc>
        <w:tc>
          <w:tcPr>
            <w:tcW w:type="dxa" w:w="1813"/>
            <w:shd w:val="clear" w:color="auto" w:fill="1A2E4A"/>
          </w:tcPr>
          <w:p>
            <w:pPr>
              <w:spacing w:before="40" w:after="40"/>
            </w:pPr>
            <w:r>
              <w:rPr>
                <w:b/>
                <w:color w:val="FFFFFF"/>
                <w:sz w:val="18"/>
              </w:rPr>
              <w:t>Ventaja competitiva generada</w:t>
            </w:r>
          </w:p>
        </w:tc>
      </w:tr>
      <w:tr>
        <w:tc>
          <w:tcPr>
            <w:tcW w:type="dxa" w:w="1813"/>
            <w:shd w:val="clear" w:color="auto" w:fill="FFFFFF"/>
          </w:tcPr>
          <w:p>
            <w:pPr>
              <w:spacing w:before="40" w:after="40"/>
            </w:pPr>
            <w:r>
              <w:rPr>
                <w:color w:val="1A1A1A"/>
                <w:sz w:val="18"/>
              </w:rPr>
              <w:t>1</w:t>
            </w:r>
          </w:p>
        </w:tc>
        <w:tc>
          <w:tcPr>
            <w:tcW w:type="dxa" w:w="1813"/>
            <w:shd w:val="clear" w:color="auto" w:fill="FFFFFF"/>
          </w:tcPr>
          <w:p>
            <w:pPr>
              <w:spacing w:before="40" w:after="40"/>
            </w:pPr>
            <w:r>
              <w:rPr>
                <w:color w:val="1A1A1A"/>
                <w:sz w:val="18"/>
              </w:rPr>
              <w:t>CRM con scoring IA del lead VIS</w:t>
            </w:r>
          </w:p>
        </w:tc>
        <w:tc>
          <w:tcPr>
            <w:tcW w:type="dxa" w:w="1813"/>
            <w:shd w:val="clear" w:color="auto" w:fill="FFFFFF"/>
          </w:tcPr>
          <w:p>
            <w:pPr>
              <w:spacing w:before="40" w:after="40"/>
            </w:pPr>
            <w:r>
              <w:rPr>
                <w:color w:val="1A1A1A"/>
                <w:sz w:val="18"/>
              </w:rPr>
              <w:t>Hojas de cálculo + asesor priorizando por intuición</w:t>
            </w:r>
          </w:p>
        </w:tc>
        <w:tc>
          <w:tcPr>
            <w:tcW w:type="dxa" w:w="1813"/>
            <w:shd w:val="clear" w:color="auto" w:fill="FFFFFF"/>
          </w:tcPr>
          <w:p>
            <w:pPr>
              <w:spacing w:before="40" w:after="40"/>
            </w:pPr>
            <w:r>
              <w:rPr>
                <w:color w:val="1A1A1A"/>
                <w:sz w:val="18"/>
              </w:rPr>
              <w:t>HubSpot/Bitrix24 + scoring con LLM API</w:t>
            </w:r>
          </w:p>
        </w:tc>
        <w:tc>
          <w:tcPr>
            <w:tcW w:type="dxa" w:w="1813"/>
            <w:shd w:val="clear" w:color="auto" w:fill="FFFFFF"/>
          </w:tcPr>
          <w:p>
            <w:pPr>
              <w:spacing w:before="40" w:after="40"/>
            </w:pPr>
            <w:r>
              <w:rPr>
                <w:color w:val="1A1A1A"/>
                <w:sz w:val="18"/>
              </w:rPr>
              <w:t>Subir tasa de cierre. Ningún competidor lo tiene.</w:t>
            </w:r>
          </w:p>
        </w:tc>
      </w:tr>
      <w:tr>
        <w:tc>
          <w:tcPr>
            <w:tcW w:type="dxa" w:w="1813"/>
            <w:shd w:val="clear" w:color="auto" w:fill="EBF3FA"/>
          </w:tcPr>
          <w:p>
            <w:pPr>
              <w:spacing w:before="40" w:after="40"/>
            </w:pPr>
            <w:r>
              <w:rPr>
                <w:color w:val="1A1A1A"/>
                <w:sz w:val="18"/>
              </w:rPr>
              <w:t>2</w:t>
            </w:r>
          </w:p>
        </w:tc>
        <w:tc>
          <w:tcPr>
            <w:tcW w:type="dxa" w:w="1813"/>
            <w:shd w:val="clear" w:color="auto" w:fill="EBF3FA"/>
          </w:tcPr>
          <w:p>
            <w:pPr>
              <w:spacing w:before="40" w:after="40"/>
            </w:pPr>
            <w:r>
              <w:rPr>
                <w:color w:val="1A1A1A"/>
                <w:sz w:val="18"/>
              </w:rPr>
              <w:t>Agente WhatsApp 24/7 por proyecto</w:t>
            </w:r>
          </w:p>
        </w:tc>
        <w:tc>
          <w:tcPr>
            <w:tcW w:type="dxa" w:w="1813"/>
            <w:shd w:val="clear" w:color="auto" w:fill="EBF3FA"/>
          </w:tcPr>
          <w:p>
            <w:pPr>
              <w:spacing w:before="40" w:after="40"/>
            </w:pPr>
            <w:r>
              <w:rPr>
                <w:color w:val="1A1A1A"/>
                <w:sz w:val="18"/>
              </w:rPr>
              <w:t>Asesor humano respondiendo en horario</w:t>
            </w:r>
          </w:p>
        </w:tc>
        <w:tc>
          <w:tcPr>
            <w:tcW w:type="dxa" w:w="1813"/>
            <w:shd w:val="clear" w:color="auto" w:fill="EBF3FA"/>
          </w:tcPr>
          <w:p>
            <w:pPr>
              <w:spacing w:before="40" w:after="40"/>
            </w:pPr>
            <w:r>
              <w:rPr>
                <w:color w:val="1A1A1A"/>
                <w:sz w:val="18"/>
              </w:rPr>
              <w:t>n8n/Make + Claude/GPT + Meta Cloud API + base de conocimiento por proyecto</w:t>
            </w:r>
          </w:p>
        </w:tc>
        <w:tc>
          <w:tcPr>
            <w:tcW w:type="dxa" w:w="1813"/>
            <w:shd w:val="clear" w:color="auto" w:fill="EBF3FA"/>
          </w:tcPr>
          <w:p>
            <w:pPr>
              <w:spacing w:before="40" w:after="40"/>
            </w:pPr>
            <w:r>
              <w:rPr>
                <w:color w:val="1A1A1A"/>
                <w:sz w:val="18"/>
              </w:rPr>
              <w:t>Capturar 30-50% de leads que se pierden por respuesta tardía.</w:t>
            </w:r>
          </w:p>
        </w:tc>
      </w:tr>
      <w:tr>
        <w:tc>
          <w:tcPr>
            <w:tcW w:type="dxa" w:w="1813"/>
            <w:shd w:val="clear" w:color="auto" w:fill="FFFFFF"/>
          </w:tcPr>
          <w:p>
            <w:pPr>
              <w:spacing w:before="40" w:after="40"/>
            </w:pPr>
            <w:r>
              <w:rPr>
                <w:color w:val="1A1A1A"/>
                <w:sz w:val="18"/>
              </w:rPr>
              <w:t>3</w:t>
            </w:r>
          </w:p>
        </w:tc>
        <w:tc>
          <w:tcPr>
            <w:tcW w:type="dxa" w:w="1813"/>
            <w:shd w:val="clear" w:color="auto" w:fill="FFFFFF"/>
          </w:tcPr>
          <w:p>
            <w:pPr>
              <w:spacing w:before="40" w:after="40"/>
            </w:pPr>
            <w:r>
              <w:rPr>
                <w:color w:val="1A1A1A"/>
                <w:sz w:val="18"/>
              </w:rPr>
              <w:t>Recorrido virtual 3D + configurador IA</w:t>
            </w:r>
          </w:p>
        </w:tc>
        <w:tc>
          <w:tcPr>
            <w:tcW w:type="dxa" w:w="1813"/>
            <w:shd w:val="clear" w:color="auto" w:fill="FFFFFF"/>
          </w:tcPr>
          <w:p>
            <w:pPr>
              <w:spacing w:before="40" w:after="40"/>
            </w:pPr>
            <w:r>
              <w:rPr>
                <w:color w:val="1A1A1A"/>
                <w:sz w:val="18"/>
              </w:rPr>
              <w:t>Visita presencial obligatoria</w:t>
            </w:r>
          </w:p>
        </w:tc>
        <w:tc>
          <w:tcPr>
            <w:tcW w:type="dxa" w:w="1813"/>
            <w:shd w:val="clear" w:color="auto" w:fill="FFFFFF"/>
          </w:tcPr>
          <w:p>
            <w:pPr>
              <w:spacing w:before="40" w:after="40"/>
            </w:pPr>
            <w:r>
              <w:rPr>
                <w:color w:val="1A1A1A"/>
                <w:sz w:val="18"/>
              </w:rPr>
              <w:t>Matterport / equivalente + configurador web + asistente Claude</w:t>
            </w:r>
          </w:p>
        </w:tc>
        <w:tc>
          <w:tcPr>
            <w:tcW w:type="dxa" w:w="1813"/>
            <w:shd w:val="clear" w:color="auto" w:fill="FFFFFF"/>
          </w:tcPr>
          <w:p>
            <w:pPr>
              <w:spacing w:before="40" w:after="40"/>
            </w:pPr>
            <w:r>
              <w:rPr>
                <w:color w:val="1A1A1A"/>
                <w:sz w:val="18"/>
              </w:rPr>
              <w:t>Cierre remoto comprador VIS. Diferencial vs Bolívar/Capital.</w:t>
            </w:r>
          </w:p>
        </w:tc>
      </w:tr>
      <w:tr>
        <w:tc>
          <w:tcPr>
            <w:tcW w:type="dxa" w:w="1813"/>
            <w:shd w:val="clear" w:color="auto" w:fill="EBF3FA"/>
          </w:tcPr>
          <w:p>
            <w:pPr>
              <w:spacing w:before="40" w:after="40"/>
            </w:pPr>
            <w:r>
              <w:rPr>
                <w:color w:val="1A1A1A"/>
                <w:sz w:val="18"/>
              </w:rPr>
              <w:t>4</w:t>
            </w:r>
          </w:p>
        </w:tc>
        <w:tc>
          <w:tcPr>
            <w:tcW w:type="dxa" w:w="1813"/>
            <w:shd w:val="clear" w:color="auto" w:fill="EBF3FA"/>
          </w:tcPr>
          <w:p>
            <w:pPr>
              <w:spacing w:before="40" w:after="40"/>
            </w:pPr>
            <w:r>
              <w:rPr>
                <w:color w:val="1A1A1A"/>
                <w:sz w:val="18"/>
              </w:rPr>
              <w:t>Dashboard control obra + costo en tiempo real</w:t>
            </w:r>
          </w:p>
        </w:tc>
        <w:tc>
          <w:tcPr>
            <w:tcW w:type="dxa" w:w="1813"/>
            <w:shd w:val="clear" w:color="auto" w:fill="EBF3FA"/>
          </w:tcPr>
          <w:p>
            <w:pPr>
              <w:spacing w:before="40" w:after="40"/>
            </w:pPr>
            <w:r>
              <w:rPr>
                <w:color w:val="1A1A1A"/>
                <w:sz w:val="18"/>
              </w:rPr>
              <w:t>Bitácora manual + Excel</w:t>
            </w:r>
          </w:p>
        </w:tc>
        <w:tc>
          <w:tcPr>
            <w:tcW w:type="dxa" w:w="1813"/>
            <w:shd w:val="clear" w:color="auto" w:fill="EBF3FA"/>
          </w:tcPr>
          <w:p>
            <w:pPr>
              <w:spacing w:before="40" w:after="40"/>
            </w:pPr>
            <w:r>
              <w:rPr>
                <w:color w:val="1A1A1A"/>
                <w:sz w:val="18"/>
              </w:rPr>
              <w:t>App móvil + IA visión + Power BI/Metabase</w:t>
            </w:r>
          </w:p>
        </w:tc>
        <w:tc>
          <w:tcPr>
            <w:tcW w:type="dxa" w:w="1813"/>
            <w:shd w:val="clear" w:color="auto" w:fill="EBF3FA"/>
          </w:tcPr>
          <w:p>
            <w:pPr>
              <w:spacing w:before="40" w:after="40"/>
            </w:pPr>
            <w:r>
              <w:rPr>
                <w:color w:val="1A1A1A"/>
                <w:sz w:val="18"/>
              </w:rPr>
              <w:t>Recuperar 1-3% margen sobre proyectos.</w:t>
            </w:r>
          </w:p>
        </w:tc>
      </w:tr>
      <w:tr>
        <w:tc>
          <w:tcPr>
            <w:tcW w:type="dxa" w:w="1813"/>
            <w:shd w:val="clear" w:color="auto" w:fill="FFFFFF"/>
          </w:tcPr>
          <w:p>
            <w:pPr>
              <w:spacing w:before="40" w:after="40"/>
            </w:pPr>
            <w:r>
              <w:rPr>
                <w:color w:val="1A1A1A"/>
                <w:sz w:val="18"/>
              </w:rPr>
              <w:t>5</w:t>
            </w:r>
          </w:p>
        </w:tc>
        <w:tc>
          <w:tcPr>
            <w:tcW w:type="dxa" w:w="1813"/>
            <w:shd w:val="clear" w:color="auto" w:fill="FFFFFF"/>
          </w:tcPr>
          <w:p>
            <w:pPr>
              <w:spacing w:before="40" w:after="40"/>
            </w:pPr>
            <w:r>
              <w:rPr>
                <w:color w:val="1A1A1A"/>
                <w:sz w:val="18"/>
              </w:rPr>
              <w:t>Asistente análisis de land bank</w:t>
            </w:r>
          </w:p>
        </w:tc>
        <w:tc>
          <w:tcPr>
            <w:tcW w:type="dxa" w:w="1813"/>
            <w:shd w:val="clear" w:color="auto" w:fill="FFFFFF"/>
          </w:tcPr>
          <w:p>
            <w:pPr>
              <w:spacing w:before="40" w:after="40"/>
            </w:pPr>
            <w:r>
              <w:rPr>
                <w:color w:val="1A1A1A"/>
                <w:sz w:val="18"/>
              </w:rPr>
              <w:t>Analista humano semanas por lote</w:t>
            </w:r>
          </w:p>
        </w:tc>
        <w:tc>
          <w:tcPr>
            <w:tcW w:type="dxa" w:w="1813"/>
            <w:shd w:val="clear" w:color="auto" w:fill="FFFFFF"/>
          </w:tcPr>
          <w:p>
            <w:pPr>
              <w:spacing w:before="40" w:after="40"/>
            </w:pPr>
            <w:r>
              <w:rPr>
                <w:color w:val="1A1A1A"/>
                <w:sz w:val="18"/>
              </w:rPr>
              <w:t>Agente IA con POT + comparables + reglas curaduría</w:t>
            </w:r>
          </w:p>
        </w:tc>
        <w:tc>
          <w:tcPr>
            <w:tcW w:type="dxa" w:w="1813"/>
            <w:shd w:val="clear" w:color="auto" w:fill="FFFFFF"/>
          </w:tcPr>
          <w:p>
            <w:pPr>
              <w:spacing w:before="40" w:after="40"/>
            </w:pPr>
            <w:r>
              <w:rPr>
                <w:color w:val="1A1A1A"/>
                <w:sz w:val="18"/>
              </w:rPr>
              <w:t>3-5x más oportunidades evaluadas/trimestre.</w:t>
            </w:r>
          </w:p>
        </w:tc>
      </w:tr>
    </w:tbl>
    <w:p/>
    <w:p>
      <w:pPr>
        <w:spacing w:before="280" w:after="60"/>
        <w:pBdr>
          <w:bottom w:val="single" w:sz="4" w:space="1" w:color="007AC3"/>
        </w:pBdr>
      </w:pPr>
      <w:r>
        <w:rPr>
          <w:b/>
          <w:color w:val="007AC3"/>
          <w:sz w:val="28"/>
        </w:rPr>
        <w:t>7. SEÑALES DE PUNTO CIEGO COMPETITIVO</w:t>
      </w:r>
    </w:p>
    <w:p>
      <w:pPr>
        <w:spacing w:before="160" w:after="40"/>
      </w:pPr>
      <w:r>
        <w:rPr>
          <w:b/>
          <w:color w:val="556577"/>
          <w:sz w:val="22"/>
        </w:rPr>
        <w:t>Competidores no obvios que Ascenso probablemente no mencione en la llamada</w:t>
      </w:r>
    </w:p>
    <w:p>
      <w:pPr>
        <w:pStyle w:val="ListNumber"/>
        <w:spacing w:before="0" w:after="40"/>
      </w:pPr>
      <w:r>
        <w:rPr>
          <w:b/>
          <w:color w:val="1A1A1A"/>
          <w:sz w:val="20"/>
        </w:rPr>
        <w:t>Constructora Capital.</w:t>
      </w:r>
      <w:r>
        <w:rPr>
          <w:color w:val="1A1A1A"/>
          <w:sz w:val="20"/>
        </w:rPr>
        <w:t xml:space="preserve"> Por estar concentrada en Bogotá-Medellín en escala nacional, los founders de Ascenso pueden subestimarla en Sabaneta — pero Capital tiene proyectos VIS en Sabaneta-Itagüí-Envigado actualmente. Forma de señalarlo: "Capital está vendiendo +18% YoY y opera en sus mismas zonas. ¿Cómo están viendo la diferenciación de Ascenso vs ellos en Sabaneta específicamente?"</w:t>
      </w:r>
    </w:p>
    <w:p>
      <w:pPr>
        <w:pStyle w:val="ListNumber"/>
        <w:spacing w:before="0" w:after="40"/>
      </w:pPr>
      <w:r>
        <w:rPr>
          <w:b/>
          <w:color w:val="1A1A1A"/>
          <w:sz w:val="20"/>
        </w:rPr>
        <w:t>Conconcreto.</w:t>
      </w:r>
      <w:r>
        <w:rPr>
          <w:color w:val="1A1A1A"/>
          <w:sz w:val="20"/>
        </w:rPr>
        <w:t xml:space="preserve"> Pueden verlos como "los grandes que hacen otra cosa" — pero Conconcreto sí está en Sabaneta (Menta) y en Itagüí (Nuevo Poblado). Su BIM les da ventaja constructiva. Forma de señalarlo: "Conconcreto está aplicando BIM y empezando IA — ¿cómo piensan ustedes mantener competitividad frente a esa curva tecnológica?"</w:t>
      </w:r>
    </w:p>
    <w:p>
      <w:pPr>
        <w:pStyle w:val="ListNumber"/>
        <w:spacing w:before="0" w:after="40"/>
      </w:pPr>
      <w:r>
        <w:rPr>
          <w:b/>
          <w:color w:val="1A1A1A"/>
          <w:sz w:val="20"/>
        </w:rPr>
        <w:t>Marcas propias / brokers no constructores que están entrando al desarrollo inmobiliario</w:t>
      </w:r>
      <w:r>
        <w:rPr>
          <w:color w:val="1A1A1A"/>
          <w:sz w:val="20"/>
        </w:rPr>
        <w:t xml:space="preserve"> — fondos como PEI, Greystar Colombia que compran y desarrollan. No son constructoras tradicionales pero compiten por lotes y compradores.</w:t>
      </w:r>
    </w:p>
    <w:p>
      <w:pPr>
        <w:pStyle w:val="ListNumber"/>
        <w:spacing w:before="0" w:after="40"/>
      </w:pPr>
      <w:r>
        <w:rPr>
          <w:b/>
          <w:color w:val="1A1A1A"/>
          <w:sz w:val="20"/>
        </w:rPr>
        <w:t>Build-to-rent emergente</w:t>
      </w:r>
      <w:r>
        <w:rPr>
          <w:color w:val="1A1A1A"/>
          <w:sz w:val="20"/>
        </w:rPr>
        <w:t xml:space="preserve"> — el joven cliente VIS de hace 5 años ahora arrienda nuevo. Si Edify, Greystar, Vivvi crecen, se contrae el TAM del comprador VIS.</w:t>
      </w:r>
    </w:p>
    <w:p>
      <w:pPr>
        <w:pStyle w:val="ListNumber"/>
        <w:spacing w:before="0" w:after="40"/>
      </w:pPr>
      <w:r>
        <w:rPr>
          <w:b/>
          <w:color w:val="1A1A1A"/>
          <w:sz w:val="20"/>
        </w:rPr>
        <w:t>El propio Grupo Éxito / Cencosud entrando a desarrollo residencial en zonas comerciales</w:t>
      </w:r>
      <w:r>
        <w:rPr>
          <w:color w:val="1A1A1A"/>
          <w:sz w:val="20"/>
        </w:rPr>
        <w:t xml:space="preserve"> — modelos de mixed-use con marca retail no tradicionales.</w:t>
      </w:r>
    </w:p>
    <w:p>
      <w:pPr>
        <w:spacing w:before="160" w:after="40"/>
      </w:pPr>
      <w:r>
        <w:rPr>
          <w:b/>
          <w:color w:val="556577"/>
          <w:sz w:val="22"/>
        </w:rPr>
        <w:t>Tendencias del sector que pueden cambiar el mapa competitivo</w:t>
      </w:r>
    </w:p>
    <w:p>
      <w:pPr>
        <w:pStyle w:val="ListBullet"/>
        <w:spacing w:before="0" w:after="40"/>
      </w:pPr>
      <w:r>
        <w:rPr>
          <w:b/>
          <w:color w:val="1A1A1A"/>
          <w:sz w:val="20"/>
        </w:rPr>
        <w:t>Reforma de Mi Casa Ya y subsidios VIS post-2026</w:t>
      </w:r>
      <w:r>
        <w:rPr>
          <w:color w:val="1A1A1A"/>
          <w:sz w:val="20"/>
        </w:rPr>
        <w:t xml:space="preserve"> — el cambio de gobierno puede redefinir la economía del segmento.</w:t>
      </w:r>
    </w:p>
    <w:p>
      <w:pPr>
        <w:pStyle w:val="ListBullet"/>
        <w:spacing w:before="0" w:after="40"/>
      </w:pPr>
      <w:r>
        <w:rPr>
          <w:b/>
          <w:color w:val="1A1A1A"/>
          <w:sz w:val="20"/>
        </w:rPr>
        <w:t>Tasas de interés a la baja del Banco República</w:t>
      </w:r>
      <w:r>
        <w:rPr>
          <w:color w:val="1A1A1A"/>
          <w:sz w:val="20"/>
        </w:rPr>
        <w:t xml:space="preserve"> — sube poder de compra del cliente VIS, beneficiando a quien tenga proyecto listo.</w:t>
      </w:r>
    </w:p>
    <w:p>
      <w:pPr>
        <w:pStyle w:val="ListBullet"/>
        <w:spacing w:before="0" w:after="40"/>
      </w:pPr>
      <w:r>
        <w:rPr>
          <w:b/>
          <w:color w:val="1A1A1A"/>
          <w:sz w:val="20"/>
        </w:rPr>
        <w:t>Caída de iniciaciones -17.4% en 2025, proyección -26.5% en 2026</w:t>
      </w:r>
      <w:r>
        <w:rPr>
          <w:color w:val="1A1A1A"/>
          <w:sz w:val="20"/>
        </w:rPr>
        <w:t xml:space="preserve"> — menos oferta nueva = mejores precios para quien sí tiene proyecto, pero también menos competencia en próximos 12-18 meses (oportunidad para Ascenso de acelerar).</w:t>
      </w:r>
    </w:p>
    <w:p>
      <w:pPr>
        <w:pStyle w:val="ListBullet"/>
        <w:spacing w:before="0" w:after="40"/>
      </w:pPr>
      <w:r>
        <w:rPr>
          <w:b/>
          <w:color w:val="1A1A1A"/>
          <w:sz w:val="20"/>
        </w:rPr>
        <w:t>Sostenibilidad y EDGE como filtro de compradores institucionales y bancos</w:t>
      </w:r>
      <w:r>
        <w:rPr>
          <w:color w:val="1A1A1A"/>
          <w:sz w:val="20"/>
        </w:rPr>
        <w:t xml:space="preserve"> — los créditos verdes ya tienen tasa preferencial.</w:t>
      </w:r>
    </w:p>
    <w:p>
      <w:pPr>
        <w:pStyle w:val="ListBullet"/>
        <w:spacing w:before="0" w:after="40"/>
      </w:pPr>
      <w:r>
        <w:rPr>
          <w:b/>
          <w:color w:val="1A1A1A"/>
          <w:sz w:val="20"/>
        </w:rPr>
        <w:t>Trabajo remoto consolidado</w:t>
      </w:r>
      <w:r>
        <w:rPr>
          <w:color w:val="1A1A1A"/>
          <w:sz w:val="20"/>
        </w:rPr>
        <w:t xml:space="preserve"> = comprador VIS dispuesto a comprar en Sabaneta y trabajar fully remote desde allí. Cambia perfil de demanda.</w:t>
      </w:r>
    </w:p>
    <w:p>
      <w:pPr>
        <w:spacing w:before="280" w:after="60"/>
        <w:pBdr>
          <w:bottom w:val="single" w:sz="4" w:space="1" w:color="007AC3"/>
        </w:pBdr>
      </w:pPr>
      <w:r>
        <w:rPr>
          <w:b/>
          <w:color w:val="007AC3"/>
          <w:sz w:val="28"/>
        </w:rPr>
        <w:t>8. SÍNTESIS PARA LA LLAMADA</w:t>
      </w:r>
    </w:p>
    <w:p>
      <w:pPr>
        <w:spacing w:before="80" w:after="40"/>
      </w:pPr>
      <w:r>
        <w:rPr>
          <w:b/>
          <w:color w:val="1A2E4A"/>
          <w:sz w:val="20"/>
        </w:rPr>
        <w:t>Talking Point 1 — BIM y la brecha vs Conconcreto:</w:t>
      </w:r>
    </w:p>
    <w:p>
      <w:pPr>
        <w:spacing w:before="20" w:after="60"/>
      </w:pPr>
      <w:r>
        <w:rPr>
          <w:color w:val="1A1A1A"/>
          <w:sz w:val="20"/>
        </w:rPr>
        <w:t>"Conconcreto está usando BIM y empezando a integrarle IA — el aeropuerto El Dorado nuevo se planeó con esa combinación. Para una constructora del tamaño de Ascenso, alcanzarlos en BIM tradicional toma 3-5 años. Pero hay un atajo: implementar IA en el funnel comercial y en el control de obra sin pasar por años de migración BIM. ¿Hoy cómo están pensando ese gap tecnológico?"</w:t>
      </w:r>
    </w:p>
    <w:p>
      <w:pPr>
        <w:spacing w:before="80" w:after="40"/>
      </w:pPr>
      <w:r>
        <w:rPr>
          <w:b/>
          <w:color w:val="1A2E4A"/>
          <w:sz w:val="20"/>
        </w:rPr>
        <w:t>Talking Point 2 — Lo que nadie en VIS Antioquia hace todavía:</w:t>
      </w:r>
    </w:p>
    <w:p>
      <w:pPr>
        <w:spacing w:before="20" w:after="60"/>
      </w:pPr>
      <w:r>
        <w:rPr>
          <w:color w:val="1A1A1A"/>
          <w:sz w:val="20"/>
        </w:rPr>
        <w:t>"Mire algo interesante: ni Conconcreto, ni Capital, ni Bolívar tienen hoy un agente conversacional 24/7 por proyecto que conteste WhatsApp del comprador VIS preguntando '¿califico al subsidio?, ¿cuánto es la cuota inicial?'. Ese vacío competitivo está ahí. ¿Cuántos mensajes les llegan ustedes hoy por cada proyecto?"</w:t>
      </w:r>
    </w:p>
    <w:p>
      <w:pPr>
        <w:spacing w:before="80" w:after="40"/>
      </w:pPr>
      <w:r>
        <w:rPr>
          <w:b/>
          <w:color w:val="1A2E4A"/>
          <w:sz w:val="20"/>
        </w:rPr>
        <w:t>Talking Point 3 — Sostenibilidad como diferencial pendiente de monetizar:</w:t>
      </w:r>
    </w:p>
    <w:p>
      <w:pPr>
        <w:spacing w:before="20" w:after="60"/>
      </w:pPr>
      <w:r>
        <w:rPr>
          <w:color w:val="1A1A1A"/>
          <w:sz w:val="20"/>
        </w:rPr>
        <w:t>"Ustedes son miembros del CCCS — son una de las pocas constructoras medianas con bandera sostenible auténtica. Pero la pregunta es: ¿lo están usando como argumento de venta y de precio, o solo como cumplimiento gremial? Porque las grandes apenas están empezando a hablar de eso seriamente."</w:t>
      </w:r>
    </w:p>
    <w:p>
      <w:pPr>
        <w:spacing w:before="80" w:after="40"/>
      </w:pPr>
      <w:r>
        <w:rPr>
          <w:b/>
          <w:color w:val="1A2E4A"/>
          <w:sz w:val="20"/>
        </w:rPr>
        <w:t>Talking Point 4 — Coordinación de 6 ciudades sin sistema central:</w:t>
      </w:r>
    </w:p>
    <w:p>
      <w:pPr>
        <w:spacing w:before="20" w:after="60"/>
      </w:pPr>
      <w:r>
        <w:rPr>
          <w:color w:val="1A1A1A"/>
          <w:sz w:val="20"/>
        </w:rPr>
        <w:t>"Operan en Medellín, Sabaneta, Itagüí, Cartagena, Coveñas y Montería. Eso es una operación distribuida que las constructoras del tamaño de ustedes manejan típicamente con Excel + WhatsApp + correo. ¿Cómo consolidan hoy el avance de obra y el costo vs presupuesto? Porque si cada residente reporta por aparte, perder 1-3% de margen en costos no detectados es la norma del sector — y es completamente recuperable."</w:t>
      </w:r>
    </w:p>
    <w:p>
      <w:pPr>
        <w:spacing w:before="80" w:after="40"/>
      </w:pPr>
      <w:r>
        <w:rPr>
          <w:b/>
          <w:color w:val="1A2E4A"/>
          <w:sz w:val="20"/>
        </w:rPr>
        <w:t>Talking Point 5 — Urgencia de la ventana 2026-2027:</w:t>
      </w:r>
    </w:p>
    <w:p>
      <w:pPr>
        <w:spacing w:before="20" w:after="60"/>
      </w:pPr>
      <w:r>
        <w:rPr>
          <w:color w:val="1A1A1A"/>
          <w:sz w:val="20"/>
        </w:rPr>
        <w:t>"Las iniciaciones cayeron 17% en 2025 y se proyecta otro 26% de caída en 2026. Eso significa menos oferta nueva en 18 meses — quienes ya tienen proyectos en construcción ahora ganan, pero quienes consoliden eficiencia comercial y operacional en este momento van a salir mejor parados cuando el sector recupere. ¿Ustedes están en modo defensa o en modo posicionamiento para el rebote?"</w:t>
      </w:r>
    </w:p>
    <w:p>
      <w:pPr>
        <w:spacing w:before="280" w:after="60"/>
        <w:pBdr>
          <w:bottom w:val="single" w:sz="4" w:space="1" w:color="007AC3"/>
        </w:pBdr>
      </w:pPr>
      <w:r>
        <w:rPr>
          <w:b/>
          <w:color w:val="007AC3"/>
          <w:sz w:val="28"/>
        </w:rPr>
        <w:t>FUENTES CONSULTADAS</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2E4A"/>
          </w:tcPr>
          <w:p>
            <w:pPr>
              <w:spacing w:before="40" w:after="40"/>
            </w:pPr>
            <w:r>
              <w:rPr>
                <w:b/>
                <w:color w:val="FFFFFF"/>
                <w:sz w:val="18"/>
              </w:rPr>
              <w:t>Fuente</w:t>
            </w:r>
          </w:p>
        </w:tc>
        <w:tc>
          <w:tcPr>
            <w:tcW w:type="dxa" w:w="3022"/>
            <w:shd w:val="clear" w:color="auto" w:fill="1A2E4A"/>
          </w:tcPr>
          <w:p>
            <w:pPr>
              <w:spacing w:before="40" w:after="40"/>
            </w:pPr>
            <w:r>
              <w:rPr>
                <w:b/>
                <w:color w:val="FFFFFF"/>
                <w:sz w:val="18"/>
              </w:rPr>
              <w:t>URL/Referencia</w:t>
            </w:r>
          </w:p>
        </w:tc>
        <w:tc>
          <w:tcPr>
            <w:tcW w:type="dxa" w:w="3022"/>
            <w:shd w:val="clear" w:color="auto" w:fill="1A2E4A"/>
          </w:tcPr>
          <w:p>
            <w:pPr>
              <w:spacing w:before="40" w:after="40"/>
            </w:pPr>
            <w:r>
              <w:rPr>
                <w:b/>
                <w:color w:val="FFFFFF"/>
                <w:sz w:val="18"/>
              </w:rPr>
              <w:t>Información obtenida</w:t>
            </w:r>
          </w:p>
        </w:tc>
      </w:tr>
      <w:tr>
        <w:tc>
          <w:tcPr>
            <w:tcW w:type="dxa" w:w="3022"/>
            <w:shd w:val="clear" w:color="auto" w:fill="FFFFFF"/>
          </w:tcPr>
          <w:p>
            <w:pPr>
              <w:spacing w:before="40" w:after="40"/>
            </w:pPr>
            <w:r>
              <w:rPr>
                <w:color w:val="1A1A1A"/>
                <w:sz w:val="18"/>
              </w:rPr>
              <w:t>Constructora Capital</w:t>
            </w:r>
          </w:p>
        </w:tc>
        <w:tc>
          <w:tcPr>
            <w:tcW w:type="dxa" w:w="3022"/>
            <w:shd w:val="clear" w:color="auto" w:fill="FFFFFF"/>
          </w:tcPr>
          <w:p>
            <w:pPr>
              <w:spacing w:before="40" w:after="40"/>
            </w:pPr>
            <w:r>
              <w:rPr>
                <w:color w:val="1A1A1A"/>
                <w:sz w:val="18"/>
              </w:rPr>
              <w:t>constructoracapital.com + proyectos-vis-medellin/sabaneta</w:t>
            </w:r>
          </w:p>
        </w:tc>
        <w:tc>
          <w:tcPr>
            <w:tcW w:type="dxa" w:w="3022"/>
            <w:shd w:val="clear" w:color="auto" w:fill="FFFFFF"/>
          </w:tcPr>
          <w:p>
            <w:pPr>
              <w:spacing w:before="40" w:after="40"/>
            </w:pPr>
            <w:r>
              <w:rPr>
                <w:color w:val="1A1A1A"/>
                <w:sz w:val="18"/>
              </w:rPr>
              <w:t>Proyectos VIS en Sabaneta-Itagüí-Envigado</w:t>
            </w:r>
          </w:p>
        </w:tc>
      </w:tr>
      <w:tr>
        <w:tc>
          <w:tcPr>
            <w:tcW w:type="dxa" w:w="3022"/>
            <w:shd w:val="clear" w:color="auto" w:fill="EBF3FA"/>
          </w:tcPr>
          <w:p>
            <w:pPr>
              <w:spacing w:before="40" w:after="40"/>
            </w:pPr>
            <w:r>
              <w:rPr>
                <w:color w:val="1A1A1A"/>
                <w:sz w:val="18"/>
              </w:rPr>
              <w:t>Las2Orillas — perfil Capital</w:t>
            </w:r>
          </w:p>
        </w:tc>
        <w:tc>
          <w:tcPr>
            <w:tcW w:type="dxa" w:w="3022"/>
            <w:shd w:val="clear" w:color="auto" w:fill="EBF3FA"/>
          </w:tcPr>
          <w:p>
            <w:pPr>
              <w:spacing w:before="40" w:after="40"/>
            </w:pPr>
            <w:r>
              <w:rPr>
                <w:color w:val="1A1A1A"/>
                <w:sz w:val="18"/>
              </w:rPr>
              <w:t>las2orillas.co</w:t>
            </w:r>
          </w:p>
        </w:tc>
        <w:tc>
          <w:tcPr>
            <w:tcW w:type="dxa" w:w="3022"/>
            <w:shd w:val="clear" w:color="auto" w:fill="EBF3FA"/>
          </w:tcPr>
          <w:p>
            <w:pPr>
              <w:spacing w:before="40" w:after="40"/>
            </w:pPr>
            <w:r>
              <w:rPr>
                <w:color w:val="1A1A1A"/>
                <w:sz w:val="18"/>
              </w:rPr>
              <w:t>Fundadores Echeverri, 1992, +18% 2025, 8.000 unidades</w:t>
            </w:r>
          </w:p>
        </w:tc>
      </w:tr>
      <w:tr>
        <w:tc>
          <w:tcPr>
            <w:tcW w:type="dxa" w:w="3022"/>
            <w:shd w:val="clear" w:color="auto" w:fill="FFFFFF"/>
          </w:tcPr>
          <w:p>
            <w:pPr>
              <w:spacing w:before="40" w:after="40"/>
            </w:pPr>
            <w:r>
              <w:rPr>
                <w:color w:val="1A1A1A"/>
                <w:sz w:val="18"/>
              </w:rPr>
              <w:t>Constructora Bolívar</w:t>
            </w:r>
          </w:p>
        </w:tc>
        <w:tc>
          <w:tcPr>
            <w:tcW w:type="dxa" w:w="3022"/>
            <w:shd w:val="clear" w:color="auto" w:fill="FFFFFF"/>
          </w:tcPr>
          <w:p>
            <w:pPr>
              <w:spacing w:before="40" w:after="40"/>
            </w:pPr>
            <w:r>
              <w:rPr>
                <w:color w:val="1A1A1A"/>
                <w:sz w:val="18"/>
              </w:rPr>
              <w:t>constructorabolivar.com/nuestra-empresa</w:t>
            </w:r>
          </w:p>
        </w:tc>
        <w:tc>
          <w:tcPr>
            <w:tcW w:type="dxa" w:w="3022"/>
            <w:shd w:val="clear" w:color="auto" w:fill="FFFFFF"/>
          </w:tcPr>
          <w:p>
            <w:pPr>
              <w:spacing w:before="40" w:after="40"/>
            </w:pPr>
            <w:r>
              <w:rPr>
                <w:color w:val="1A1A1A"/>
                <w:sz w:val="18"/>
              </w:rPr>
              <w:t>Grupo Bolívar, #1 nacional, 28.170 unidades</w:t>
            </w:r>
          </w:p>
        </w:tc>
      </w:tr>
      <w:tr>
        <w:tc>
          <w:tcPr>
            <w:tcW w:type="dxa" w:w="3022"/>
            <w:shd w:val="clear" w:color="auto" w:fill="EBF3FA"/>
          </w:tcPr>
          <w:p>
            <w:pPr>
              <w:spacing w:before="40" w:after="40"/>
            </w:pPr>
            <w:r>
              <w:rPr>
                <w:color w:val="1A1A1A"/>
                <w:sz w:val="18"/>
              </w:rPr>
              <w:t>Conconcreto</w:t>
            </w:r>
          </w:p>
        </w:tc>
        <w:tc>
          <w:tcPr>
            <w:tcW w:type="dxa" w:w="3022"/>
            <w:shd w:val="clear" w:color="auto" w:fill="EBF3FA"/>
          </w:tcPr>
          <w:p>
            <w:pPr>
              <w:spacing w:before="40" w:after="40"/>
            </w:pPr>
            <w:r>
              <w:rPr>
                <w:color w:val="1A1A1A"/>
                <w:sz w:val="18"/>
              </w:rPr>
              <w:t>fincaraiz.com.co/constructoras/conconcreto + camacol.co</w:t>
            </w:r>
          </w:p>
        </w:tc>
        <w:tc>
          <w:tcPr>
            <w:tcW w:type="dxa" w:w="3022"/>
            <w:shd w:val="clear" w:color="auto" w:fill="EBF3FA"/>
          </w:tcPr>
          <w:p>
            <w:pPr>
              <w:spacing w:before="40" w:after="40"/>
            </w:pPr>
            <w:r>
              <w:rPr>
                <w:color w:val="1A1A1A"/>
                <w:sz w:val="18"/>
              </w:rPr>
              <w:t>Proyectos Sabaneta (Menta) e Itagüí (Nuevo Poblado), BIM corporativo</w:t>
            </w:r>
          </w:p>
        </w:tc>
      </w:tr>
      <w:tr>
        <w:tc>
          <w:tcPr>
            <w:tcW w:type="dxa" w:w="3022"/>
            <w:shd w:val="clear" w:color="auto" w:fill="FFFFFF"/>
          </w:tcPr>
          <w:p>
            <w:pPr>
              <w:spacing w:before="40" w:after="40"/>
            </w:pPr>
            <w:r>
              <w:rPr>
                <w:color w:val="1A1A1A"/>
                <w:sz w:val="18"/>
              </w:rPr>
              <w:t>Arquitectura y Concreto</w:t>
            </w:r>
          </w:p>
        </w:tc>
        <w:tc>
          <w:tcPr>
            <w:tcW w:type="dxa" w:w="3022"/>
            <w:shd w:val="clear" w:color="auto" w:fill="FFFFFF"/>
          </w:tcPr>
          <w:p>
            <w:pPr>
              <w:spacing w:before="40" w:after="40"/>
            </w:pPr>
            <w:r>
              <w:rPr>
                <w:color w:val="1A1A1A"/>
                <w:sz w:val="18"/>
              </w:rPr>
              <w:t>arquitecturayconcreto.com</w:t>
            </w:r>
          </w:p>
        </w:tc>
        <w:tc>
          <w:tcPr>
            <w:tcW w:type="dxa" w:w="3022"/>
            <w:shd w:val="clear" w:color="auto" w:fill="FFFFFF"/>
          </w:tcPr>
          <w:p>
            <w:pPr>
              <w:spacing w:before="40" w:after="40"/>
            </w:pPr>
            <w:r>
              <w:rPr>
                <w:color w:val="1A1A1A"/>
                <w:sz w:val="18"/>
              </w:rPr>
              <w:t>Proyectos Medellín-Envigado-Itagüí-Sabaneta</w:t>
            </w:r>
          </w:p>
        </w:tc>
      </w:tr>
      <w:tr>
        <w:tc>
          <w:tcPr>
            <w:tcW w:type="dxa" w:w="3022"/>
            <w:shd w:val="clear" w:color="auto" w:fill="EBF3FA"/>
          </w:tcPr>
          <w:p>
            <w:pPr>
              <w:spacing w:before="40" w:after="40"/>
            </w:pPr>
            <w:r>
              <w:rPr>
                <w:color w:val="1A1A1A"/>
                <w:sz w:val="18"/>
              </w:rPr>
              <w:t>Camacol — BIM + IA</w:t>
            </w:r>
          </w:p>
        </w:tc>
        <w:tc>
          <w:tcPr>
            <w:tcW w:type="dxa" w:w="3022"/>
            <w:shd w:val="clear" w:color="auto" w:fill="EBF3FA"/>
          </w:tcPr>
          <w:p>
            <w:pPr>
              <w:spacing w:before="40" w:after="40"/>
            </w:pPr>
            <w:r>
              <w:rPr>
                <w:color w:val="1A1A1A"/>
                <w:sz w:val="18"/>
              </w:rPr>
              <w:t>camacol.co/actualidad/publicaciones/revista-urbana/107/innovacion/bim-ia</w:t>
            </w:r>
          </w:p>
        </w:tc>
        <w:tc>
          <w:tcPr>
            <w:tcW w:type="dxa" w:w="3022"/>
            <w:shd w:val="clear" w:color="auto" w:fill="EBF3FA"/>
          </w:tcPr>
          <w:p>
            <w:pPr>
              <w:spacing w:before="40" w:after="40"/>
            </w:pPr>
            <w:r>
              <w:rPr>
                <w:color w:val="1A1A1A"/>
                <w:sz w:val="18"/>
              </w:rPr>
              <w:t>84% organizaciones sin iniciar IA, BIM como base</w:t>
            </w:r>
          </w:p>
        </w:tc>
      </w:tr>
      <w:tr>
        <w:tc>
          <w:tcPr>
            <w:tcW w:type="dxa" w:w="3022"/>
            <w:shd w:val="clear" w:color="auto" w:fill="FFFFFF"/>
          </w:tcPr>
          <w:p>
            <w:pPr>
              <w:spacing w:before="40" w:after="40"/>
            </w:pPr>
            <w:r>
              <w:rPr>
                <w:color w:val="1A1A1A"/>
                <w:sz w:val="18"/>
              </w:rPr>
              <w:t>El Colombiano — IA en construcción CO</w:t>
            </w:r>
          </w:p>
        </w:tc>
        <w:tc>
          <w:tcPr>
            <w:tcW w:type="dxa" w:w="3022"/>
            <w:shd w:val="clear" w:color="auto" w:fill="FFFFFF"/>
          </w:tcPr>
          <w:p>
            <w:pPr>
              <w:spacing w:before="40" w:after="40"/>
            </w:pPr>
            <w:r>
              <w:rPr>
                <w:color w:val="1A1A1A"/>
                <w:sz w:val="18"/>
              </w:rPr>
              <w:t>elcolombiano.com/negocios/construccion-colombia-inteligencia-artificial</w:t>
            </w:r>
          </w:p>
        </w:tc>
        <w:tc>
          <w:tcPr>
            <w:tcW w:type="dxa" w:w="3022"/>
            <w:shd w:val="clear" w:color="auto" w:fill="FFFFFF"/>
          </w:tcPr>
          <w:p>
            <w:pPr>
              <w:spacing w:before="40" w:after="40"/>
            </w:pPr>
            <w:r>
              <w:rPr>
                <w:color w:val="1A1A1A"/>
                <w:sz w:val="18"/>
              </w:rPr>
              <w:t>Ahorros hasta 30% costos</w:t>
            </w:r>
          </w:p>
        </w:tc>
      </w:tr>
      <w:tr>
        <w:tc>
          <w:tcPr>
            <w:tcW w:type="dxa" w:w="3022"/>
            <w:shd w:val="clear" w:color="auto" w:fill="EBF3FA"/>
          </w:tcPr>
          <w:p>
            <w:pPr>
              <w:spacing w:before="40" w:after="40"/>
            </w:pPr>
            <w:r>
              <w:rPr>
                <w:color w:val="1A1A1A"/>
                <w:sz w:val="18"/>
              </w:rPr>
              <w:t>Camacol — Balance 2025</w:t>
            </w:r>
          </w:p>
        </w:tc>
        <w:tc>
          <w:tcPr>
            <w:tcW w:type="dxa" w:w="3022"/>
            <w:shd w:val="clear" w:color="auto" w:fill="EBF3FA"/>
          </w:tcPr>
          <w:p>
            <w:pPr>
              <w:spacing w:before="40" w:after="40"/>
            </w:pPr>
            <w:r>
              <w:rPr>
                <w:color w:val="1A1A1A"/>
                <w:sz w:val="18"/>
              </w:rPr>
              <w:t>camacolbyc.co</w:t>
            </w:r>
          </w:p>
        </w:tc>
        <w:tc>
          <w:tcPr>
            <w:tcW w:type="dxa" w:w="3022"/>
            <w:shd w:val="clear" w:color="auto" w:fill="EBF3FA"/>
          </w:tcPr>
          <w:p>
            <w:pPr>
              <w:spacing w:before="40" w:after="40"/>
            </w:pPr>
            <w:r>
              <w:rPr>
                <w:color w:val="1A1A1A"/>
                <w:sz w:val="18"/>
              </w:rPr>
              <w:t>174.000 viviendas vendidas, +12.4%</w:t>
            </w:r>
          </w:p>
        </w:tc>
      </w:tr>
      <w:tr>
        <w:tc>
          <w:tcPr>
            <w:tcW w:type="dxa" w:w="3022"/>
            <w:shd w:val="clear" w:color="auto" w:fill="FFFFFF"/>
          </w:tcPr>
          <w:p>
            <w:pPr>
              <w:spacing w:before="40" w:after="40"/>
            </w:pPr>
            <w:r>
              <w:rPr>
                <w:color w:val="1A1A1A"/>
                <w:sz w:val="18"/>
              </w:rPr>
              <w:t>El Tiempo — paradoja vivienda 2025</w:t>
            </w:r>
          </w:p>
        </w:tc>
        <w:tc>
          <w:tcPr>
            <w:tcW w:type="dxa" w:w="3022"/>
            <w:shd w:val="clear" w:color="auto" w:fill="FFFFFF"/>
          </w:tcPr>
          <w:p>
            <w:pPr>
              <w:spacing w:before="40" w:after="40"/>
            </w:pPr>
            <w:r>
              <w:rPr>
                <w:color w:val="1A1A1A"/>
                <w:sz w:val="18"/>
              </w:rPr>
              <w:t>eltiempo.com</w:t>
            </w:r>
          </w:p>
        </w:tc>
        <w:tc>
          <w:tcPr>
            <w:tcW w:type="dxa" w:w="3022"/>
            <w:shd w:val="clear" w:color="auto" w:fill="FFFFFF"/>
          </w:tcPr>
          <w:p>
            <w:pPr>
              <w:spacing w:before="40" w:after="40"/>
            </w:pPr>
            <w:r>
              <w:rPr>
                <w:color w:val="1A1A1A"/>
                <w:sz w:val="18"/>
              </w:rPr>
              <w:t>-17.4% iniciaciones, proyección -26.5% en 2026</w:t>
            </w:r>
          </w:p>
        </w:tc>
      </w:tr>
      <w:tr>
        <w:tc>
          <w:tcPr>
            <w:tcW w:type="dxa" w:w="3022"/>
            <w:shd w:val="clear" w:color="auto" w:fill="EBF3FA"/>
          </w:tcPr>
          <w:p>
            <w:pPr>
              <w:spacing w:before="40" w:after="40"/>
            </w:pPr>
            <w:r>
              <w:rPr>
                <w:color w:val="1A1A1A"/>
                <w:sz w:val="18"/>
              </w:rPr>
              <w:t>Reporte company-analyst</w:t>
            </w:r>
          </w:p>
        </w:tc>
        <w:tc>
          <w:tcPr>
            <w:tcW w:type="dxa" w:w="3022"/>
            <w:shd w:val="clear" w:color="auto" w:fill="EBF3FA"/>
          </w:tcPr>
          <w:p>
            <w:pPr>
              <w:spacing w:before="40" w:after="40"/>
            </w:pPr>
            <w:r>
              <w:rPr>
                <w:color w:val="1A1A1A"/>
                <w:sz w:val="18"/>
              </w:rPr>
              <w:t>BodaiFoods_AnalisisCompania (no, Ascenso)</w:t>
            </w:r>
          </w:p>
        </w:tc>
        <w:tc>
          <w:tcPr>
            <w:tcW w:type="dxa" w:w="3022"/>
            <w:shd w:val="clear" w:color="auto" w:fill="EBF3FA"/>
          </w:tcPr>
          <w:p>
            <w:pPr>
              <w:spacing w:before="40" w:after="40"/>
            </w:pPr>
            <w:r>
              <w:rPr>
                <w:color w:val="1A1A1A"/>
                <w:sz w:val="18"/>
              </w:rPr>
              <w:t>Base de comparación</w:t>
            </w:r>
          </w:p>
        </w:tc>
      </w:tr>
    </w:tbl>
    <w:p/>
    <w:p>
      <w:pPr>
        <w:spacing w:before="20" w:after="60"/>
      </w:pPr>
      <w:r>
        <w:rPr>
          <w:color w:val="1A1A1A"/>
          <w:sz w:val="20"/>
        </w:rPr>
        <w:t>Reporte generado por /competitor-analyst · Nexostrat · 2026-05-17</w:t>
      </w:r>
    </w:p>
    <w:sectPr w:rsidR="00FC693F" w:rsidRPr="0006063C" w:rsidSect="00034616">
      <w:footerReference w:type="default" r:id="rId9"/>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577"/>
        <w:sz w:val="16"/>
      </w:rPr>
      <w:t>Nexostrat — Análisis Competitivo Interno — May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