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00" w:before="0"/>
      </w:pPr>
      <w:r>
        <w:rPr>
          <w:rFonts w:ascii="Inter" w:cs="Inter" w:eastAsia="Inter" w:hAnsi="Inter"/>
          <w:b/>
          <w:bCs/>
          <w:color w:val="6B7280"/>
          <w:sz w:val="36"/>
          <w:szCs w:val="36"/>
        </w:rPr>
        <w:t xml:space="preserve">NEXOSTRAT</w:t>
      </w:r>
    </w:p>
    <w:p>
      <w:pPr>
        <w:spacing w:after="160" w:before="0"/>
      </w:pPr>
      <w:r>
        <w:rPr>
          <w:rFonts w:ascii="Inter" w:cs="Inter" w:eastAsia="Inter" w:hAnsi="Inter"/>
          <w:b/>
          <w:bCs/>
          <w:color w:val="0C1A2E"/>
          <w:sz w:val="48"/>
          <w:szCs w:val="48"/>
        </w:rPr>
        <w:t xml:space="preserve">Diagnóstico de Oportunidades de IA</w:t>
      </w:r>
    </w:p>
    <w:p>
      <w:pPr>
        <w:spacing w:after="200" w:before="0"/>
      </w:pPr>
      <w:r>
        <w:rPr>
          <w:rFonts w:ascii="Inter" w:cs="Inter" w:eastAsia="Inter" w:hAnsi="Inter"/>
          <w:b/>
          <w:bCs/>
          <w:color w:val="10B981"/>
          <w:sz w:val="36"/>
          <w:szCs w:val="36"/>
        </w:rPr>
        <w:t xml:space="preserve">Grupo Trixx</w:t>
      </w:r>
    </w:p>
    <w:p>
      <w:pPr>
        <w:pBdr>
          <w:bottom w:val="single" w:color="D1D5DB" w:sz="4" w:space="1"/>
        </w:pBdr>
        <w:spacing w:after="120" w:before="120"/>
      </w:pPr>
    </w:p>
    <w:p>
      <w:pPr>
        <w:spacing w:after="60" w:before="60"/>
      </w:pPr>
      <w:r>
        <w:rPr>
          <w:rFonts w:ascii="Inter" w:cs="Inter" w:eastAsia="Inter" w:hAnsi="Inter"/>
          <w:b/>
          <w:bCs/>
          <w:color w:val="0C1A2E"/>
          <w:sz w:val="22"/>
          <w:szCs w:val="22"/>
        </w:rPr>
        <w:t xml:space="preserve">Preparado por: </w:t>
      </w:r>
      <w:r>
        <w:rPr>
          <w:rFonts w:ascii="Inter" w:cs="Inter" w:eastAsia="Inter" w:hAnsi="Inter"/>
          <w:color w:val="1F2937"/>
          <w:sz w:val="22"/>
          <w:szCs w:val="22"/>
        </w:rPr>
        <w:t xml:space="preserve">Ricardo Mejía</w:t>
      </w:r>
    </w:p>
    <w:p>
      <w:pPr>
        <w:spacing w:after="60" w:before="60"/>
      </w:pPr>
      <w:r>
        <w:rPr>
          <w:rFonts w:ascii="Inter" w:cs="Inter" w:eastAsia="Inter" w:hAnsi="Inter"/>
          <w:b/>
          <w:bCs/>
          <w:color w:val="0C1A2E"/>
          <w:sz w:val="22"/>
          <w:szCs w:val="22"/>
        </w:rPr>
        <w:t xml:space="preserve">Fecha: </w:t>
      </w:r>
      <w:r>
        <w:rPr>
          <w:rFonts w:ascii="Inter" w:cs="Inter" w:eastAsia="Inter" w:hAnsi="Inter"/>
          <w:color w:val="1F2937"/>
          <w:sz w:val="22"/>
          <w:szCs w:val="22"/>
        </w:rPr>
        <w:t xml:space="preserve">28 de mayo de 2026</w:t>
      </w:r>
    </w:p>
    <w:p>
      <w:pPr>
        <w:spacing w:after="60" w:before="60"/>
      </w:pPr>
      <w:r>
        <w:rPr>
          <w:rFonts w:ascii="Inter" w:cs="Inter" w:eastAsia="Inter" w:hAnsi="Inter"/>
          <w:b/>
          <w:bCs/>
          <w:color w:val="0C1A2E"/>
          <w:sz w:val="22"/>
          <w:szCs w:val="22"/>
        </w:rPr>
        <w:t xml:space="preserve">Contacto: </w:t>
      </w:r>
      <w:r>
        <w:rPr>
          <w:rFonts w:ascii="Inter" w:cs="Inter" w:eastAsia="Inter" w:hAnsi="Inter"/>
          <w:color w:val="1F2937"/>
          <w:sz w:val="22"/>
          <w:szCs w:val="22"/>
        </w:rPr>
        <w:t xml:space="preserve">[correo por confirmar]  ·  [WhatsApp por confirmar]</w:t>
      </w:r>
    </w:p>
    <w:p>
      <w:pPr>
        <w:spacing w:after="1440" w:before="0"/>
      </w:pPr>
    </w:p>
    <w:p>
      <w:r>
        <w:br w:type="page"/>
      </w:r>
    </w:p>
    <w:p>
      <w:pPr>
        <w:pStyle w:val="Heading1"/>
        <w:spacing w:after="140" w:before="280"/>
        <w:jc w:val="left"/>
      </w:pPr>
      <w:r>
        <w:rPr>
          <w:rFonts w:ascii="Inter" w:cs="Inter" w:eastAsia="Inter" w:hAnsi="Inter"/>
          <w:b/>
          <w:bCs/>
          <w:color w:val="0C1A2E"/>
          <w:sz w:val="32"/>
          <w:szCs w:val="32"/>
        </w:rPr>
        <w:t xml:space="preserve">1. Resumen Ejecutivo</w:t>
      </w:r>
    </w:p>
    <w:p>
      <w:pPr>
        <w:spacing w:after="80" w:before="80"/>
        <w:jc w:val="left"/>
      </w:pPr>
      <w:r>
        <w:rPr>
          <w:rFonts w:ascii="Inter" w:cs="Inter" w:eastAsia="Inter" w:hAnsi="Inter"/>
          <w:color w:val="1F2937"/>
          <w:sz w:val="22"/>
          <w:szCs w:val="22"/>
        </w:rPr>
        <w:t xml:space="preserve">El presente reporte documenta los resultados del diagnóstico de oportunidades de inteligencia artificial realizado para Grupo Trixx. En el proceso analizamos la empresa en su contexto de industria, estudiamos a sus competidores directos y, lo más importante, conversamos directamente con el equipo para entender los dolores operativos desde adentro. Lo que encontramos no son oportunidades genéricas de "adoptar IA" — son iniciativas específicas, vinculadas a problemas concretos que Grupo Trixx enfrenta hoy, con beneficios cuantificables y un punto de entrada claro.</w:t>
      </w:r>
    </w:p>
    <w:p>
      <w:pPr>
        <w:spacing w:after="120" w:before="0"/>
      </w:pPr>
    </w:p>
    <w:p>
      <w:pPr>
        <w:pStyle w:val="Heading2"/>
        <w:spacing w:after="100" w:before="200"/>
        <w:jc w:val="left"/>
      </w:pPr>
      <w:r>
        <w:rPr>
          <w:rFonts w:ascii="Inter" w:cs="Inter" w:eastAsia="Inter" w:hAnsi="Inter"/>
          <w:b/>
          <w:bCs/>
          <w:color w:val="0C1A2E"/>
          <w:sz w:val="26"/>
          <w:szCs w:val="26"/>
        </w:rPr>
        <w:t xml:space="preserve">Hallazgos principales</w:t>
      </w:r>
    </w:p>
    <w:p>
      <w:pPr>
        <w:pStyle w:val="ListParagraph"/>
        <w:numPr>
          <w:ilvl w:val="0"/>
          <w:numId w:val="2"/>
        </w:numPr>
        <w:spacing w:after="60" w:before="60"/>
      </w:pPr>
      <w:r>
        <w:rPr>
          <w:rFonts w:ascii="Inter" w:cs="Inter" w:eastAsia="Inter" w:hAnsi="Inter"/>
          <w:color w:val="1F2937"/>
          <w:sz w:val="22"/>
          <w:szCs w:val="22"/>
        </w:rPr>
        <w:t xml:space="preserve">La información existe, pero no se puede recuperar a tiempo: La información operativa está fragmentada en Excel personales y grupos de WhatsApp. La decisora termina consolidando a mano lo que debería p</w:t>
      </w:r>
    </w:p>
    <w:p>
      <w:pPr>
        <w:pStyle w:val="ListParagraph"/>
        <w:numPr>
          <w:ilvl w:val="0"/>
          <w:numId w:val="2"/>
        </w:numPr>
        <w:spacing w:after="60" w:before="60"/>
      </w:pPr>
      <w:r>
        <w:rPr>
          <w:rFonts w:ascii="Inter" w:cs="Inter" w:eastAsia="Inter" w:hAnsi="Inter"/>
          <w:color w:val="1F2937"/>
          <w:sz w:val="22"/>
          <w:szCs w:val="22"/>
        </w:rPr>
        <w:t xml:space="preserve">Cientos de correos sin filtrar, con dinero en juego: Las navieras, terminales y brokers se comunican exclusivamente por correo. La bandeja se acumula a cientos por fin de semana y los correos q</w:t>
      </w:r>
    </w:p>
    <w:p>
      <w:pPr>
        <w:pStyle w:val="ListParagraph"/>
        <w:numPr>
          <w:ilvl w:val="0"/>
          <w:numId w:val="2"/>
        </w:numPr>
        <w:spacing w:after="60" w:before="60"/>
      </w:pPr>
      <w:r>
        <w:rPr>
          <w:rFonts w:ascii="Inter" w:cs="Inter" w:eastAsia="Inter" w:hAnsi="Inter"/>
          <w:color w:val="1F2937"/>
          <w:sz w:val="22"/>
          <w:szCs w:val="22"/>
        </w:rPr>
        <w:t xml:space="preserve">Tareas repetitivas que roban tiempo a gente valiosa: Información que llega en hojas a mano o en un Excel se vuelve a teclear manualmente en otro documento (por ejemplo, la captura que termina s</w:t>
      </w:r>
    </w:p>
    <w:p>
      <w:pPr>
        <w:pStyle w:val="ListParagraph"/>
        <w:numPr>
          <w:ilvl w:val="0"/>
          <w:numId w:val="2"/>
        </w:numPr>
        <w:spacing w:after="60" w:before="60"/>
      </w:pPr>
      <w:r>
        <w:rPr>
          <w:rFonts w:ascii="Inter" w:cs="Inter" w:eastAsia="Inter" w:hAnsi="Inter"/>
          <w:color w:val="1F2937"/>
          <w:sz w:val="22"/>
          <w:szCs w:val="22"/>
        </w:rPr>
        <w:t xml:space="preserve">Ocho plataformas que no se hablan entre sí: Trixx ya invirtió en herramientas (Tracking Premium, Samsara, Monday, McKinney, correo en migración), pero operan como islas. La información</w:t>
      </w:r>
    </w:p>
    <w:p>
      <w:pPr>
        <w:pStyle w:val="ListParagraph"/>
        <w:numPr>
          <w:ilvl w:val="0"/>
          <w:numId w:val="2"/>
        </w:numPr>
        <w:spacing w:after="60" w:before="60"/>
      </w:pPr>
      <w:r>
        <w:rPr>
          <w:rFonts w:ascii="Inter" w:cs="Inter" w:eastAsia="Inter" w:hAnsi="Inter"/>
          <w:color w:val="1F2937"/>
          <w:sz w:val="22"/>
          <w:szCs w:val="22"/>
        </w:rPr>
        <w:t xml:space="preserve">Sin expediente de los activos, justo cuando la flota se duplica: Con 120+ vehículos y 10 camiones nuevos entrando, no hay una hoja de vida por unidad. No se detecta a tiempo cuándo una unidad ya costó más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Punto de entrada recomendado</w:t>
            </w:r>
          </w:p>
          <w:p>
            <w:pPr>
              <w:spacing w:after="0" w:before="0"/>
            </w:pPr>
            <w:r>
              <w:rPr>
                <w:rFonts w:ascii="Inter" w:cs="Inter" w:eastAsia="Inter" w:hAnsi="Inter"/>
                <w:i w:val="false"/>
                <w:iCs w:val="false"/>
                <w:color w:val="1F2937"/>
                <w:sz w:val="21"/>
                <w:szCs w:val="21"/>
              </w:rPr>
              <w:t xml:space="preserve">Quick Wins identificados: Asistente de WhatsApp que organiza la información y Documentos vivos con un tablero maestro. Impacto alto, implementación en semanas. Estas iniciativas están diseñadas para generar resultados visibles en las primeras 4-6 semanas de implementación.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0C1A2E" w:val="clear"/>
            <w:tcMar>
              <w:top w:type="dxa" w:w="80"/>
              <w:left w:type="dxa" w:w="120"/>
              <w:bottom w:type="dxa" w:w="80"/>
              <w:right w:type="dxa" w:w="120"/>
            </w:tcMar>
          </w:tcPr>
          <w:p>
            <w:r>
              <w:rPr>
                <w:rFonts w:ascii="Inter" w:cs="Inter" w:eastAsia="Inter" w:hAnsi="Inter"/>
                <w:b/>
                <w:bCs/>
                <w:color w:val="FFFFFF"/>
                <w:sz w:val="20"/>
                <w:szCs w:val="20"/>
              </w:rPr>
              <w:t xml:space="preserve">Indicador</w:t>
            </w:r>
          </w:p>
        </w:tc>
        <w:tc>
          <w:tcPr>
            <w:tcW w:type="dxa" w:w="4360"/>
            <w:shd w:fill="0C1A2E" w:val="clear"/>
            <w:tcMar>
              <w:top w:type="dxa" w:w="80"/>
              <w:left w:type="dxa" w:w="120"/>
              <w:bottom w:type="dxa" w:w="80"/>
              <w:right w:type="dxa" w:w="120"/>
            </w:tcMar>
          </w:tcPr>
          <w:p>
            <w:r>
              <w:rPr>
                <w:rFonts w:ascii="Inter" w:cs="Inter" w:eastAsia="Inter" w:hAnsi="Inter"/>
                <w:b/>
                <w:bCs/>
                <w:color w:val="FFFFFF"/>
                <w:sz w:val="20"/>
                <w:szCs w:val="20"/>
              </w:rPr>
              <w:t xml:space="preserve">Resultado</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Problemas críticos identificados</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5</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Oportunidades de IA priorizadas</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6</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Iniciativas Quick Win</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2</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Valor total del roadmap</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USD 73,000</w:t>
            </w:r>
          </w:p>
        </w:tc>
      </w:tr>
      <w:tr>
        <w:tc>
          <w:tcPr>
            <w:tcW w:type="dxa" w:w="5000"/>
            <w:tcBorders>
              <w:bottom w:val="single" w:color="D1D5DB" w:sz="1"/>
            </w:tcBorders>
            <w:tcMar>
              <w:top w:type="dxa" w:w="80"/>
              <w:left w:type="dxa" w:w="120"/>
              <w:bottom w:type="dxa" w:w="80"/>
              <w:right w:type="dxa" w:w="120"/>
            </w:tcMar>
          </w:tcPr>
          <w:p>
            <w:r>
              <w:rPr>
                <w:rFonts w:ascii="Inter" w:cs="Inter" w:eastAsia="Inter" w:hAnsi="Inter"/>
                <w:b w:val="false"/>
                <w:bCs w:val="false"/>
                <w:color w:val="6B7280"/>
                <w:sz w:val="21"/>
                <w:szCs w:val="21"/>
              </w:rPr>
              <w:t xml:space="preserve">Iniciativa de entrada sugerida</w:t>
            </w:r>
          </w:p>
        </w:tc>
        <w:tc>
          <w:tcPr>
            <w:tcW w:type="dxa" w:w="4360"/>
            <w:tcBorders>
              <w:bottom w:val="single" w:color="D1D5DB" w:sz="1"/>
            </w:tcBorders>
            <w:tcMar>
              <w:top w:type="dxa" w:w="80"/>
              <w:left w:type="dxa" w:w="120"/>
              <w:bottom w:type="dxa" w:w="80"/>
              <w:right w:type="dxa" w:w="120"/>
            </w:tcMar>
          </w:tcPr>
          <w:p>
            <w:r>
              <w:rPr>
                <w:rFonts w:ascii="Inter" w:cs="Inter" w:eastAsia="Inter" w:hAnsi="Inter"/>
                <w:b/>
                <w:bCs/>
                <w:color w:val="0C1A2E"/>
                <w:sz w:val="21"/>
                <w:szCs w:val="21"/>
              </w:rPr>
              <w:t xml:space="preserve">Asistente de WhatsApp que organiza la información</w:t>
            </w:r>
          </w:p>
        </w:tc>
      </w:tr>
    </w:tbl>
    <w:p>
      <w:pPr>
        <w:spacing w:after="80" w:before="0"/>
      </w:pPr>
    </w:p>
    <w:p>
      <w:pPr>
        <w:spacing w:after="80" w:before="80"/>
        <w:jc w:val="left"/>
      </w:pPr>
      <w:r>
        <w:rPr>
          <w:rFonts w:ascii="Inter" w:cs="Inter" w:eastAsia="Inter" w:hAnsi="Inter"/>
          <w:i/>
          <w:iCs/>
          <w:color w:val="1F2937"/>
          <w:sz w:val="22"/>
          <w:szCs w:val="22"/>
        </w:rPr>
        <w:t xml:space="preserve">Este reporte está organizado en diez secciones. Las secciones 5 y 6 son el corazón del diagnóstico: los problemas con su costo de inacción y las oportunidades con su beneficio esperado. La sección 8 presenta la hoja de ruta completa y la sección 9 la propuesta comercial para iniciar el Ciclo 2.</w:t>
      </w:r>
    </w:p>
    <w:p>
      <w:r>
        <w:br w:type="page"/>
      </w:r>
    </w:p>
    <w:p>
      <w:pPr>
        <w:pStyle w:val="Heading1"/>
        <w:spacing w:after="140" w:before="280"/>
        <w:jc w:val="left"/>
      </w:pPr>
      <w:r>
        <w:rPr>
          <w:rFonts w:ascii="Inter" w:cs="Inter" w:eastAsia="Inter" w:hAnsi="Inter"/>
          <w:b/>
          <w:bCs/>
          <w:color w:val="0C1A2E"/>
          <w:sz w:val="32"/>
          <w:szCs w:val="32"/>
        </w:rPr>
        <w:t xml:space="preserve">2. Metodología del Diagnóstico</w:t>
      </w:r>
    </w:p>
    <w:p>
      <w:pPr>
        <w:spacing w:after="80" w:before="80"/>
        <w:jc w:val="left"/>
      </w:pPr>
      <w:r>
        <w:rPr>
          <w:rFonts w:ascii="Inter" w:cs="Inter" w:eastAsia="Inter" w:hAnsi="Inter"/>
          <w:color w:val="1F2937"/>
          <w:sz w:val="22"/>
          <w:szCs w:val="22"/>
        </w:rPr>
        <w:t xml:space="preserve">Para llegar a las recomendaciones de este reporte ejecutamos un proceso de análisis en cuatro pasos:</w:t>
      </w:r>
    </w:p>
    <w:p>
      <w:pPr>
        <w:spacing w:after="80" w:before="0"/>
      </w:pPr>
    </w:p>
    <w:p>
      <w:pPr>
        <w:spacing w:after="60" w:before="60"/>
      </w:pPr>
      <w:r>
        <w:rPr>
          <w:rFonts w:ascii="Inter" w:cs="Inter" w:eastAsia="Inter" w:hAnsi="Inter"/>
          <w:b/>
          <w:bCs/>
          <w:color w:val="0C1A2E"/>
          <w:sz w:val="22"/>
          <w:szCs w:val="22"/>
        </w:rPr>
        <w:t xml:space="preserve">1. Análisis de la empresa: </w:t>
      </w:r>
      <w:r>
        <w:rPr>
          <w:rFonts w:ascii="Inter" w:cs="Inter" w:eastAsia="Inter" w:hAnsi="Inter"/>
          <w:color w:val="1F2937"/>
          <w:sz w:val="22"/>
          <w:szCs w:val="22"/>
        </w:rPr>
        <w:t xml:space="preserve">Estudiamos el perfil de Grupo Trixx: su modelo de negocio, tecnología actual, estructura y posición en el mercado.</w:t>
      </w:r>
    </w:p>
    <w:p>
      <w:pPr>
        <w:spacing w:after="60" w:before="0"/>
      </w:pPr>
    </w:p>
    <w:p>
      <w:pPr>
        <w:spacing w:after="60" w:before="60"/>
      </w:pPr>
      <w:r>
        <w:rPr>
          <w:rFonts w:ascii="Inter" w:cs="Inter" w:eastAsia="Inter" w:hAnsi="Inter"/>
          <w:b/>
          <w:bCs/>
          <w:color w:val="0C1A2E"/>
          <w:sz w:val="22"/>
          <w:szCs w:val="22"/>
        </w:rPr>
        <w:t xml:space="preserve">2. Análisis de la industria: </w:t>
      </w:r>
      <w:r>
        <w:rPr>
          <w:rFonts w:ascii="Inter" w:cs="Inter" w:eastAsia="Inter" w:hAnsi="Inter"/>
          <w:color w:val="1F2937"/>
          <w:sz w:val="22"/>
          <w:szCs w:val="22"/>
        </w:rPr>
        <w:t xml:space="preserve">Analizamos las tendencias del sector, el nivel de adopción de IA entre empresas similares y los benchmarks de eficiencia disponibles.</w:t>
      </w:r>
    </w:p>
    <w:p>
      <w:pPr>
        <w:spacing w:after="60" w:before="0"/>
      </w:pPr>
    </w:p>
    <w:p>
      <w:pPr>
        <w:spacing w:after="60" w:before="60"/>
      </w:pPr>
      <w:r>
        <w:rPr>
          <w:rFonts w:ascii="Inter" w:cs="Inter" w:eastAsia="Inter" w:hAnsi="Inter"/>
          <w:b/>
          <w:bCs/>
          <w:color w:val="0C1A2E"/>
          <w:sz w:val="22"/>
          <w:szCs w:val="22"/>
        </w:rPr>
        <w:t xml:space="preserve">3. Análisis competitivo: </w:t>
      </w:r>
      <w:r>
        <w:rPr>
          <w:rFonts w:ascii="Inter" w:cs="Inter" w:eastAsia="Inter" w:hAnsi="Inter"/>
          <w:color w:val="1F2937"/>
          <w:sz w:val="22"/>
          <w:szCs w:val="22"/>
        </w:rPr>
        <w:t xml:space="preserve">Identificamos qué están haciendo los competidores directos en materia de digitalización e IA, y dónde existen brechas que se pueden capitalizar.</w:t>
      </w:r>
    </w:p>
    <w:p>
      <w:pPr>
        <w:spacing w:after="60" w:before="0"/>
      </w:pPr>
    </w:p>
    <w:p>
      <w:pPr>
        <w:spacing w:after="60" w:before="60"/>
      </w:pPr>
      <w:r>
        <w:rPr>
          <w:rFonts w:ascii="Inter" w:cs="Inter" w:eastAsia="Inter" w:hAnsi="Inter"/>
          <w:b/>
          <w:bCs/>
          <w:color w:val="0C1A2E"/>
          <w:sz w:val="22"/>
          <w:szCs w:val="22"/>
        </w:rPr>
        <w:t xml:space="preserve">4. Llamada de descubrimiento: </w:t>
      </w:r>
      <w:r>
        <w:rPr>
          <w:rFonts w:ascii="Inter" w:cs="Inter" w:eastAsia="Inter" w:hAnsi="Inter"/>
          <w:color w:val="1F2937"/>
          <w:sz w:val="22"/>
          <w:szCs w:val="22"/>
        </w:rPr>
        <w:t xml:space="preserve">Conversación directa con el equipo de Grupo Trixx para entender los dolores operativos, las prioridades y la visión de futuro desde adentro.</w:t>
      </w:r>
    </w:p>
    <w:p>
      <w:pPr>
        <w:spacing w:after="60" w:before="0"/>
      </w:pPr>
    </w:p>
    <w:p>
      <w:pPr>
        <w:spacing w:after="80" w:before="80"/>
        <w:jc w:val="left"/>
      </w:pPr>
      <w:r>
        <w:rPr>
          <w:rFonts w:ascii="Inter" w:cs="Inter" w:eastAsia="Inter" w:hAnsi="Inter"/>
          <w:i/>
          <w:iCs/>
          <w:color w:val="1F2937"/>
          <w:sz w:val="22"/>
          <w:szCs w:val="22"/>
        </w:rPr>
        <w:t xml:space="preserve">Este proceso nos permite hacer recomendaciones específicas para esta empresa, no genéricas. Cada oportunidad identificada en este reporte tiene evidencia directa en uno o más de los cuatro pasos anteriores.</w:t>
      </w:r>
    </w:p>
    <w:p>
      <w:r>
        <w:br w:type="page"/>
      </w:r>
    </w:p>
    <w:p>
      <w:pPr>
        <w:pStyle w:val="Heading1"/>
        <w:spacing w:after="140" w:before="280"/>
        <w:jc w:val="left"/>
      </w:pPr>
      <w:r>
        <w:rPr>
          <w:rFonts w:ascii="Inter" w:cs="Inter" w:eastAsia="Inter" w:hAnsi="Inter"/>
          <w:b/>
          <w:bCs/>
          <w:color w:val="0C1A2E"/>
          <w:sz w:val="32"/>
          <w:szCs w:val="32"/>
        </w:rPr>
        <w:t xml:space="preserve">3. Tu Empresa Hoy</w:t>
      </w:r>
    </w:p>
    <w:p>
      <w:pPr>
        <w:spacing w:after="80" w:before="80"/>
        <w:jc w:val="left"/>
      </w:pPr>
      <w:r>
        <w:rPr>
          <w:rFonts w:ascii="Inter" w:cs="Inter" w:eastAsia="Inter" w:hAnsi="Inter"/>
          <w:color w:val="1F2937"/>
          <w:sz w:val="22"/>
          <w:szCs w:val="22"/>
        </w:rPr>
        <w:t xml:space="preserve">Grupo Trixx es una operación de logística cross-border entre México y Estados Unidos construida durante 24 años, eslabón por eslabón. Hoy maneja la cadena completa: agencia aduanal, brokerage, transporte terrestre con flota propia, almacenaje, distribución y paquetería de última milla. La operación se reparte en cinco sedes: Tijuana (oficina central y agencia aduanal), Guadalajara (centro de distribución), Ciudad de México, y del lado estadounidense Vernon (zona Los Ángeles) y San Diego.
La compañía acaba de dar un salto de escala: invirtió más de un millón de dólares en duplicar su capacidad, con 10 camiones nuevos y 30 cajas adicionales. El corredor principal mueve contenedores desde Long Beach hasta la bodega de Vernon, y de ahí cruzan a México rumbo a Guadalajara y Ciudad de México, con rutas nuevas abriéndose por Houston y Monterrey.
La operación física ya está. Lo que sigue es la capa de información que la sostenga mientras crece: hoy esa información existe, pero está repartida entre muchos grupos de WhatsApp, hojas de Excel personales y ocho plataformas que no se hablan entre sí.</w:t>
      </w:r>
    </w:p>
    <w:p>
      <w:pPr>
        <w:spacing w:after="100" w:before="0"/>
      </w:pPr>
    </w:p>
    <w:p>
      <w:pPr>
        <w:pStyle w:val="Heading2"/>
        <w:spacing w:after="100" w:before="200"/>
        <w:jc w:val="left"/>
      </w:pPr>
      <w:r>
        <w:rPr>
          <w:rFonts w:ascii="Inter" w:cs="Inter" w:eastAsia="Inter" w:hAnsi="Inter"/>
          <w:b/>
          <w:bCs/>
          <w:color w:val="0C1A2E"/>
          <w:sz w:val="26"/>
          <w:szCs w:val="26"/>
        </w:rPr>
        <w:t xml:space="preserve">Indicadores clave</w:t>
      </w:r>
    </w:p>
    <w:p>
      <w:pPr>
        <w:pStyle w:val="ListParagraph"/>
        <w:numPr>
          <w:ilvl w:val="0"/>
          <w:numId w:val="2"/>
        </w:numPr>
        <w:spacing w:after="60" w:before="60"/>
      </w:pPr>
      <w:r>
        <w:rPr>
          <w:rFonts w:ascii="Inter" w:cs="Inter" w:eastAsia="Inter" w:hAnsi="Inter"/>
          <w:color w:val="1F2937"/>
          <w:sz w:val="22"/>
          <w:szCs w:val="22"/>
        </w:rPr>
        <w:t xml:space="preserve">24 años de operación continua</w:t>
      </w:r>
    </w:p>
    <w:p>
      <w:pPr>
        <w:pStyle w:val="ListParagraph"/>
        <w:numPr>
          <w:ilvl w:val="0"/>
          <w:numId w:val="2"/>
        </w:numPr>
        <w:spacing w:after="60" w:before="60"/>
      </w:pPr>
      <w:r>
        <w:rPr>
          <w:rFonts w:ascii="Inter" w:cs="Inter" w:eastAsia="Inter" w:hAnsi="Inter"/>
          <w:color w:val="1F2937"/>
          <w:sz w:val="22"/>
          <w:szCs w:val="22"/>
        </w:rPr>
        <w:t xml:space="preserve">120+ vehículos (22+ camiones, 70+ cajas)</w:t>
      </w:r>
    </w:p>
    <w:p>
      <w:pPr>
        <w:pStyle w:val="ListParagraph"/>
        <w:numPr>
          <w:ilvl w:val="0"/>
          <w:numId w:val="2"/>
        </w:numPr>
        <w:spacing w:after="60" w:before="60"/>
      </w:pPr>
      <w:r>
        <w:rPr>
          <w:rFonts w:ascii="Inter" w:cs="Inter" w:eastAsia="Inter" w:hAnsi="Inter"/>
          <w:color w:val="1F2937"/>
          <w:sz w:val="22"/>
          <w:szCs w:val="22"/>
        </w:rPr>
        <w:t xml:space="preserve">5 sedes cross-border México–EE.UU.</w:t>
      </w:r>
    </w:p>
    <w:p>
      <w:pPr>
        <w:pStyle w:val="ListParagraph"/>
        <w:numPr>
          <w:ilvl w:val="0"/>
          <w:numId w:val="2"/>
        </w:numPr>
        <w:spacing w:after="60" w:before="60"/>
      </w:pPr>
      <w:r>
        <w:rPr>
          <w:rFonts w:ascii="Inter" w:cs="Inter" w:eastAsia="Inter" w:hAnsi="Inter"/>
          <w:color w:val="1F2937"/>
          <w:sz w:val="22"/>
          <w:szCs w:val="22"/>
        </w:rPr>
        <w:t xml:space="preserve">Inversión reciente de USD 1M+ que duplicó la flota</w:t>
      </w:r>
    </w:p>
    <w:p>
      <w:pPr>
        <w:pStyle w:val="ListParagraph"/>
        <w:numPr>
          <w:ilvl w:val="0"/>
          <w:numId w:val="2"/>
        </w:numPr>
        <w:spacing w:after="60" w:before="60"/>
      </w:pPr>
      <w:r>
        <w:rPr>
          <w:rFonts w:ascii="Inter" w:cs="Inter" w:eastAsia="Inter" w:hAnsi="Inter"/>
          <w:color w:val="1F2937"/>
          <w:sz w:val="22"/>
          <w:szCs w:val="22"/>
        </w:rPr>
        <w:t xml:space="preserve">8 plataformas digitales activas, sin integrar</w:t>
      </w:r>
    </w:p>
    <w:p>
      <w:pPr>
        <w:spacing w:after="80" w:before="0"/>
      </w:pPr>
    </w:p>
    <w:p>
      <w:pPr>
        <w:pStyle w:val="Heading2"/>
        <w:spacing w:after="100" w:before="200"/>
        <w:jc w:val="left"/>
      </w:pPr>
      <w:r>
        <w:rPr>
          <w:rFonts w:ascii="Inter" w:cs="Inter" w:eastAsia="Inter" w:hAnsi="Inter"/>
          <w:b/>
          <w:bCs/>
          <w:color w:val="0C1A2E"/>
          <w:sz w:val="26"/>
          <w:szCs w:val="26"/>
        </w:rPr>
        <w:t xml:space="preserve">Madurez digital y posición competitiva</w:t>
      </w:r>
    </w:p>
    <w:p>
      <w:pPr>
        <w:spacing w:after="60" w:before="60"/>
      </w:pPr>
      <w:r>
        <w:rPr>
          <w:rFonts w:ascii="Inter" w:cs="Inter" w:eastAsia="Inter" w:hAnsi="Inter"/>
          <w:b/>
          <w:bCs/>
          <w:color w:val="0C1A2E"/>
          <w:sz w:val="22"/>
          <w:szCs w:val="22"/>
        </w:rPr>
        <w:t xml:space="preserve">Nivel de madurez digital: </w:t>
      </w:r>
      <w:r>
        <w:rPr>
          <w:rFonts w:ascii="Inter" w:cs="Inter" w:eastAsia="Inter" w:hAnsi="Inter"/>
          <w:color w:val="1F2937"/>
          <w:sz w:val="22"/>
          <w:szCs w:val="22"/>
        </w:rPr>
        <w:t xml:space="preserve">Media — Tienen las herramientas (Tracking Premium, Samsara, Monday, McKinney, correo en migración a Microsoft), pero operan aisladas y sin un punto central donde viva la información. El stack está; falta la arquitectura que lo conecte.</w:t>
      </w:r>
    </w:p>
    <w:p>
      <w:pPr>
        <w:spacing w:after="60" w:before="60"/>
      </w:pPr>
      <w:r>
        <w:rPr>
          <w:rFonts w:ascii="Inter" w:cs="Inter" w:eastAsia="Inter" w:hAnsi="Inter"/>
          <w:b/>
          <w:bCs/>
          <w:color w:val="0C1A2E"/>
          <w:sz w:val="22"/>
          <w:szCs w:val="22"/>
        </w:rPr>
        <w:t xml:space="preserve">Posición competitiva: </w:t>
      </w:r>
      <w:r>
        <w:rPr>
          <w:rFonts w:ascii="Inter" w:cs="Inter" w:eastAsia="Inter" w:hAnsi="Inter"/>
          <w:color w:val="1F2937"/>
          <w:sz w:val="22"/>
          <w:szCs w:val="22"/>
        </w:rPr>
        <w:t xml:space="preserve">Dueño-operador de escala media en el nicho Tijuana–Los Ángeles. Supera a los competidores locales en escala física y presencia multi-sede, pero está por detrás de los jugadores tech-enabled (Nuvocargo, Flexport) en la capa digital — exactamente la ventana que aún puede capturar en los próximos 18-30 meses.</w:t>
      </w:r>
    </w:p>
    <w:p>
      <w:pPr>
        <w:spacing w:after="80" w:before="0"/>
      </w:pPr>
    </w:p>
    <w:p>
      <w:pPr>
        <w:spacing w:after="80" w:before="80"/>
        <w:jc w:val="left"/>
      </w:pPr>
      <w:r>
        <w:rPr>
          <w:rFonts w:ascii="Inter" w:cs="Inter" w:eastAsia="Inter" w:hAnsi="Inter"/>
          <w:color w:val="1F2937"/>
          <w:sz w:val="22"/>
          <w:szCs w:val="22"/>
        </w:rPr>
        <w:t xml:space="preserve">El nivel de madurez digital "Media" es el punto de partida para dimensionar correctamente las oportunidades. Las empresas en este nivel tienen un margen significativo de mejora en eficiencia operativa mediante herramientas de automatización e inteligencia artificial. Las iniciativas identificadas en este diagnóstico están calibradas para esta realidad: no asumen infraestructura tecnológica sofisticada ni equipos de tecnología especializados, sino que parten de las herramientas que la empresa ya usa y las potencian.</w:t>
      </w:r>
    </w:p>
    <w:p>
      <w:r>
        <w:br w:type="page"/>
      </w:r>
    </w:p>
    <w:p>
      <w:pPr>
        <w:pStyle w:val="Heading1"/>
        <w:spacing w:after="140" w:before="280"/>
        <w:jc w:val="left"/>
      </w:pPr>
      <w:r>
        <w:rPr>
          <w:rFonts w:ascii="Inter" w:cs="Inter" w:eastAsia="Inter" w:hAnsi="Inter"/>
          <w:b/>
          <w:bCs/>
          <w:color w:val="0C1A2E"/>
          <w:sz w:val="32"/>
          <w:szCs w:val="32"/>
        </w:rPr>
        <w:t xml:space="preserve">4. Situación Actual por Área</w:t>
      </w:r>
    </w:p>
    <w:p>
      <w:pPr>
        <w:spacing w:after="80" w:before="80"/>
        <w:jc w:val="left"/>
      </w:pPr>
      <w:r>
        <w:rPr>
          <w:rFonts w:ascii="Inter" w:cs="Inter" w:eastAsia="Inter" w:hAnsi="Inter"/>
          <w:color w:val="1F2937"/>
          <w:sz w:val="22"/>
          <w:szCs w:val="22"/>
        </w:rPr>
        <w:t xml:space="preserve">A continuación presentamos el análisis de la situación tecnológica y operativa de cada área de Grupo Trixx. Este análisis es la base sobre la que se construyeron las oportunidades de IA de la sección siguiente: cada área tiene sus propios cuellos de botella y sus propias oportunidades de mejora.</w:t>
      </w:r>
    </w:p>
    <w:p>
      <w:pPr>
        <w:spacing w:after="100" w:before="0"/>
      </w:pPr>
    </w:p>
    <w:p>
      <w:pPr>
        <w:pStyle w:val="Heading2"/>
        <w:spacing w:after="100" w:before="200"/>
        <w:jc w:val="left"/>
      </w:pPr>
      <w:r>
        <w:rPr>
          <w:rFonts w:ascii="Inter" w:cs="Inter" w:eastAsia="Inter" w:hAnsi="Inter"/>
          <w:b/>
          <w:bCs/>
          <w:color w:val="0C1A2E"/>
          <w:sz w:val="26"/>
          <w:szCs w:val="26"/>
        </w:rPr>
        <w:t xml:space="preserve">Información y coordinación interna</w:t>
      </w:r>
    </w:p>
    <w:p>
      <w:pPr>
        <w:spacing w:after="80" w:before="80"/>
        <w:jc w:val="left"/>
      </w:pPr>
      <w:r>
        <w:rPr>
          <w:rFonts w:ascii="Inter" w:cs="Inter" w:eastAsia="Inter" w:hAnsi="Inter"/>
          <w:color w:val="1F2937"/>
          <w:sz w:val="22"/>
          <w:szCs w:val="22"/>
        </w:rPr>
        <w:t xml:space="preserve">Cada persona mantiene su propia hoja de Excel. Cuando la decisora necesita un dato (por ejemplo, la relación de cajas y camiones) tiene que pedírselo por WhatsApp a quien lo tenga, y si esa persona no está, nadie más lo tiene. La información llega por 15-20+ grupos de WhatsApp en formatos distintos (fotos, PDF, Excel, cuadros a mano) y se pierde.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Un punto central donde toda la información viva en tiempo real, alimentado automáticamente desde WhatsApp, accesible en segundos sin depender de una persona específica.</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Flota y activos físicos</w:t>
      </w:r>
    </w:p>
    <w:p>
      <w:pPr>
        <w:spacing w:after="80" w:before="80"/>
        <w:jc w:val="left"/>
      </w:pPr>
      <w:r>
        <w:rPr>
          <w:rFonts w:ascii="Inter" w:cs="Inter" w:eastAsia="Inter" w:hAnsi="Inter"/>
          <w:color w:val="1F2937"/>
          <w:sz w:val="22"/>
          <w:szCs w:val="22"/>
        </w:rPr>
        <w:t xml:space="preserve">Con 120+ vehículos y la flota recién duplicada, no existe un expediente por unidad. Los mantenimientos, consumos de diésel, kilómetros, inspecciones y vencimientos viven en papel disperso. No hay forma rápida de ver si una unidad ya costó más de lo que vale.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Hoja de vida digital por camión y caja, alimentada desde WhatsApp y desde Samsara, con alertas automáticas de mantenimiento, placas y permisos por vencer.</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Operación de contenedores y correo</w:t>
      </w:r>
    </w:p>
    <w:p>
      <w:pPr>
        <w:spacing w:after="80" w:before="80"/>
        <w:jc w:val="left"/>
      </w:pPr>
      <w:r>
        <w:rPr>
          <w:rFonts w:ascii="Inter" w:cs="Inter" w:eastAsia="Inter" w:hAnsi="Inter"/>
          <w:color w:val="1F2937"/>
          <w:sz w:val="22"/>
          <w:szCs w:val="22"/>
        </w:rPr>
        <w:t xml:space="preserve">Toda la comunicación con navieras, terminales y brokers es 100% por correo. Los lunes la bandeja amanece con cientos de correos sin filtrar; los que se pierden generan demoras de puerto y almacenajes que cuestan dinero. El seguimiento de días en puerto y la reconciliación de pagos del broker se hacen a mano.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Filtrado inteligente que extrae lo accionable de cada correo, lo registra y avisa de vencimientos y demoras antes de que cuesten.</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Atención al cliente y comunicación externa</w:t>
      </w:r>
    </w:p>
    <w:p>
      <w:pPr>
        <w:spacing w:after="80" w:before="80"/>
        <w:jc w:val="left"/>
      </w:pPr>
      <w:r>
        <w:rPr>
          <w:rFonts w:ascii="Inter" w:cs="Inter" w:eastAsia="Inter" w:hAnsi="Inter"/>
          <w:color w:val="1F2937"/>
          <w:sz w:val="22"/>
          <w:szCs w:val="22"/>
        </w:rPr>
        <w:t xml:space="preserve">El correo corporativo tiene baja adopción interna y problemas de entrega (no llega bien a Gmail/Hotmail). La página y el hosting dependen de un tercero que no responde. No hay un canal estructurado de comunicación con el público.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Oportunidades identificadas en esta área</w:t>
            </w:r>
          </w:p>
          <w:p>
            <w:pPr>
              <w:spacing w:after="0" w:before="0"/>
            </w:pPr>
            <w:r>
              <w:rPr>
                <w:rFonts w:ascii="Inter" w:cs="Inter" w:eastAsia="Inter" w:hAnsi="Inter"/>
                <w:i w:val="false"/>
                <w:iCs w:val="false"/>
                <w:color w:val="1F2937"/>
                <w:sz w:val="21"/>
                <w:szCs w:val="21"/>
              </w:rPr>
              <w:t xml:space="preserve">Sanear y centralizar correo y hosting en un solo proveedor, recuperar el control del dominio, y a futuro abrir canales de comunicación con clientes.</w:t>
            </w:r>
          </w:p>
        </w:tc>
      </w:tr>
    </w:tbl>
    <w:p>
      <w:pPr>
        <w:spacing w:after="120" w:before="0"/>
      </w:pPr>
    </w:p>
    <w:p>
      <w:r>
        <w:br w:type="page"/>
      </w:r>
    </w:p>
    <w:p>
      <w:pPr>
        <w:pStyle w:val="Heading1"/>
        <w:spacing w:after="140" w:before="280"/>
        <w:jc w:val="left"/>
      </w:pPr>
      <w:r>
        <w:rPr>
          <w:rFonts w:ascii="Inter" w:cs="Inter" w:eastAsia="Inter" w:hAnsi="Inter"/>
          <w:b/>
          <w:bCs/>
          <w:color w:val="0C1A2E"/>
          <w:sz w:val="32"/>
          <w:szCs w:val="32"/>
        </w:rPr>
        <w:t xml:space="preserve">5. Problemas Identificados</w:t>
      </w:r>
    </w:p>
    <w:p>
      <w:pPr>
        <w:spacing w:after="80" w:before="80"/>
        <w:jc w:val="left"/>
      </w:pPr>
      <w:r>
        <w:rPr>
          <w:rFonts w:ascii="Inter" w:cs="Inter" w:eastAsia="Inter" w:hAnsi="Inter"/>
          <w:color w:val="1F2937"/>
          <w:sz w:val="22"/>
          <w:szCs w:val="22"/>
        </w:rPr>
        <w:t xml:space="preserve">Identificamos 5 problemas críticos en la operación de Grupo Trixx. Para cada uno incluimos: la descripción del impacto en el negocio, la cita directa de la conversación que da evidencia del problema, y una estimación del costo de no actuar — ya sea en ventas perdidas, capital inmovilizado u horas desperdiciadas. Estos números son importantes: la IA no es un gasto, es una respuesta a un costo que ya existe.</w:t>
      </w:r>
    </w:p>
    <w:p>
      <w:pPr>
        <w:spacing w:after="120" w:before="0"/>
      </w:pPr>
    </w:p>
    <w:p>
      <w:pPr>
        <w:pStyle w:val="Heading2"/>
        <w:spacing w:after="100" w:before="200"/>
        <w:jc w:val="left"/>
      </w:pPr>
      <w:r>
        <w:rPr>
          <w:rFonts w:ascii="Inter" w:cs="Inter" w:eastAsia="Inter" w:hAnsi="Inter"/>
          <w:b/>
          <w:bCs/>
          <w:color w:val="0C1A2E"/>
          <w:sz w:val="26"/>
          <w:szCs w:val="26"/>
        </w:rPr>
        <w:t xml:space="preserve">1. La información existe, pero no se puede recuperar a tiempo</w:t>
      </w:r>
    </w:p>
    <w:p>
      <w:pPr>
        <w:spacing w:after="80" w:before="80"/>
        <w:jc w:val="left"/>
      </w:pPr>
      <w:r>
        <w:rPr>
          <w:rFonts w:ascii="Inter" w:cs="Inter" w:eastAsia="Inter" w:hAnsi="Inter"/>
          <w:color w:val="1F2937"/>
          <w:sz w:val="22"/>
          <w:szCs w:val="22"/>
        </w:rPr>
        <w:t xml:space="preserve">La información operativa está fragmentada en Excel personales y grupos de WhatsApp. La decisora termina consolidando a mano lo que debería poder consultar en segundos, y cuando una persona clave no está, el dato simplemente no aparece.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"La información tiene que estar en tres minutos. Si ahorita yo pido la relación de cajas y camiones y se la pido a Miguel, o si no estaba, nadie la tiene."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Tiempo ejecutivo de la decisora consumido en consolidar información manualmente, en lugar de decidir y crecer.  (Consolidación manual ≥1 día/semana ≈ 5 días/mes de tiempo de la persona que dirige la operación) ⚠️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2. Cientos de correos sin filtrar, con dinero en juego</w:t>
      </w:r>
    </w:p>
    <w:p>
      <w:pPr>
        <w:spacing w:after="80" w:before="80"/>
        <w:jc w:val="left"/>
      </w:pPr>
      <w:r>
        <w:rPr>
          <w:rFonts w:ascii="Inter" w:cs="Inter" w:eastAsia="Inter" w:hAnsi="Inter"/>
          <w:color w:val="1F2937"/>
          <w:sz w:val="22"/>
          <w:szCs w:val="22"/>
        </w:rPr>
        <w:t xml:space="preserve">Las navieras, terminales y brokers se comunican exclusivamente por correo. La bandeja se acumula a cientos por fin de semana y los correos que se pierden se traducen en demoras de puerto y almacenajes. El reloj de días libres en puerto es distinto por cliente y terminal, y hoy se sigue a mano.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"Llegas el lunes y tu bandeja ya tiene 600 correos. Y todo lo que se maneja de contenedores con terminales y navieras es 100% correos."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Cada correo crítico que se pierde puede convertirse en una demora de puerto o un almacenaje pagado de más.  (600 correos sin filtrar por fin de semana; ya han ocurrido demoras de miles de horas por contenedores no atendidos a tiempo) ⚠️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3. Tareas repetitivas que roban tiempo a gente valiosa</w:t>
      </w:r>
    </w:p>
    <w:p>
      <w:pPr>
        <w:spacing w:after="80" w:before="80"/>
        <w:jc w:val="left"/>
      </w:pPr>
      <w:r>
        <w:rPr>
          <w:rFonts w:ascii="Inter" w:cs="Inter" w:eastAsia="Inter" w:hAnsi="Inter"/>
          <w:color w:val="1F2937"/>
          <w:sz w:val="22"/>
          <w:szCs w:val="22"/>
        </w:rPr>
        <w:t xml:space="preserve">Información que llega en hojas a mano o en un Excel se vuelve a teclear manualmente en otro documento (por ejemplo, la captura que termina siendo la carta porte). Es trabajo lento, repetitivo y propenso a error humano, multiplicado por varias personas del equipo.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"Me la manda a mano y yo se la tengo que regresar así; tengo que coger toda esa información y pasarla a mano en Excel."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Horas diarias de personal dedicadas a copiar y volver a capturar datos que un sistema puede extraer solo, más el riesgo de error.  (Captura manual repetida varias veces al día por varias personas + reproceso por errores) ⚠️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4. Ocho plataformas que no se hablan entre sí</w:t>
      </w:r>
    </w:p>
    <w:p>
      <w:pPr>
        <w:spacing w:after="80" w:before="80"/>
        <w:jc w:val="left"/>
      </w:pPr>
      <w:r>
        <w:rPr>
          <w:rFonts w:ascii="Inter" w:cs="Inter" w:eastAsia="Inter" w:hAnsi="Inter"/>
          <w:color w:val="1F2937"/>
          <w:sz w:val="22"/>
          <w:szCs w:val="22"/>
        </w:rPr>
        <w:t xml:space="preserve">Trixx ya invirtió en herramientas (Tracking Premium, Samsara, Monday, McKinney, correo en migración), pero operan como islas. La información se duplica, no se centraliza, y ninguna se aprovecha al 100%.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"Tenemos todo, pero lo tenemos todo muy disperso, con parchecitos."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Pago de plataformas cuyo valor no se captura, decisiones lentas por información dispersa, y dependencia de plataformas de pago que si se cancelan se llevan los datos.  (8 plataformas activas sin integración → información duplicada y subutilizada) ⚠️ estimado</w:t>
            </w:r>
          </w:p>
        </w:tc>
      </w:tr>
    </w:tbl>
    <w:p>
      <w:pPr>
        <w:spacing w:after="160" w:before="0"/>
      </w:pPr>
    </w:p>
    <w:p>
      <w:pPr>
        <w:pStyle w:val="Heading2"/>
        <w:spacing w:after="100" w:before="200"/>
        <w:jc w:val="left"/>
      </w:pPr>
      <w:r>
        <w:rPr>
          <w:rFonts w:ascii="Inter" w:cs="Inter" w:eastAsia="Inter" w:hAnsi="Inter"/>
          <w:b/>
          <w:bCs/>
          <w:color w:val="0C1A2E"/>
          <w:sz w:val="26"/>
          <w:szCs w:val="26"/>
        </w:rPr>
        <w:t xml:space="preserve">5. Sin expediente de los activos, justo cuando la flota se duplica</w:t>
      </w:r>
    </w:p>
    <w:p>
      <w:pPr>
        <w:spacing w:after="80" w:before="80"/>
        <w:jc w:val="left"/>
      </w:pPr>
      <w:r>
        <w:rPr>
          <w:rFonts w:ascii="Inter" w:cs="Inter" w:eastAsia="Inter" w:hAnsi="Inter"/>
          <w:color w:val="1F2937"/>
          <w:sz w:val="22"/>
          <w:szCs w:val="22"/>
        </w:rPr>
        <w:t xml:space="preserve">Con 120+ vehículos y 10 camiones nuevos entrando, no hay una hoja de vida por unidad. No se detecta a tiempo cuándo una unidad ya costó más de lo que vale, ni se controlan inspecciones y vencimientos — y más equipo significa más requisitos y más inspecciones.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0" w:before="0"/>
            </w:pPr>
            <w:r>
              <w:rPr>
                <w:rFonts w:ascii="Inter" w:cs="Inter" w:eastAsia="Inter" w:hAnsi="Inter"/>
                <w:i/>
                <w:iCs/>
                <w:color w:val="1F2937"/>
                <w:sz w:val="21"/>
                <w:szCs w:val="21"/>
              </w:rPr>
              <w:t xml:space="preserve">En tus propias palabras: "Como ya veo una estadística alarmante, esta unidad ya se le metió más de lo que cuesta. Entonces todas las unidades tener como un expediente."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8"/>
              <w:bottom w:val="single" w:color="F59E0B" w:sz="2"/>
              <w:right w:val="single" w:color="F59E0B" w:sz="2"/>
            </w:tcBorders>
            <w:shd w:fill="FFFBEB" w:val="clear"/>
            <w:tcMar>
              <w:top w:type="dxa" w:w="120"/>
              <w:left w:type="dxa" w:w="160"/>
              <w:bottom w:type="dxa" w:w="120"/>
              <w:right w:type="dxa" w:w="160"/>
            </w:tcMar>
          </w:tcPr>
          <w:p>
            <w:pPr>
              <w:spacing w:after="60" w:before="0"/>
            </w:pPr>
            <w:r>
              <w:rPr>
                <w:rFonts w:ascii="Inter" w:cs="Inter" w:eastAsia="Inter" w:hAnsi="Inter"/>
                <w:b/>
                <w:bCs/>
                <w:color w:val="F59E0B"/>
                <w:sz w:val="18"/>
                <w:szCs w:val="18"/>
              </w:rPr>
              <w:t xml:space="preserve">⏱ Costo de no actuar</w:t>
            </w:r>
          </w:p>
          <w:p>
            <w:pPr>
              <w:spacing w:after="0" w:before="0"/>
            </w:pPr>
            <w:r>
              <w:rPr>
                <w:rFonts w:ascii="Inter" w:cs="Inter" w:eastAsia="Inter" w:hAnsi="Inter"/>
                <w:i w:val="false"/>
                <w:iCs w:val="false"/>
                <w:color w:val="1F2937"/>
                <w:sz w:val="21"/>
                <w:szCs w:val="21"/>
              </w:rPr>
              <w:t xml:space="preserve">Sobre-inversión en unidades que deberían darse de baja y riesgo de multas o paros por vencimientos no controlados.  (Caso real: una unidad acumuló inversión superior a su valor de reposición sin detección oportuna) ⚠️ estimado</w:t>
            </w:r>
          </w:p>
        </w:tc>
      </w:tr>
    </w:tbl>
    <w:p>
      <w:pPr>
        <w:spacing w:after="160" w:before="0"/>
      </w:pPr>
    </w:p>
    <w:p>
      <w:r>
        <w:br w:type="page"/>
      </w:r>
    </w:p>
    <w:p>
      <w:pPr>
        <w:pStyle w:val="Heading1"/>
        <w:spacing w:after="140" w:before="280"/>
        <w:jc w:val="left"/>
      </w:pPr>
      <w:r>
        <w:rPr>
          <w:rFonts w:ascii="Inter" w:cs="Inter" w:eastAsia="Inter" w:hAnsi="Inter"/>
          <w:b/>
          <w:bCs/>
          <w:color w:val="0C1A2E"/>
          <w:sz w:val="32"/>
          <w:szCs w:val="32"/>
        </w:rPr>
        <w:t xml:space="preserve">6. Oportunidades de IA</w:t>
      </w:r>
    </w:p>
    <w:p>
      <w:pPr>
        <w:spacing w:after="80" w:before="80"/>
        <w:jc w:val="left"/>
      </w:pPr>
      <w:r>
        <w:rPr>
          <w:rFonts w:ascii="Inter" w:cs="Inter" w:eastAsia="Inter" w:hAnsi="Inter"/>
          <w:color w:val="1F2937"/>
          <w:sz w:val="22"/>
          <w:szCs w:val="22"/>
        </w:rPr>
        <w:t xml:space="preserve">Identificamos 6 oportunidades concretas para implementar IA en Grupo Trixx. Cada una está directamente vinculada a un problema identificado en la sección anterior, tiene un beneficio esperado cuantificable, una categoría de complejidad (pequeño, mediano o grande) y una estimación de inversión basada en el tiempo real de implementación. Las marcadas con ⚡ son Quick Wins: iniciativas de alta relación impacto/esfuerzo recomendadas como punto de entrada al Ciclo 2.</w:t>
      </w:r>
    </w:p>
    <w:p>
      <w:pPr>
        <w:spacing w:after="120" w:before="0"/>
      </w:pPr>
    </w:p>
    <w:p>
      <w:pPr>
        <w:pStyle w:val="Heading2"/>
        <w:spacing w:after="100" w:before="200"/>
        <w:jc w:val="left"/>
      </w:pPr>
      <w:r>
        <w:rPr>
          <w:rFonts w:ascii="Inter" w:cs="Inter" w:eastAsia="Inter" w:hAnsi="Inter"/>
          <w:b/>
          <w:bCs/>
          <w:color w:val="0C1A2E"/>
          <w:sz w:val="26"/>
          <w:szCs w:val="26"/>
        </w:rPr>
        <w:t xml:space="preserve">⚡ Asistente de WhatsApp que organiza la información</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La información existe, pero no se puede recuperar a tiempo</w:t>
      </w:r>
    </w:p>
    <w:p>
      <w:pPr>
        <w:spacing w:after="80" w:before="80"/>
        <w:jc w:val="left"/>
      </w:pPr>
      <w:r>
        <w:rPr>
          <w:rFonts w:ascii="Inter" w:cs="Inter" w:eastAsia="Inter" w:hAnsi="Inter"/>
          <w:color w:val="1F2937"/>
          <w:sz w:val="22"/>
          <w:szCs w:val="22"/>
        </w:rPr>
        <w:t xml:space="preserve">Un asistente inteligente conectado a los grupos de WhatsApp de Trixx que lee todos los mensajes, distingue lo importante de lo accesorio, y extrae los datos de fotos, PDF, Excel y hasta cuadros escritos a mano. Esa información se organiza sola en el documento central y genera alertas (mantenimiento por vencer, contenedor con muchos días en puerto, vencimientos, presupuestos). El equipo sigue trabajando en WhatsApp exactamente como hoy.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La información deja de perderse y deja de teclearse a mano. Sin capacitación para el equipo de campo: siguen mandando lo que mandan, y el asistente lo convierte en datos organizados.</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10,000 – 15,000  (40 h × USD 250 = USD 10,000 (mínimo). Rango mediano por integrar WhatsApp + lectura con IA + consolidación + alertas.)</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150/mes</w:t>
      </w:r>
    </w:p>
    <w:p>
      <w:pPr>
        <w:spacing w:after="160" w:before="0"/>
      </w:pPr>
    </w:p>
    <w:p>
      <w:pPr>
        <w:pStyle w:val="Heading2"/>
        <w:spacing w:after="100" w:before="200"/>
        <w:jc w:val="left"/>
      </w:pPr>
      <w:r>
        <w:rPr>
          <w:rFonts w:ascii="Inter" w:cs="Inter" w:eastAsia="Inter" w:hAnsi="Inter"/>
          <w:b/>
          <w:bCs/>
          <w:color w:val="0C1A2E"/>
          <w:sz w:val="26"/>
          <w:szCs w:val="26"/>
        </w:rPr>
        <w:t xml:space="preserve">Filtros inteligentes de correo</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Operación de contenedores y correo</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Cientos de correos sin filtrar, con dinero en juego</w:t>
      </w:r>
    </w:p>
    <w:p>
      <w:pPr>
        <w:spacing w:after="80" w:before="80"/>
        <w:jc w:val="left"/>
      </w:pPr>
      <w:r>
        <w:rPr>
          <w:rFonts w:ascii="Inter" w:cs="Inter" w:eastAsia="Inter" w:hAnsi="Inter"/>
          <w:color w:val="1F2937"/>
          <w:sz w:val="22"/>
          <w:szCs w:val="22"/>
        </w:rPr>
        <w:t xml:space="preserve">Una capa de inteligencia sobre el correo corporativo que lee cada mensaje de navieras, terminales y brokers, lo clasifica por urgencia, lo archiva en la carpeta correcta, extrae la información accionable (número de contenedor, fechas de arribo, demoras) y genera alertas. Incluye sanear la entrega del correo, que hoy no llega bien a Gmail/Hotmail.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Pasar de cientos de correos sin procesar a una bandeja accionable, con avisos de vencimientos y demoras antes de que cuesten dinero.</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4,000  (16 h × USD 250 = USD 4,000 (supera el mínimo pequeño de 3,000).)</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100/mes</w:t>
      </w:r>
    </w:p>
    <w:p>
      <w:pPr>
        <w:spacing w:after="160" w:before="0"/>
      </w:pPr>
    </w:p>
    <w:p>
      <w:pPr>
        <w:pStyle w:val="Heading2"/>
        <w:spacing w:after="100" w:before="200"/>
        <w:jc w:val="left"/>
      </w:pPr>
      <w:r>
        <w:rPr>
          <w:rFonts w:ascii="Inter" w:cs="Inter" w:eastAsia="Inter" w:hAnsi="Inter"/>
          <w:b/>
          <w:bCs/>
          <w:color w:val="0C1A2E"/>
          <w:sz w:val="26"/>
          <w:szCs w:val="26"/>
        </w:rPr>
        <w:t xml:space="preserve">⚡ Documentos vivos con un tablero maestro</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La información existe, pero no se puede recuperar a tiempo</w:t>
      </w:r>
    </w:p>
    <w:p>
      <w:pPr>
        <w:spacing w:after="80" w:before="80"/>
        <w:jc w:val="left"/>
      </w:pPr>
      <w:r>
        <w:rPr>
          <w:rFonts w:ascii="Inter" w:cs="Inter" w:eastAsia="Inter" w:hAnsi="Inter"/>
          <w:color w:val="1F2937"/>
          <w:sz w:val="22"/>
          <w:szCs w:val="22"/>
        </w:rPr>
        <w:t xml:space="preserve">Cada persona mantiene su propia hoja (sigue trabajando como hoy), y todas alimentan en tiempo real un documento maestro donde la dirección ve toda la información consolidada, con permisos por rol para que nadie dañe el trabajo de otro. El orden y la limpieza que da una plataforma como Monday se logra sobre la herramienta que ustedes ya tengan; la información de Monday y de Tracking Premium se puede llevar a un solo lugar.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Cumple la meta de los tres minutos: cualquier dato operativo se consulta al instante, desde cualquier lugar, sin depender de una persona. Es la base sobre la que se apoyan los dos pilares de la operación.</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8,000 – 12,000  (Modelo de datos + permisos por rol + consolidación en tiempo real. 32 h × USD 250 = USD 8,000.)</w:t>
      </w:r>
    </w:p>
    <w:p>
      <w:pPr>
        <w:spacing w:after="160" w:before="0"/>
      </w:pPr>
    </w:p>
    <w:p>
      <w:pPr>
        <w:pStyle w:val="Heading2"/>
        <w:spacing w:after="100" w:before="200"/>
        <w:jc w:val="left"/>
      </w:pPr>
      <w:r>
        <w:rPr>
          <w:rFonts w:ascii="Inter" w:cs="Inter" w:eastAsia="Inter" w:hAnsi="Inter"/>
          <w:b/>
          <w:bCs/>
          <w:color w:val="0C1A2E"/>
          <w:sz w:val="26"/>
          <w:szCs w:val="26"/>
        </w:rPr>
        <w:t xml:space="preserve">Expediente digital de camiones (Pilar 1)</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Flota y activos físicos</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Sin expediente de los activos, justo cuando la flota se duplica</w:t>
      </w:r>
    </w:p>
    <w:p>
      <w:pPr>
        <w:spacing w:after="80" w:before="80"/>
        <w:jc w:val="left"/>
      </w:pPr>
      <w:r>
        <w:rPr>
          <w:rFonts w:ascii="Inter" w:cs="Inter" w:eastAsia="Inter" w:hAnsi="Inter"/>
          <w:color w:val="1F2937"/>
          <w:sz w:val="22"/>
          <w:szCs w:val="22"/>
        </w:rPr>
        <w:t xml:space="preserve">Una hoja de vida digital por cada camión, caja y vehículo: mantenimientos, consumo de diésel, kilómetros, inspecciones, vencimientos de placas y permisos, incidentes en carretera e historial de choferes. Se alimenta sola desde el asistente de WhatsApp (cuando un chofer reporta un arreglo) y desde Samsara (kilómetros, diésel, telemetría).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Saber con un clic el estado y el costo real de cada unidad, decidir con datos cuándo invertir o dar de baja, y nunca más perder una inspección o un vencimiento.</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12,000 – 15,000  (Integración con Samsara + expediente de 120+ unidades + alertas. 50 h × USD 250 = USD 12,500.)</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150/mes</w:t>
      </w:r>
    </w:p>
    <w:p>
      <w:pPr>
        <w:spacing w:after="160" w:before="0"/>
      </w:pPr>
    </w:p>
    <w:p>
      <w:pPr>
        <w:pStyle w:val="Heading2"/>
        <w:spacing w:after="100" w:before="200"/>
        <w:jc w:val="left"/>
      </w:pPr>
      <w:r>
        <w:rPr>
          <w:rFonts w:ascii="Inter" w:cs="Inter" w:eastAsia="Inter" w:hAnsi="Inter"/>
          <w:b/>
          <w:bCs/>
          <w:color w:val="0C1A2E"/>
          <w:sz w:val="26"/>
          <w:szCs w:val="26"/>
        </w:rPr>
        <w:t xml:space="preserve">Libera a tu equipo: automatización por persona</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Información y coordinación interna</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Tareas repetitivas que roban tiempo a gente valiosa</w:t>
      </w:r>
    </w:p>
    <w:p>
      <w:pPr>
        <w:spacing w:after="80" w:before="80"/>
        <w:jc w:val="left"/>
      </w:pPr>
      <w:r>
        <w:rPr>
          <w:rFonts w:ascii="Inter" w:cs="Inter" w:eastAsia="Inter" w:hAnsi="Inter"/>
          <w:color w:val="1F2937"/>
          <w:sz w:val="22"/>
          <w:szCs w:val="22"/>
        </w:rPr>
        <w:t xml:space="preserve">Un acompañamiento de inmersión: nos sentamos unos días con cada persona del equipo (las que ustedes elijan) para entender su trabajo y automatizar las tareas repetitivas que les roban tiempo, como capturar a mano de un Excel a la carta porte. No reemplazamos a nadie: liberamos al equipo para que dedique su tiempo a lo importante.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Cada hora repetitiva que se automatiza es una hora que el equipo dedica a lo que genera valor. Y es la mejor forma de entender la operación a fondo, como pidió la dirección.</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8,000 – 12,000  (Inmersión por persona + automatizaciones puntuales. Alcance variable según número de procesos.)</w:t>
      </w:r>
    </w:p>
    <w:p>
      <w:pPr>
        <w:spacing w:after="160" w:before="0"/>
      </w:pPr>
    </w:p>
    <w:p>
      <w:pPr>
        <w:pStyle w:val="Heading2"/>
        <w:spacing w:after="100" w:before="200"/>
        <w:jc w:val="left"/>
      </w:pPr>
      <w:r>
        <w:rPr>
          <w:rFonts w:ascii="Inter" w:cs="Inter" w:eastAsia="Inter" w:hAnsi="Inter"/>
          <w:b/>
          <w:bCs/>
          <w:color w:val="0C1A2E"/>
          <w:sz w:val="26"/>
          <w:szCs w:val="26"/>
        </w:rPr>
        <w:t xml:space="preserve">Conciliación automática de pagos del broker</w:t>
      </w:r>
    </w:p>
    <w:p>
      <w:pPr>
        <w:spacing w:after="60" w:before="60"/>
      </w:pPr>
      <w:r>
        <w:rPr>
          <w:rFonts w:ascii="Inter" w:cs="Inter" w:eastAsia="Inter" w:hAnsi="Inter"/>
          <w:b/>
          <w:bCs/>
          <w:color w:val="0C1A2E"/>
          <w:sz w:val="22"/>
          <w:szCs w:val="22"/>
        </w:rPr>
        <w:t xml:space="preserve">Área: </w:t>
      </w:r>
      <w:r>
        <w:rPr>
          <w:rFonts w:ascii="Inter" w:cs="Inter" w:eastAsia="Inter" w:hAnsi="Inter"/>
          <w:color w:val="1F2937"/>
          <w:sz w:val="22"/>
          <w:szCs w:val="22"/>
        </w:rPr>
        <w:t xml:space="preserve">Operación de contenedores y correo</w:t>
      </w:r>
    </w:p>
    <w:p>
      <w:pPr>
        <w:spacing w:after="60" w:before="60"/>
      </w:pPr>
      <w:r>
        <w:rPr>
          <w:rFonts w:ascii="Inter" w:cs="Inter" w:eastAsia="Inter" w:hAnsi="Inter"/>
          <w:b/>
          <w:bCs/>
          <w:color w:val="0C1A2E"/>
          <w:sz w:val="22"/>
          <w:szCs w:val="22"/>
        </w:rPr>
        <w:t xml:space="preserve">Problema que resuelve: </w:t>
      </w:r>
      <w:r>
        <w:rPr>
          <w:rFonts w:ascii="Inter" w:cs="Inter" w:eastAsia="Inter" w:hAnsi="Inter"/>
          <w:color w:val="1F2937"/>
          <w:sz w:val="22"/>
          <w:szCs w:val="22"/>
        </w:rPr>
        <w:t xml:space="preserve">Ocho plataformas que no se hablan entre sí</w:t>
      </w:r>
    </w:p>
    <w:p>
      <w:pPr>
        <w:spacing w:after="80" w:before="80"/>
        <w:jc w:val="left"/>
      </w:pPr>
      <w:r>
        <w:rPr>
          <w:rFonts w:ascii="Inter" w:cs="Inter" w:eastAsia="Inter" w:hAnsi="Inter"/>
          <w:color w:val="1F2937"/>
          <w:sz w:val="22"/>
          <w:szCs w:val="22"/>
        </w:rPr>
        <w:t xml:space="preserve">Un sistema que recibe la relación mensual de contenedores del broker estadounidense, la cruza automáticamente contra los correos y los registros internos, y entrega un informe listo para auditar. Hoy son 135 contenedores al mes que se revisan a mano, uno por uno.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Beneficio esperado</w:t>
            </w:r>
          </w:p>
          <w:p>
            <w:pPr>
              <w:spacing w:after="0" w:before="0"/>
            </w:pPr>
            <w:r>
              <w:rPr>
                <w:rFonts w:ascii="Inter" w:cs="Inter" w:eastAsia="Inter" w:hAnsi="Inter"/>
                <w:i w:val="false"/>
                <w:iCs w:val="false"/>
                <w:color w:val="1F2937"/>
                <w:sz w:val="21"/>
                <w:szCs w:val="21"/>
              </w:rPr>
              <w:t xml:space="preserve">Pasar de una reconciliación manual que nunca se termina a un informe auditable en minutos, asegurando que solo se pague lo que realmente se movió.</w:t>
            </w:r>
          </w:p>
        </w:tc>
      </w:tr>
    </w:tbl>
    <w:p>
      <w:pPr>
        <w:spacing w:after="60" w:before="0"/>
      </w:pPr>
    </w:p>
    <w:p>
      <w:pPr>
        <w:spacing w:after="60" w:before="60"/>
      </w:pPr>
      <w:r>
        <w:rPr>
          <w:rFonts w:ascii="Inter" w:cs="Inter" w:eastAsia="Inter" w:hAnsi="Inter"/>
          <w:b/>
          <w:bCs/>
          <w:color w:val="0C1A2E"/>
          <w:sz w:val="22"/>
          <w:szCs w:val="22"/>
        </w:rPr>
        <w:t xml:space="preserve">Inversión estimada: </w:t>
      </w:r>
      <w:r>
        <w:rPr>
          <w:rFonts w:ascii="Inter" w:cs="Inter" w:eastAsia="Inter" w:hAnsi="Inter"/>
          <w:color w:val="1F2937"/>
          <w:sz w:val="22"/>
          <w:szCs w:val="22"/>
        </w:rPr>
        <w:t xml:space="preserve">USD 10,000 – 15,000  (Cruce automático de 135 contenedores/mes contra correos y registros. 40 h × USD 250 = USD 10,000.)</w:t>
      </w:r>
    </w:p>
    <w:p>
      <w:pPr>
        <w:spacing w:after="60" w:before="60"/>
      </w:pPr>
      <w:r>
        <w:rPr>
          <w:rFonts w:ascii="Inter" w:cs="Inter" w:eastAsia="Inter" w:hAnsi="Inter"/>
          <w:b/>
          <w:bCs/>
          <w:color w:val="0C1A2E"/>
          <w:sz w:val="22"/>
          <w:szCs w:val="22"/>
        </w:rPr>
        <w:t xml:space="preserve">Infraestructura mensual: </w:t>
      </w:r>
      <w:r>
        <w:rPr>
          <w:rFonts w:ascii="Inter" w:cs="Inter" w:eastAsia="Inter" w:hAnsi="Inter"/>
          <w:color w:val="1F2937"/>
          <w:sz w:val="22"/>
          <w:szCs w:val="22"/>
        </w:rPr>
        <w:t xml:space="preserve">USD 150/mes</w:t>
      </w:r>
    </w:p>
    <w:p>
      <w:pPr>
        <w:spacing w:after="160" w:before="0"/>
      </w:pPr>
    </w:p>
    <w:p>
      <w:r>
        <w:br w:type="page"/>
      </w:r>
    </w:p>
    <w:p>
      <w:pPr>
        <w:pStyle w:val="Heading1"/>
        <w:spacing w:after="140" w:before="280"/>
        <w:jc w:val="left"/>
      </w:pPr>
      <w:r>
        <w:rPr>
          <w:rFonts w:ascii="Inter" w:cs="Inter" w:eastAsia="Inter" w:hAnsi="Inter"/>
          <w:b/>
          <w:bCs/>
          <w:color w:val="0C1A2E"/>
          <w:sz w:val="32"/>
          <w:szCs w:val="32"/>
        </w:rPr>
        <w:t xml:space="preserve">7. Mapa de Prioridades</w:t>
      </w:r>
    </w:p>
    <w:p>
      <w:pPr>
        <w:spacing w:after="80" w:before="80"/>
        <w:jc w:val="left"/>
      </w:pPr>
      <w:r>
        <w:rPr>
          <w:rFonts w:ascii="Inter" w:cs="Inter" w:eastAsia="Inter" w:hAnsi="Inter"/>
          <w:color w:val="1F2937"/>
          <w:sz w:val="22"/>
          <w:szCs w:val="22"/>
        </w:rPr>
        <w:t xml:space="preserve">La siguiente tabla muestra todas las iniciativas ordenadas por impacto y esfuerzo. Las marcadas con ⚡ son los Quick Wins recomendados como punto de entrada.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00"/>
        <w:gridCol w:w="2000"/>
        <w:gridCol w:w="2060"/>
      </w:tblGrid>
      <w:tr>
        <w:tc>
          <w:tcPr>
            <w:tcW w:type="dxa" w:w="32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Iniciativa</w:t>
            </w:r>
          </w:p>
        </w:tc>
        <w:tc>
          <w:tcPr>
            <w:tcW w:type="dxa" w:w="12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Área</w:t>
            </w:r>
          </w:p>
        </w:tc>
        <w:tc>
          <w:tcPr>
            <w:tcW w:type="dxa" w:w="9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Complejidad</w:t>
            </w:r>
          </w:p>
        </w:tc>
        <w:tc>
          <w:tcPr>
            <w:tcW w:type="dxa" w:w="200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Inversión</w:t>
            </w:r>
          </w:p>
        </w:tc>
        <w:tc>
          <w:tcPr>
            <w:tcW w:type="dxa" w:w="2060"/>
            <w:tcBorders>
              <w:bottom w:val="single" w:color="0C1A2E" w:sz="4"/>
            </w:tcBorders>
            <w:shd w:fill="0C1A2E" w:val="clear"/>
            <w:tcMar>
              <w:top w:type="dxa" w:w="80"/>
              <w:left w:type="dxa" w:w="100"/>
              <w:bottom w:type="dxa" w:w="80"/>
              <w:right w:type="dxa" w:w="100"/>
            </w:tcMar>
          </w:tcPr>
          <w:p>
            <w:r>
              <w:rPr>
                <w:rFonts w:ascii="Inter" w:cs="Inter" w:eastAsia="Inter" w:hAnsi="Inter"/>
                <w:b/>
                <w:bCs/>
                <w:color w:val="FFFFFF"/>
                <w:sz w:val="20"/>
                <w:szCs w:val="20"/>
              </w:rPr>
              <w:t xml:space="preserve">Impacto</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bCs/>
                <w:color w:val="1F2937"/>
                <w:sz w:val="20"/>
                <w:szCs w:val="20"/>
              </w:rPr>
              <w:t xml:space="preserve">⚡ Asistente de WhatsApp que organiza la información</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10,000 – 15,000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Filtros inteligentes de correo</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Operación de contenedores y correo</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pequeno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4,000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bCs/>
                <w:color w:val="1F2937"/>
                <w:sz w:val="20"/>
                <w:szCs w:val="20"/>
              </w:rPr>
              <w:t xml:space="preserve">⚡ Documentos vivos con un tablero maestro</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8,000 – 12,000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Expediente digital de camiones (Pilar 1)</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Flota y activos físicos</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12,000 – 15,000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Libera a tu equipo: automatización por persona</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Información y coordinación interna</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8,000 – 12,000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r>
        <w:tc>
          <w:tcPr>
            <w:tcW w:type="dxa" w:w="3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Conciliación automática de pagos del broker</w:t>
            </w:r>
          </w:p>
        </w:tc>
        <w:tc>
          <w:tcPr>
            <w:tcW w:type="dxa" w:w="12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Operación de contenedores y correo</w:t>
            </w:r>
          </w:p>
        </w:tc>
        <w:tc>
          <w:tcPr>
            <w:tcW w:type="dxa" w:w="900"/>
            <w:tcBorders>
              <w:bottom w:val="single" w:color="D1D5DB" w:sz="1"/>
            </w:tcBorders>
            <w:tcMar>
              <w:top w:type="dxa" w:w="80"/>
              <w:left w:type="dxa" w:w="100"/>
              <w:bottom w:type="dxa" w:w="80"/>
              <w:right w:type="dxa" w:w="100"/>
            </w:tcMar>
          </w:tcPr>
          <w:p>
            <w:r>
              <w:rPr>
                <w:rFonts w:ascii="Inter" w:cs="Inter" w:eastAsia="Inter" w:hAnsi="Inter"/>
                <w:b w:val="false"/>
                <w:bCs w:val="false"/>
                <w:color w:val="1F2937"/>
                <w:sz w:val="20"/>
                <w:szCs w:val="20"/>
              </w:rPr>
              <w:t xml:space="preserve">mediano</w:t>
            </w:r>
          </w:p>
        </w:tc>
        <w:tc>
          <w:tcPr>
            <w:tcW w:type="dxa" w:w="2000"/>
            <w:tcBorders>
              <w:bottom w:val="single" w:color="D1D5DB" w:sz="1"/>
            </w:tcBorders>
            <w:tcMar>
              <w:top w:type="dxa" w:w="80"/>
              <w:left w:type="dxa" w:w="100"/>
              <w:bottom w:type="dxa" w:w="80"/>
              <w:right w:type="dxa" w:w="100"/>
            </w:tcMar>
          </w:tcPr>
          <w:p>
            <w:r>
              <w:rPr>
                <w:rFonts w:ascii="Inter" w:cs="Inter" w:eastAsia="Inter" w:hAnsi="Inter"/>
                <w:b/>
                <w:bCs/>
                <w:color w:val="10B981"/>
                <w:sz w:val="20"/>
                <w:szCs w:val="20"/>
              </w:rPr>
              <w:t xml:space="preserve">USD 10,000 – 15,000</w:t>
            </w:r>
          </w:p>
        </w:tc>
        <w:tc>
          <w:tcPr>
            <w:tcW w:type="dxa" w:w="2060"/>
            <w:tcBorders>
              <w:bottom w:val="single" w:color="D1D5DB" w:sz="1"/>
            </w:tcBorders>
            <w:tcMar>
              <w:top w:type="dxa" w:w="80"/>
              <w:left w:type="dxa" w:w="100"/>
              <w:bottom w:type="dxa" w:w="80"/>
              <w:right w:type="dxa" w:w="100"/>
            </w:tcMar>
          </w:tcPr>
          <w:p>
            <w:r>
              <w:rPr>
                <w:rFonts w:ascii="Inter" w:cs="Inter" w:eastAsia="Inter" w:hAnsi="Inter"/>
                <w:b w:val="false"/>
                <w:bCs w:val="false"/>
                <w:color w:val="F59E0B"/>
                <w:sz w:val="20"/>
                <w:szCs w:val="20"/>
              </w:rPr>
              <w:t xml:space="preserve">★★★★☆</w:t>
            </w:r>
          </w:p>
        </w:tc>
      </w:tr>
    </w:tbl>
    <w:p>
      <w:pPr>
        <w:spacing w:after="120" w:before="0"/>
      </w:pPr>
    </w:p>
    <w:p>
      <w:pPr>
        <w:spacing w:after="60" w:before="60"/>
        <w:jc w:val="left"/>
      </w:pPr>
      <w:r>
        <w:rPr>
          <w:rFonts w:ascii="Inter" w:cs="Inter" w:eastAsia="Inter" w:hAnsi="Inter"/>
          <w:i/>
          <w:iCs/>
          <w:color w:val="6B7280"/>
          <w:sz w:val="20"/>
          <w:szCs w:val="20"/>
        </w:rPr>
        <w:t xml:space="preserve">⚡ Quick Win  ·  Impacto: ★ = bajo → ★★★★★ = alto  ·  Complejidad: pequeño / mediano / grande</w:t>
      </w:r>
    </w:p>
    <w:p>
      <w:r>
        <w:br w:type="page"/>
      </w:r>
    </w:p>
    <w:p>
      <w:pPr>
        <w:pStyle w:val="Heading1"/>
        <w:spacing w:after="140" w:before="280"/>
        <w:jc w:val="left"/>
      </w:pPr>
      <w:r>
        <w:rPr>
          <w:rFonts w:ascii="Inter" w:cs="Inter" w:eastAsia="Inter" w:hAnsi="Inter"/>
          <w:b/>
          <w:bCs/>
          <w:color w:val="0C1A2E"/>
          <w:sz w:val="32"/>
          <w:szCs w:val="32"/>
        </w:rPr>
        <w:t xml:space="preserve">8. Hoja de Ruta — Ciclo 2</w:t>
      </w:r>
    </w:p>
    <w:p>
      <w:pPr>
        <w:spacing w:after="80" w:before="80"/>
        <w:jc w:val="left"/>
      </w:pPr>
      <w:r>
        <w:rPr>
          <w:rFonts w:ascii="Inter" w:cs="Inter" w:eastAsia="Inter" w:hAnsi="Inter"/>
          <w:color w:val="1F2937"/>
          <w:sz w:val="22"/>
          <w:szCs w:val="22"/>
        </w:rPr>
        <w:t xml:space="preserve">El Ciclo 2 es la etapa de diseño e implementación. A diferencia de una consultora tradicional que entrega un informe, Nexostrat construye y entrega las soluciones funcionando en la operación del cliente. El proceso está dividido en ocho etapas secuenciales que garantizan cero sorpresas y un resultado final que el equipo adopta desde el primer día.</w:t>
      </w:r>
    </w:p>
    <w:p>
      <w:pPr>
        <w:spacing w:after="80" w:before="0"/>
      </w:pPr>
    </w:p>
    <w:p>
      <w:pPr>
        <w:spacing w:after="80" w:before="80"/>
      </w:pPr>
      <w:r>
        <w:rPr>
          <w:rFonts w:ascii="Inter" w:cs="Inter" w:eastAsia="Inter" w:hAnsi="Inter"/>
          <w:b/>
          <w:bCs/>
          <w:color w:val="0C1A2E"/>
          <w:sz w:val="22"/>
          <w:szCs w:val="22"/>
        </w:rPr>
        <w:t xml:space="preserve">1. Entendimiento:  </w:t>
      </w:r>
      <w:r>
        <w:rPr>
          <w:rFonts w:ascii="Inter" w:cs="Inter" w:eastAsia="Inter" w:hAnsi="Inter"/>
          <w:color w:val="1F2937"/>
          <w:sz w:val="22"/>
          <w:szCs w:val="22"/>
        </w:rPr>
        <w:t xml:space="preserve">Análisis detallado del flujo actual, casos extremos, integraciones necesarias y requerimientos técnicos. El cliente revisa y aprueba el documento de entendimiento antes de continuar.</w:t>
      </w:r>
    </w:p>
    <w:p>
      <w:pPr>
        <w:spacing w:after="80" w:before="80"/>
      </w:pPr>
      <w:r>
        <w:rPr>
          <w:rFonts w:ascii="Inter" w:cs="Inter" w:eastAsia="Inter" w:hAnsi="Inter"/>
          <w:b/>
          <w:bCs/>
          <w:color w:val="0C1A2E"/>
          <w:sz w:val="22"/>
          <w:szCs w:val="22"/>
        </w:rPr>
        <w:t xml:space="preserve">2. Diseño:  </w:t>
      </w:r>
      <w:r>
        <w:rPr>
          <w:rFonts w:ascii="Inter" w:cs="Inter" w:eastAsia="Inter" w:hAnsi="Inter"/>
          <w:color w:val="1F2937"/>
          <w:sz w:val="22"/>
          <w:szCs w:val="22"/>
        </w:rPr>
        <w:t xml:space="preserve">Diseño funcional de la solución: qué hace exactamente, cómo funciona, cómo se integra con los sistemas existentes, y qué datos necesita. Se entrega un documento de diseño detallado.</w:t>
      </w:r>
    </w:p>
    <w:p>
      <w:pPr>
        <w:spacing w:after="80" w:before="80"/>
      </w:pPr>
      <w:r>
        <w:rPr>
          <w:rFonts w:ascii="Inter" w:cs="Inter" w:eastAsia="Inter" w:hAnsi="Inter"/>
          <w:b/>
          <w:bCs/>
          <w:color w:val="0C1A2E"/>
          <w:sz w:val="22"/>
          <w:szCs w:val="22"/>
        </w:rPr>
        <w:t xml:space="preserve">3. Validación:  </w:t>
      </w:r>
      <w:r>
        <w:rPr>
          <w:rFonts w:ascii="Inter" w:cs="Inter" w:eastAsia="Inter" w:hAnsi="Inter"/>
          <w:color w:val="1F2937"/>
          <w:sz w:val="22"/>
          <w:szCs w:val="22"/>
        </w:rPr>
        <w:t xml:space="preserve">El cliente revisa y aprueba el diseño antes de que se escriba una sola línea de código. Esta etapa es la que elimina el riesgo de construir algo que no era lo que se esperaba.</w:t>
      </w:r>
    </w:p>
    <w:p>
      <w:pPr>
        <w:spacing w:after="80" w:before="80"/>
      </w:pPr>
      <w:r>
        <w:rPr>
          <w:rFonts w:ascii="Inter" w:cs="Inter" w:eastAsia="Inter" w:hAnsi="Inter"/>
          <w:b/>
          <w:bCs/>
          <w:color w:val="0C1A2E"/>
          <w:sz w:val="22"/>
          <w:szCs w:val="22"/>
        </w:rPr>
        <w:t xml:space="preserve">4. Construcción:  </w:t>
      </w:r>
      <w:r>
        <w:rPr>
          <w:rFonts w:ascii="Inter" w:cs="Inter" w:eastAsia="Inter" w:hAnsi="Inter"/>
          <w:color w:val="1F2937"/>
          <w:sz w:val="22"/>
          <w:szCs w:val="22"/>
        </w:rPr>
        <w:t xml:space="preserve">Desarrollo e integración de las soluciones según el diseño aprobado. Demos parciales durante el proceso para mantener al cliente informado.</w:t>
      </w:r>
    </w:p>
    <w:p>
      <w:pPr>
        <w:spacing w:after="80" w:before="80"/>
      </w:pPr>
      <w:r>
        <w:rPr>
          <w:rFonts w:ascii="Inter" w:cs="Inter" w:eastAsia="Inter" w:hAnsi="Inter"/>
          <w:b/>
          <w:bCs/>
          <w:color w:val="0C1A2E"/>
          <w:sz w:val="22"/>
          <w:szCs w:val="22"/>
        </w:rPr>
        <w:t xml:space="preserve">5. Pruebas:  </w:t>
      </w:r>
      <w:r>
        <w:rPr>
          <w:rFonts w:ascii="Inter" w:cs="Inter" w:eastAsia="Inter" w:hAnsi="Inter"/>
          <w:color w:val="1F2937"/>
          <w:sz w:val="22"/>
          <w:szCs w:val="22"/>
        </w:rPr>
        <w:t xml:space="preserve">Validación funcional completa: pruebas de integración con los sistemas del cliente, pruebas de carga, y revisión con el equipo que va a usar la solución.</w:t>
      </w:r>
    </w:p>
    <w:p>
      <w:pPr>
        <w:spacing w:after="80" w:before="80"/>
      </w:pPr>
      <w:r>
        <w:rPr>
          <w:rFonts w:ascii="Inter" w:cs="Inter" w:eastAsia="Inter" w:hAnsi="Inter"/>
          <w:b/>
          <w:bCs/>
          <w:color w:val="0C1A2E"/>
          <w:sz w:val="22"/>
          <w:szCs w:val="22"/>
        </w:rPr>
        <w:t xml:space="preserve">6. Ajustes:  </w:t>
      </w:r>
      <w:r>
        <w:rPr>
          <w:rFonts w:ascii="Inter" w:cs="Inter" w:eastAsia="Inter" w:hAnsi="Inter"/>
          <w:color w:val="1F2937"/>
          <w:sz w:val="22"/>
          <w:szCs w:val="22"/>
        </w:rPr>
        <w:t xml:space="preserve">Correcciones y refinamientos con base en los resultados de las pruebas y el feedback del equipo. Esta etapa está incluida en el precio — no es un extra.</w:t>
      </w:r>
    </w:p>
    <w:p>
      <w:pPr>
        <w:spacing w:after="80" w:before="80"/>
      </w:pPr>
      <w:r>
        <w:rPr>
          <w:rFonts w:ascii="Inter" w:cs="Inter" w:eastAsia="Inter" w:hAnsi="Inter"/>
          <w:b/>
          <w:bCs/>
          <w:color w:val="0C1A2E"/>
          <w:sz w:val="22"/>
          <w:szCs w:val="22"/>
        </w:rPr>
        <w:t xml:space="preserve">7. Implementación:  </w:t>
      </w:r>
      <w:r>
        <w:rPr>
          <w:rFonts w:ascii="Inter" w:cs="Inter" w:eastAsia="Inter" w:hAnsi="Inter"/>
          <w:color w:val="1F2937"/>
          <w:sz w:val="22"/>
          <w:szCs w:val="22"/>
        </w:rPr>
        <w:t xml:space="preserve">Puesta en producción, capacitación del equipo y entrega formal. El saldo del proyecto se paga al llegar aquí.</w:t>
      </w:r>
    </w:p>
    <w:p>
      <w:pPr>
        <w:spacing w:after="80" w:before="80"/>
      </w:pPr>
      <w:r>
        <w:rPr>
          <w:rFonts w:ascii="Inter" w:cs="Inter" w:eastAsia="Inter" w:hAnsi="Inter"/>
          <w:b/>
          <w:bCs/>
          <w:color w:val="0C1A2E"/>
          <w:sz w:val="22"/>
          <w:szCs w:val="22"/>
        </w:rPr>
        <w:t xml:space="preserve">8. Garantía (1 mes):  </w:t>
      </w:r>
      <w:r>
        <w:rPr>
          <w:rFonts w:ascii="Inter" w:cs="Inter" w:eastAsia="Inter" w:hAnsi="Inter"/>
          <w:color w:val="1F2937"/>
          <w:sz w:val="22"/>
          <w:szCs w:val="22"/>
        </w:rPr>
        <w:t xml:space="preserve">Soporte técnico post-implementación durante el mes siguiente a la entrega. Si algo no funciona como se prometió, se corrige sin costo adicional.</w:t>
      </w:r>
    </w:p>
    <w:p>
      <w:pPr>
        <w:spacing w:after="120" w:before="0"/>
      </w:pPr>
    </w:p>
    <w:p>
      <w:pPr>
        <w:pStyle w:val="Heading2"/>
        <w:spacing w:after="100" w:before="200"/>
        <w:jc w:val="left"/>
      </w:pPr>
      <w:r>
        <w:rPr>
          <w:rFonts w:ascii="Inter" w:cs="Inter" w:eastAsia="Inter" w:hAnsi="Inter"/>
          <w:b/>
          <w:bCs/>
          <w:color w:val="0C1A2E"/>
          <w:sz w:val="26"/>
          <w:szCs w:val="26"/>
        </w:rPr>
        <w:t xml:space="preserve">Fase 1 — Bases / Victorias rápidas (0-3 meses)</w:t>
      </w:r>
    </w:p>
    <w:p>
      <w:pPr>
        <w:spacing w:after="80" w:before="80"/>
        <w:jc w:val="left"/>
      </w:pPr>
      <w:r>
        <w:rPr>
          <w:rFonts w:ascii="Inter" w:cs="Inter" w:eastAsia="Inter" w:hAnsi="Inter"/>
          <w:color w:val="1F2937"/>
          <w:sz w:val="22"/>
          <w:szCs w:val="22"/>
        </w:rPr>
        <w:t xml:space="preserve">Las tres bases que capturan y consolidan la información sin pedirle al equipo aprender nada nuevo: el asistente de WhatsApp, los filtros de correo y el documento maestro vivo. Sobre estas tres se apoya todo lo demás.</w:t>
      </w:r>
    </w:p>
    <w:p>
      <w:pPr>
        <w:pStyle w:val="ListParagraph"/>
        <w:numPr>
          <w:ilvl w:val="0"/>
          <w:numId w:val="2"/>
        </w:numPr>
        <w:spacing w:after="60" w:before="60"/>
      </w:pPr>
      <w:r>
        <w:rPr>
          <w:rFonts w:ascii="Inter" w:cs="Inter" w:eastAsia="Inter" w:hAnsi="Inter"/>
          <w:color w:val="1F2937"/>
          <w:sz w:val="22"/>
          <w:szCs w:val="22"/>
        </w:rPr>
        <w:t xml:space="preserve">Asistente de WhatsApp que organiza la información — USD 10,000 – 15,000</w:t>
      </w:r>
    </w:p>
    <w:p>
      <w:pPr>
        <w:pStyle w:val="ListParagraph"/>
        <w:numPr>
          <w:ilvl w:val="0"/>
          <w:numId w:val="2"/>
        </w:numPr>
        <w:spacing w:after="60" w:before="60"/>
      </w:pPr>
      <w:r>
        <w:rPr>
          <w:rFonts w:ascii="Inter" w:cs="Inter" w:eastAsia="Inter" w:hAnsi="Inter"/>
          <w:color w:val="1F2937"/>
          <w:sz w:val="22"/>
          <w:szCs w:val="22"/>
        </w:rPr>
        <w:t xml:space="preserve">Filtros inteligentes de correo — USD 4,000</w:t>
      </w:r>
    </w:p>
    <w:p>
      <w:pPr>
        <w:pStyle w:val="ListParagraph"/>
        <w:numPr>
          <w:ilvl w:val="0"/>
          <w:numId w:val="2"/>
        </w:numPr>
        <w:spacing w:after="60" w:before="60"/>
      </w:pPr>
      <w:r>
        <w:rPr>
          <w:rFonts w:ascii="Inter" w:cs="Inter" w:eastAsia="Inter" w:hAnsi="Inter"/>
          <w:color w:val="1F2937"/>
          <w:sz w:val="22"/>
          <w:szCs w:val="22"/>
        </w:rPr>
        <w:t xml:space="preserve">Documentos vivos con un tablero maestro — USD 8,000 – 12,000</w:t>
      </w:r>
    </w:p>
    <w:p>
      <w:pPr>
        <w:spacing w:after="80" w:before="0"/>
      </w:pPr>
    </w:p>
    <w:p>
      <w:pPr>
        <w:pStyle w:val="Heading2"/>
        <w:spacing w:after="100" w:before="200"/>
        <w:jc w:val="left"/>
      </w:pPr>
      <w:r>
        <w:rPr>
          <w:rFonts w:ascii="Inter" w:cs="Inter" w:eastAsia="Inter" w:hAnsi="Inter"/>
          <w:b/>
          <w:bCs/>
          <w:color w:val="0C1A2E"/>
          <w:sz w:val="26"/>
          <w:szCs w:val="26"/>
        </w:rPr>
        <w:t xml:space="preserve">Fase 2 — Construir los pilares (3-6 meses)</w:t>
      </w:r>
    </w:p>
    <w:p>
      <w:pPr>
        <w:spacing w:after="80" w:before="80"/>
        <w:jc w:val="left"/>
      </w:pPr>
      <w:r>
        <w:rPr>
          <w:rFonts w:ascii="Inter" w:cs="Inter" w:eastAsia="Inter" w:hAnsi="Inter"/>
          <w:color w:val="1F2937"/>
          <w:sz w:val="22"/>
          <w:szCs w:val="22"/>
        </w:rPr>
        <w:t xml:space="preserve">Con las bases listas, se levanta el expediente digital de camiones (el primer pilar) y se libera al equipo automatizando sus tareas repetitivas, persona por persona.</w:t>
      </w:r>
    </w:p>
    <w:p>
      <w:pPr>
        <w:pStyle w:val="ListParagraph"/>
        <w:numPr>
          <w:ilvl w:val="0"/>
          <w:numId w:val="2"/>
        </w:numPr>
        <w:spacing w:after="60" w:before="60"/>
      </w:pPr>
      <w:r>
        <w:rPr>
          <w:rFonts w:ascii="Inter" w:cs="Inter" w:eastAsia="Inter" w:hAnsi="Inter"/>
          <w:color w:val="1F2937"/>
          <w:sz w:val="22"/>
          <w:szCs w:val="22"/>
        </w:rPr>
        <w:t xml:space="preserve">Expediente digital de camiones (Pilar 1) — USD 12,000 – 15,000</w:t>
      </w:r>
    </w:p>
    <w:p>
      <w:pPr>
        <w:pStyle w:val="ListParagraph"/>
        <w:numPr>
          <w:ilvl w:val="0"/>
          <w:numId w:val="2"/>
        </w:numPr>
        <w:spacing w:after="60" w:before="60"/>
      </w:pPr>
      <w:r>
        <w:rPr>
          <w:rFonts w:ascii="Inter" w:cs="Inter" w:eastAsia="Inter" w:hAnsi="Inter"/>
          <w:color w:val="1F2937"/>
          <w:sz w:val="22"/>
          <w:szCs w:val="22"/>
        </w:rPr>
        <w:t xml:space="preserve">Libera a tu equipo: automatización por persona — USD 8,000 – 12,000</w:t>
      </w:r>
    </w:p>
    <w:p>
      <w:pPr>
        <w:spacing w:after="80" w:before="0"/>
      </w:pPr>
    </w:p>
    <w:p>
      <w:pPr>
        <w:pStyle w:val="Heading2"/>
        <w:spacing w:after="100" w:before="200"/>
        <w:jc w:val="left"/>
      </w:pPr>
      <w:r>
        <w:rPr>
          <w:rFonts w:ascii="Inter" w:cs="Inter" w:eastAsia="Inter" w:hAnsi="Inter"/>
          <w:b/>
          <w:bCs/>
          <w:color w:val="0C1A2E"/>
          <w:sz w:val="26"/>
          <w:szCs w:val="26"/>
        </w:rPr>
        <w:t xml:space="preserve">Fase 3 — Transformación y crecimiento (6-12 meses)</w:t>
      </w:r>
    </w:p>
    <w:p>
      <w:pPr>
        <w:spacing w:after="80" w:before="80"/>
        <w:jc w:val="left"/>
      </w:pPr>
      <w:r>
        <w:rPr>
          <w:rFonts w:ascii="Inter" w:cs="Inter" w:eastAsia="Inter" w:hAnsi="Inter"/>
          <w:color w:val="1F2937"/>
          <w:sz w:val="22"/>
          <w:szCs w:val="22"/>
        </w:rPr>
        <w:t xml:space="preserve">Conciliación automática del broker y, sobre la base ya construida, el segundo pilar completo: tracking unificado de contenedores para todos los clientes, un portal donde cada cliente ve su mercancía en tiempo real, un CRM para crecer y atraer clientes, la consolidación de la presencia online, y eventualmente una plataforma propia que reemplace las herramientas rentadas. Cada paso es más fácil porque ya controlamos cómo llega la información.</w:t>
      </w:r>
    </w:p>
    <w:p>
      <w:pPr>
        <w:pStyle w:val="ListParagraph"/>
        <w:numPr>
          <w:ilvl w:val="0"/>
          <w:numId w:val="2"/>
        </w:numPr>
        <w:spacing w:after="60" w:before="60"/>
      </w:pPr>
      <w:r>
        <w:rPr>
          <w:rFonts w:ascii="Inter" w:cs="Inter" w:eastAsia="Inter" w:hAnsi="Inter"/>
          <w:color w:val="1F2937"/>
          <w:sz w:val="22"/>
          <w:szCs w:val="22"/>
        </w:rPr>
        <w:t xml:space="preserve">Conciliación automática de pagos del broker — USD 10,000 – 15,000</w:t>
      </w:r>
    </w:p>
    <w:p>
      <w:pPr>
        <w:spacing w:after="80" w:before="0"/>
      </w:pPr>
    </w:p>
    <w:p>
      <w:r>
        <w:br w:type="page"/>
      </w:r>
    </w:p>
    <w:p>
      <w:pPr>
        <w:pStyle w:val="Heading1"/>
        <w:spacing w:after="140" w:before="280"/>
        <w:jc w:val="left"/>
      </w:pPr>
      <w:r>
        <w:rPr>
          <w:rFonts w:ascii="Inter" w:cs="Inter" w:eastAsia="Inter" w:hAnsi="Inter"/>
          <w:b/>
          <w:bCs/>
          <w:color w:val="0C1A2E"/>
          <w:sz w:val="32"/>
          <w:szCs w:val="32"/>
        </w:rPr>
        <w:t xml:space="preserve">9. Propuesta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1A2E" w:sz="6"/>
              <w:left w:val="single" w:color="0C1A2E" w:sz="8"/>
              <w:bottom w:val="single" w:color="0C1A2E" w:sz="2"/>
              <w:right w:val="single" w:color="0C1A2E" w:sz="2"/>
            </w:tcBorders>
            <w:shd w:fill="F0FBFF" w:val="clear"/>
            <w:tcMar>
              <w:top w:type="dxa" w:w="120"/>
              <w:left w:type="dxa" w:w="160"/>
              <w:bottom w:type="dxa" w:w="120"/>
              <w:right w:type="dxa" w:w="160"/>
            </w:tcMar>
          </w:tcPr>
          <w:p>
            <w:pPr>
              <w:spacing w:after="60" w:before="0"/>
            </w:pPr>
            <w:r>
              <w:rPr>
                <w:rFonts w:ascii="Inter" w:cs="Inter" w:eastAsia="Inter" w:hAnsi="Inter"/>
                <w:b/>
                <w:bCs/>
                <w:color w:val="0C1A2E"/>
                <w:sz w:val="18"/>
                <w:szCs w:val="18"/>
              </w:rPr>
              <w:t xml:space="preserve">Valor total del roadmap (referencia)</w:t>
            </w:r>
          </w:p>
          <w:p>
            <w:pPr>
              <w:spacing w:after="0" w:before="0"/>
            </w:pPr>
            <w:r>
              <w:rPr>
                <w:rFonts w:ascii="Inter" w:cs="Inter" w:eastAsia="Inter" w:hAnsi="Inter"/>
                <w:i w:val="false"/>
                <w:iCs w:val="false"/>
                <w:color w:val="1F2937"/>
                <w:sz w:val="21"/>
                <w:szCs w:val="21"/>
              </w:rPr>
              <w:t xml:space="preserve">El valor total del roadmap completo (6 iniciativas) es de USD 73,000</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Iniciativa de entrada sugerida</w:t>
      </w:r>
    </w:p>
    <w:p>
      <w:pPr>
        <w:spacing w:after="80" w:before="80"/>
        <w:jc w:val="left"/>
      </w:pPr>
      <w:r>
        <w:rPr>
          <w:rFonts w:ascii="Inter" w:cs="Inter" w:eastAsia="Inter" w:hAnsi="Inter"/>
          <w:b/>
          <w:bCs/>
          <w:color w:val="1F2937"/>
          <w:sz w:val="22"/>
          <w:szCs w:val="22"/>
        </w:rPr>
        <w:t xml:space="preserve">Asistente de WhatsApp que organiza la información — USD 10,000 – 15,000</w:t>
      </w:r>
    </w:p>
    <w:p>
      <w:pPr>
        <w:spacing w:after="80" w:before="80"/>
        <w:jc w:val="left"/>
      </w:pPr>
      <w:r>
        <w:rPr>
          <w:rFonts w:ascii="Inter" w:cs="Inter" w:eastAsia="Inter" w:hAnsi="Inter"/>
          <w:color w:val="1F2937"/>
          <w:sz w:val="22"/>
          <w:szCs w:val="22"/>
        </w:rPr>
        <w:t xml:space="preserve">Un asistente inteligente conectado a los grupos de WhatsApp de Trixx que lee todos los mensajes, distingue lo importante de lo accesorio, y extrae los datos de fotos, PDF, Excel y hasta cuadros escritos a mano. Esa información se organiza sola en el documento central y genera alertas (mantenimiento por vencer, contenedor con muchos días en puerto, vencimientos, presupuestos). El equipo sigue trabajando en WhatsApp exactamente como hoy.</w:t>
      </w:r>
    </w:p>
    <w:p>
      <w:pPr>
        <w:spacing w:after="80" w:before="80"/>
        <w:jc w:val="left"/>
      </w:pPr>
      <w:r>
        <w:rPr>
          <w:rFonts w:ascii="Inter" w:cs="Inter" w:eastAsia="Inter" w:hAnsi="Inter"/>
          <w:color w:val="1F2937"/>
          <w:sz w:val="22"/>
          <w:szCs w:val="22"/>
        </w:rPr>
        <w:t xml:space="preserve">Fee mensual de infraestructura: USD 150/mes</w:t>
      </w:r>
    </w:p>
    <w:p>
      <w:pPr>
        <w:spacing w:after="120" w:before="0"/>
      </w:pPr>
    </w:p>
    <w:p>
      <w:pPr>
        <w:pStyle w:val="Heading2"/>
        <w:spacing w:after="100" w:before="200"/>
        <w:jc w:val="left"/>
      </w:pPr>
      <w:r>
        <w:rPr>
          <w:rFonts w:ascii="Inter" w:cs="Inter" w:eastAsia="Inter" w:hAnsi="Inter"/>
          <w:b/>
          <w:bCs/>
          <w:color w:val="0C1A2E"/>
          <w:sz w:val="26"/>
          <w:szCs w:val="26"/>
        </w:rPr>
        <w:t xml:space="preserve">Estructura de pago</w:t>
      </w:r>
    </w:p>
    <w:p>
      <w:pPr>
        <w:spacing w:after="80" w:before="80"/>
        <w:jc w:val="left"/>
      </w:pPr>
      <w:r>
        <w:rPr>
          <w:rFonts w:ascii="Inter" w:cs="Inter" w:eastAsia="Inter" w:hAnsi="Inter"/>
          <w:color w:val="1F2937"/>
          <w:sz w:val="22"/>
          <w:szCs w:val="22"/>
        </w:rPr>
        <w:t xml:space="preserve">El cobro es por implementación, no por hora. Cada iniciativa se divide en un pago inicial al arrancar y el saldo al finalizar y ver el resultado funcionando. Las soluciones que corren con inteligencia artificial en nuestra infraestructura llevan además un fee mensual modesto y transparente por mantenerlas operando.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8"/>
              <w:bottom w:val="single" w:color="10B981" w:sz="2"/>
              <w:right w:val="single" w:color="10B981" w:sz="2"/>
            </w:tcBorders>
            <w:shd w:fill="ECFDF5" w:val="clear"/>
            <w:tcMar>
              <w:top w:type="dxa" w:w="120"/>
              <w:left w:type="dxa" w:w="160"/>
              <w:bottom w:type="dxa" w:w="120"/>
              <w:right w:type="dxa" w:w="160"/>
            </w:tcMar>
          </w:tcPr>
          <w:p>
            <w:pPr>
              <w:spacing w:after="60" w:before="0"/>
            </w:pPr>
            <w:r>
              <w:rPr>
                <w:rFonts w:ascii="Inter" w:cs="Inter" w:eastAsia="Inter" w:hAnsi="Inter"/>
                <w:b/>
                <w:bCs/>
                <w:color w:val="10B981"/>
                <w:sz w:val="18"/>
                <w:szCs w:val="18"/>
              </w:rPr>
              <w:t xml:space="preserve">✅ Garantía</w:t>
            </w:r>
          </w:p>
          <w:p>
            <w:pPr>
              <w:spacing w:after="0" w:before="0"/>
            </w:pPr>
            <w:r>
              <w:rPr>
                <w:rFonts w:ascii="Inter" w:cs="Inter" w:eastAsia="Inter" w:hAnsi="Inter"/>
                <w:i w:val="false"/>
                <w:iCs w:val="false"/>
                <w:color w:val="1F2937"/>
                <w:sz w:val="21"/>
                <w:szCs w:val="21"/>
              </w:rPr>
              <w:t xml:space="preserve">1 mes de garantía post-implementación incluida: cubre correcciones y ajustes menores contemplados en el diseño validado. Funcionalidades nuevas o cambios de alcance se cotizan aparte.</w:t>
            </w:r>
          </w:p>
        </w:tc>
      </w:tr>
    </w:tbl>
    <w:p>
      <w:pPr>
        <w:spacing w:after="120" w:before="0"/>
      </w:pPr>
    </w:p>
    <w:p>
      <w:pPr>
        <w:pStyle w:val="Heading2"/>
        <w:spacing w:after="100" w:before="200"/>
        <w:jc w:val="left"/>
      </w:pPr>
      <w:r>
        <w:rPr>
          <w:rFonts w:ascii="Inter" w:cs="Inter" w:eastAsia="Inter" w:hAnsi="Inter"/>
          <w:b/>
          <w:bCs/>
          <w:color w:val="0C1A2E"/>
          <w:sz w:val="26"/>
          <w:szCs w:val="26"/>
        </w:rPr>
        <w:t xml:space="preserve">¿Qué incluye el Ciclo 2?</w:t>
      </w:r>
    </w:p>
    <w:p>
      <w:pPr>
        <w:pStyle w:val="ListParagraph"/>
        <w:numPr>
          <w:ilvl w:val="0"/>
          <w:numId w:val="2"/>
        </w:numPr>
        <w:spacing w:after="60" w:before="60"/>
      </w:pPr>
      <w:r>
        <w:rPr>
          <w:rFonts w:ascii="Inter" w:cs="Inter" w:eastAsia="Inter" w:hAnsi="Inter"/>
          <w:color w:val="1F2937"/>
          <w:sz w:val="22"/>
          <w:szCs w:val="22"/>
        </w:rPr>
        <w:t xml:space="preserve">Análisis detallado de requerimientos y diseño de la solución</w:t>
      </w:r>
    </w:p>
    <w:p>
      <w:pPr>
        <w:pStyle w:val="ListParagraph"/>
        <w:numPr>
          <w:ilvl w:val="0"/>
          <w:numId w:val="2"/>
        </w:numPr>
        <w:spacing w:after="60" w:before="60"/>
      </w:pPr>
      <w:r>
        <w:rPr>
          <w:rFonts w:ascii="Inter" w:cs="Inter" w:eastAsia="Inter" w:hAnsi="Inter"/>
          <w:color w:val="1F2937"/>
          <w:sz w:val="22"/>
          <w:szCs w:val="22"/>
        </w:rPr>
        <w:t xml:space="preserve">Construcción e integración completa</w:t>
      </w:r>
    </w:p>
    <w:p>
      <w:pPr>
        <w:pStyle w:val="ListParagraph"/>
        <w:numPr>
          <w:ilvl w:val="0"/>
          <w:numId w:val="2"/>
        </w:numPr>
        <w:spacing w:after="60" w:before="60"/>
      </w:pPr>
      <w:r>
        <w:rPr>
          <w:rFonts w:ascii="Inter" w:cs="Inter" w:eastAsia="Inter" w:hAnsi="Inter"/>
          <w:color w:val="1F2937"/>
          <w:sz w:val="22"/>
          <w:szCs w:val="22"/>
        </w:rPr>
        <w:t xml:space="preserve">Pruebas y ajustes hasta entrega</w:t>
      </w:r>
    </w:p>
    <w:p>
      <w:pPr>
        <w:pStyle w:val="ListParagraph"/>
        <w:numPr>
          <w:ilvl w:val="0"/>
          <w:numId w:val="2"/>
        </w:numPr>
        <w:spacing w:after="60" w:before="60"/>
      </w:pPr>
      <w:r>
        <w:rPr>
          <w:rFonts w:ascii="Inter" w:cs="Inter" w:eastAsia="Inter" w:hAnsi="Inter"/>
          <w:color w:val="1F2937"/>
          <w:sz w:val="22"/>
          <w:szCs w:val="22"/>
        </w:rPr>
        <w:t xml:space="preserve">Implementación en producción</w:t>
      </w:r>
    </w:p>
    <w:p>
      <w:pPr>
        <w:pStyle w:val="ListParagraph"/>
        <w:numPr>
          <w:ilvl w:val="0"/>
          <w:numId w:val="2"/>
        </w:numPr>
        <w:spacing w:after="60" w:before="60"/>
      </w:pPr>
      <w:r>
        <w:rPr>
          <w:rFonts w:ascii="Inter" w:cs="Inter" w:eastAsia="Inter" w:hAnsi="Inter"/>
          <w:color w:val="1F2937"/>
          <w:sz w:val="22"/>
          <w:szCs w:val="22"/>
        </w:rPr>
        <w:t xml:space="preserve">1 mes de garantía post-implementación</w:t>
      </w:r>
    </w:p>
    <w:p>
      <w:pPr>
        <w:pStyle w:val="ListParagraph"/>
        <w:numPr>
          <w:ilvl w:val="0"/>
          <w:numId w:val="2"/>
        </w:numPr>
        <w:spacing w:after="60" w:before="60"/>
      </w:pPr>
      <w:r>
        <w:rPr>
          <w:rFonts w:ascii="Inter" w:cs="Inter" w:eastAsia="Inter" w:hAnsi="Inter"/>
          <w:color w:val="1F2937"/>
          <w:sz w:val="22"/>
          <w:szCs w:val="22"/>
        </w:rPr>
        <w:t xml:space="preserve">Soporte técnico durante el proyecto</w:t>
      </w:r>
    </w:p>
    <w:p>
      <w:pPr>
        <w:spacing w:after="120" w:before="0"/>
      </w:pPr>
    </w:p>
    <w:p>
      <w:pPr>
        <w:pStyle w:val="Heading2"/>
        <w:spacing w:after="100" w:before="200"/>
        <w:jc w:val="left"/>
      </w:pPr>
      <w:r>
        <w:rPr>
          <w:rFonts w:ascii="Inter" w:cs="Inter" w:eastAsia="Inter" w:hAnsi="Inter"/>
          <w:b/>
          <w:bCs/>
          <w:color w:val="0C1A2E"/>
          <w:sz w:val="26"/>
          <w:szCs w:val="26"/>
        </w:rPr>
        <w:t xml:space="preserve">¿Qué no incluye?</w:t>
      </w:r>
    </w:p>
    <w:p>
      <w:pPr>
        <w:pStyle w:val="ListParagraph"/>
        <w:numPr>
          <w:ilvl w:val="0"/>
          <w:numId w:val="2"/>
        </w:numPr>
        <w:spacing w:after="60" w:before="60"/>
      </w:pPr>
      <w:r>
        <w:rPr>
          <w:rFonts w:ascii="Inter" w:cs="Inter" w:eastAsia="Inter" w:hAnsi="Inter"/>
          <w:color w:val="1F2937"/>
          <w:sz w:val="22"/>
          <w:szCs w:val="22"/>
        </w:rPr>
        <w:t xml:space="preserve">Licencias de software de terceros (si aplica)</w:t>
      </w:r>
    </w:p>
    <w:p>
      <w:pPr>
        <w:pStyle w:val="ListParagraph"/>
        <w:numPr>
          <w:ilvl w:val="0"/>
          <w:numId w:val="2"/>
        </w:numPr>
        <w:spacing w:after="60" w:before="60"/>
      </w:pPr>
      <w:r>
        <w:rPr>
          <w:rFonts w:ascii="Inter" w:cs="Inter" w:eastAsia="Inter" w:hAnsi="Inter"/>
          <w:color w:val="1F2937"/>
          <w:sz w:val="22"/>
          <w:szCs w:val="22"/>
        </w:rPr>
        <w:t xml:space="preserve">Cambios de alcance una vez iniciado el diseño sin acuerdo previo</w:t>
      </w:r>
    </w:p>
    <w:p>
      <w:pPr>
        <w:spacing w:after="120" w:before="0"/>
      </w:pPr>
    </w:p>
    <w:p>
      <w:pPr>
        <w:pStyle w:val="Heading2"/>
        <w:spacing w:after="100" w:before="200"/>
        <w:jc w:val="left"/>
      </w:pPr>
      <w:r>
        <w:rPr>
          <w:rFonts w:ascii="Inter" w:cs="Inter" w:eastAsia="Inter" w:hAnsi="Inter"/>
          <w:b/>
          <w:bCs/>
          <w:color w:val="0C1A2E"/>
          <w:sz w:val="26"/>
          <w:szCs w:val="26"/>
        </w:rPr>
        <w:t xml:space="preserve">Próximos pasos</w:t>
      </w:r>
    </w:p>
    <w:p>
      <w:pPr>
        <w:spacing w:after="80" w:before="80"/>
        <w:jc w:val="left"/>
      </w:pPr>
      <w:r>
        <w:rPr>
          <w:rFonts w:ascii="Inter" w:cs="Inter" w:eastAsia="Inter" w:hAnsi="Inter"/>
          <w:color w:val="1F2937"/>
          <w:sz w:val="22"/>
          <w:szCs w:val="22"/>
        </w:rPr>
        <w:t xml:space="preserve">Si después de leer este reporte quieres avanzar con el Ciclo 2, el proceso es simple: (1) Confirmas cuál iniciativa quieres iniciar primero — si no hay una preferencia clara, te recomendamos el Quick Win sugerido en este reporte. (2) Firmamos el acuerdo de trabajo y procesas el primer pago (50% upfront). (3) Iniciamos el Ciclo 2 en los siguientes 3-5 días hábiles con la etapa de Entendimiento. Si tienes preguntas sobre el alcance, los precios o la metodología antes de decidir, estamos disponibles para una llamada de revisión sin costo.</w:t>
      </w:r>
    </w:p>
    <w:p>
      <w:pPr>
        <w:spacing w:after="80" w:before="0"/>
      </w:pPr>
    </w:p>
    <w:p>
      <w:pPr>
        <w:spacing w:after="60" w:before="60"/>
      </w:pPr>
      <w:r>
        <w:rPr>
          <w:rFonts w:ascii="Inter" w:cs="Inter" w:eastAsia="Inter" w:hAnsi="Inter"/>
          <w:b/>
          <w:bCs/>
          <w:color w:val="0C1A2E"/>
          <w:sz w:val="22"/>
          <w:szCs w:val="22"/>
        </w:rPr>
        <w:t xml:space="preserve">Para avanzar, contactar a: </w:t>
      </w:r>
      <w:r>
        <w:rPr>
          <w:rFonts w:ascii="Inter" w:cs="Inter" w:eastAsia="Inter" w:hAnsi="Inter"/>
          <w:color w:val="1F2937"/>
          <w:sz w:val="22"/>
          <w:szCs w:val="22"/>
        </w:rPr>
        <w:t xml:space="preserve">Ricardo Mejía  ·  [correo por confirmar]  ·  [WhatsApp por confirmar]</w:t>
      </w:r>
    </w:p>
    <w:p>
      <w:r>
        <w:br w:type="page"/>
      </w:r>
    </w:p>
    <w:p>
      <w:pPr>
        <w:pStyle w:val="Heading1"/>
        <w:spacing w:after="140" w:before="280"/>
        <w:jc w:val="left"/>
      </w:pPr>
      <w:r>
        <w:rPr>
          <w:rFonts w:ascii="Inter" w:cs="Inter" w:eastAsia="Inter" w:hAnsi="Inter"/>
          <w:b/>
          <w:bCs/>
          <w:color w:val="0C1A2E"/>
          <w:sz w:val="32"/>
          <w:szCs w:val="32"/>
        </w:rPr>
        <w:t xml:space="preserve">10. Sobre Nexostrat</w:t>
      </w:r>
    </w:p>
    <w:p>
      <w:pPr>
        <w:spacing w:after="80" w:before="80"/>
        <w:jc w:val="left"/>
      </w:pPr>
      <w:r>
        <w:rPr>
          <w:rFonts w:ascii="Inter" w:cs="Inter" w:eastAsia="Inter" w:hAnsi="Inter"/>
          <w:color w:val="1F2937"/>
          <w:sz w:val="22"/>
          <w:szCs w:val="22"/>
        </w:rPr>
        <w:t xml:space="preserve">Nexostrat no vende software ni consultoría tradicional. Somos un equipo de ingenieros y estrategas que entienden el negocio antes de escribir una línea de código. Nuestro proceso — entendimiento, diseño, validación, construcción, pruebas y acompañamiento — garantiza que lo que construimos resuelve el problema real, no el que asumimos. Nos adaptamos a las herramientas que ustedes ya usan en lugar de imponer nuevas, implementamos en paralelo sin frenar su operación, y no dejamos un manual y nos vamos: capacitamos al equipo, acompañamos la adopción y respondemos por el resultado.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200"/>
      <w:jc w:val="right"/>
    </w:pPr>
    <w:r>
      <w:rPr>
        <w:rFonts w:ascii="Inter" w:cs="Inter" w:eastAsia="Inter" w:hAnsi="Inter"/>
        <w:color w:val="6B7280"/>
        <w:sz w:val="18"/>
        <w:szCs w:val="18"/>
      </w:rPr>
      <w:t xml:space="preserve">28 de mayo de 2026</w:t>
    </w:r>
    <w:r>
      <w:t xml:space="preserve">		</w:t>
    </w:r>
    <w:r>
      <w:rPr>
        <w:rFonts w:ascii="Inter" w:cs="Inter" w:eastAsia="Inter" w:hAnsi="Inter"/>
        <w:color w:val="6B7280"/>
        <w:sz w:val="18"/>
        <w:szCs w:val="18"/>
      </w:rPr>
      <w:t xml:space="preserve">Pág. </w:t>
    </w:r>
    <w:r>
      <w:rPr>
        <w:rFonts w:ascii="Inter" w:cs="Inter" w:eastAsia="Inter" w:hAnsi="Inte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spacing w:after="200"/>
    </w:pPr>
    <w:r>
      <w:rPr>
        <w:rFonts w:ascii="Inter" w:cs="Inter" w:eastAsia="Inter" w:hAnsi="Inter"/>
        <w:b/>
        <w:bCs/>
        <w:color w:val="0C1A2E"/>
        <w:sz w:val="18"/>
        <w:szCs w:val="18"/>
      </w:rPr>
      <w:t xml:space="preserve">NEXOSTRAT  ·  </w:t>
    </w:r>
    <w:r>
      <w:rPr>
        <w:rFonts w:ascii="Inter" w:cs="Inter" w:eastAsia="Inter" w:hAnsi="Inter"/>
        <w:color w:val="6B7280"/>
        <w:sz w:val="18"/>
        <w:szCs w:val="18"/>
      </w:rPr>
      <w:t xml:space="preserve">Diagnóstico de Oportunidades de IA — Grupo Trixx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Inter" w:cs="Inter" w:eastAsia="Inter" w:hAnsi="Inter"/>
      <w:b/>
      <w:bCs/>
      <w:color w:val="0C1A2E"/>
      <w:sz w:val="32"/>
      <w:szCs w:val="32"/>
    </w:rPr>
  </w:style>
  <w:style w:type="paragraph" w:styleId="Heading2">
    <w:name w:val="Heading 2"/>
    <w:basedOn w:val="Normal"/>
    <w:next w:val="Normal"/>
    <w:qFormat/>
    <w:pPr>
      <w:spacing w:after="140" w:before="280"/>
      <w:outlineLvl w:val="1"/>
    </w:pPr>
    <w:rPr>
      <w:rFonts w:ascii="Inter" w:cs="Inter" w:eastAsia="Inter" w:hAnsi="Inter"/>
      <w:b/>
      <w:bCs/>
      <w:color w:val="0C1A2E"/>
      <w:sz w:val="26"/>
      <w:szCs w:val="26"/>
    </w:rPr>
  </w:style>
  <w:style w:type="paragraph" w:styleId="Heading3">
    <w:name w:val="Heading 3"/>
    <w:basedOn w:val="Normal"/>
    <w:next w:val="Normal"/>
    <w:qFormat/>
    <w:pPr>
      <w:spacing w:after="100" w:before="200"/>
      <w:outlineLvl w:val="2"/>
    </w:pPr>
    <w:rPr>
      <w:rFonts w:ascii="Inter" w:cs="Inter" w:eastAsia="Inter" w:hAnsi="Inter"/>
      <w:b/>
      <w:bCs/>
      <w:color w:val="0D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2026-05-29T02:53:48.006Z</dcterms:created>
  <dcterms:modified xsi:type="dcterms:W3CDTF">2026-05-29T02:53:48.006Z</dcterms:modified>
</cp:coreProperties>
</file>

<file path=docProps/custom.xml><?xml version="1.0" encoding="utf-8"?>
<Properties xmlns="http://schemas.openxmlformats.org/officeDocument/2006/custom-properties" xmlns:vt="http://schemas.openxmlformats.org/officeDocument/2006/docPropsVTypes"/>
</file>