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b/>
          <w:color w:val="1A2E4A"/>
          <w:sz w:val="52"/>
        </w:rPr>
        <w:t>RESUMEN EJECUTIVO — CONSTRUCTORA ASCENSO S.A.S.</w:t>
      </w:r>
    </w:p>
    <w:p>
      <w:pPr>
        <w:jc w:val="center"/>
      </w:pPr>
      <w:r>
        <w:rPr>
          <w:i/>
          <w:color w:val="556577"/>
          <w:sz w:val="20"/>
        </w:rPr>
        <w:t>Nexostrat — Uso Interno  ·  17 May 2026</w:t>
      </w:r>
    </w:p>
    <w:p>
      <w:r>
        <w:br w:type="page"/>
      </w:r>
    </w:p>
    <w:p>
      <w:pPr>
        <w:spacing w:before="20" w:after="60"/>
      </w:pPr>
      <w:r>
        <w:rPr>
          <w:b/>
          <w:color w:val="1A1A1A"/>
          <w:sz w:val="20"/>
        </w:rPr>
        <w:t>Clasificación:</w:t>
      </w:r>
      <w:r>
        <w:rPr>
          <w:color w:val="1A1A1A"/>
          <w:sz w:val="20"/>
        </w:rPr>
        <w:t xml:space="preserve"> Interno — Uso exclusivo Nexostrat</w:t>
      </w:r>
    </w:p>
    <w:p>
      <w:pPr>
        <w:spacing w:before="20" w:after="60"/>
      </w:pPr>
      <w:r>
        <w:rPr>
          <w:b/>
          <w:color w:val="1A1A1A"/>
          <w:sz w:val="20"/>
        </w:rPr>
        <w:t>Fecha:</w:t>
      </w:r>
      <w:r>
        <w:rPr>
          <w:color w:val="1A1A1A"/>
          <w:sz w:val="20"/>
        </w:rPr>
        <w:t xml:space="preserve"> 2026-05-17</w:t>
      </w:r>
    </w:p>
    <w:p>
      <w:pPr>
        <w:spacing w:before="20" w:after="60"/>
      </w:pPr>
      <w:r>
        <w:rPr>
          <w:b/>
          <w:color w:val="1A1A1A"/>
          <w:sz w:val="20"/>
        </w:rPr>
        <w:t>Pipeline ejecutado:</w:t>
      </w:r>
      <w:r>
        <w:rPr>
          <w:color w:val="1A1A1A"/>
          <w:sz w:val="20"/>
        </w:rPr>
        <w:t xml:space="preserve"> company-analyst → industry-analyst → competitor-analyst → discovery-meeting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1: HALLAZGOS CLAVE</w:t>
      </w:r>
    </w:p>
    <w:p>
      <w:pPr>
        <w:spacing w:before="160" w:after="40"/>
      </w:pPr>
      <w:r>
        <w:rPr>
          <w:b/>
          <w:color w:val="556577"/>
          <w:sz w:val="22"/>
        </w:rPr>
        <w:t>Identificación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3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Razón social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 ASCENSO S.A.S.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NIT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901.042.249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CIIU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F4111 — Construcción de edificios residenciales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Constitución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22 de diciembre de 2016 (~9 años)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Sede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Calle 2 # 20-50, Edificio Q Office (Of. 607), Medellín, Antioquia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Tipo societario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S.A.S.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Estado</w:t>
            </w:r>
          </w:p>
        </w:tc>
        <w:tc>
          <w:tcPr>
            <w:tcW w:type="dxa" w:w="453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Matrícula activa RUES</w:t>
            </w:r>
          </w:p>
        </w:tc>
      </w:tr>
      <w:tr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Clasificación tamaño (informacolombia)</w:t>
            </w:r>
          </w:p>
        </w:tc>
        <w:tc>
          <w:tcPr>
            <w:tcW w:type="dxa" w:w="453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"Large"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Fundadores y equipo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Sin nombres confirmados públicamente.</w:t>
      </w:r>
      <w:r>
        <w:rPr>
          <w:color w:val="1A1A1A"/>
          <w:sz w:val="20"/>
        </w:rPr>
        <w:t xml:space="preserve"> Página /nosotros del sitio web devuelve HTTP 404. No identificados en LinkedIn, RUES gratuito ni CCCS.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Gap a levantar pre-reunión:</w:t>
      </w:r>
      <w:r>
        <w:rPr>
          <w:color w:val="1A1A1A"/>
          <w:sz w:val="20"/>
        </w:rPr>
        <w:t xml:space="preserve"> confirmar quién decide.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Equipo estimado: </w:t>
      </w:r>
      <w:r>
        <w:rPr>
          <w:b/>
          <w:color w:val="1A1A1A"/>
          <w:sz w:val="20"/>
        </w:rPr>
        <w:t>11-50 personas</w:t>
      </w:r>
      <w:r>
        <w:rPr>
          <w:color w:val="1A1A1A"/>
          <w:sz w:val="20"/>
        </w:rPr>
        <w:t xml:space="preserve"> (mediana regional).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Membresías gremiales: </w:t>
      </w:r>
      <w:r>
        <w:rPr>
          <w:b/>
          <w:color w:val="1A1A1A"/>
          <w:sz w:val="20"/>
        </w:rPr>
        <w:t>Camacol + La Lonja + CCCS</w:t>
      </w:r>
      <w:r>
        <w:rPr>
          <w:color w:val="1A1A1A"/>
          <w:sz w:val="20"/>
        </w:rPr>
        <w:t xml:space="preserve"> (Consejo Colombiano de Construcción Sostenible).</w:t>
      </w:r>
    </w:p>
    <w:p>
      <w:pPr>
        <w:spacing w:before="160" w:after="40"/>
      </w:pPr>
      <w:r>
        <w:rPr>
          <w:b/>
          <w:color w:val="556577"/>
          <w:sz w:val="22"/>
        </w:rPr>
        <w:t>Datos económicos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anuales estimados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25.000-50.000M (USD 6-12M)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Estimación gruesa por m² desarrollados × precio promedio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Patrimonio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disponible públicamente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Supersociedades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 figura en muestra disponible del skill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Búsqueda local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Clasificación tamaño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"Large" (directorios privados)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informacolombia, larepublica empresas</w:t>
            </w:r>
          </w:p>
        </w:tc>
      </w:tr>
    </w:tbl>
    <w:p/>
    <w:p>
      <w:pPr>
        <w:spacing w:before="160" w:after="40"/>
      </w:pPr>
      <w:r>
        <w:rPr>
          <w:b/>
          <w:color w:val="556577"/>
          <w:sz w:val="22"/>
        </w:rPr>
        <w:t>Cobertura geográfica y portafolio</w:t>
      </w:r>
    </w:p>
    <w:p>
      <w:pPr>
        <w:spacing w:before="20" w:after="60"/>
      </w:pPr>
      <w:r>
        <w:rPr>
          <w:b/>
          <w:color w:val="1A1A1A"/>
          <w:sz w:val="20"/>
        </w:rPr>
        <w:t>6 ciudades:</w:t>
      </w:r>
      <w:r>
        <w:rPr>
          <w:color w:val="1A1A1A"/>
          <w:sz w:val="20"/>
        </w:rPr>
        <w:t xml:space="preserve"> Medellín, Sabaneta, Itagüí (Valle de Aburrá), Cartagena (Bolívar), Coveñas (Sucre), Montería (Córdoba).</w:t>
      </w:r>
    </w:p>
    <w:p>
      <w:pPr>
        <w:spacing w:before="80" w:after="40"/>
      </w:pPr>
      <w:r>
        <w:rPr>
          <w:b/>
          <w:color w:val="1A2E4A"/>
          <w:sz w:val="20"/>
        </w:rPr>
        <w:t>Tres líneas de producto: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VIS — Vivienda de Interés Social</w:t>
      </w:r>
      <w:r>
        <w:rPr>
          <w:color w:val="1A1A1A"/>
          <w:sz w:val="20"/>
        </w:rPr>
        <w:t xml:space="preserve"> (línea core actual).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NO VIS gama media-alta.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Turística</w:t>
      </w:r>
      <w:r>
        <w:rPr>
          <w:color w:val="1A1A1A"/>
          <w:sz w:val="20"/>
        </w:rPr>
        <w:t xml:space="preserve"> (segunda residencia, Cartagena/Coveñas).</w:t>
      </w:r>
    </w:p>
    <w:p>
      <w:pPr>
        <w:spacing w:before="80" w:after="40"/>
      </w:pPr>
      <w:r>
        <w:rPr>
          <w:b/>
          <w:color w:val="1A2E4A"/>
          <w:sz w:val="20"/>
        </w:rPr>
        <w:t>Proyectos VIS activos en Sabaneta: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Precio desde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Ciudadela el Paraíso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Entrega inmediata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237M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Paraíso Campestre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Proyectado 2028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243M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Portal del Paraíso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Preventa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COP 257M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Cittadel (Medellín, Estadio-Laureles)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Mixed-use: lofts, oficinas, comercial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</w:tr>
    </w:tbl>
    <w:p/>
    <w:p>
      <w:pPr>
        <w:spacing w:before="20" w:after="60"/>
      </w:pPr>
      <w:r>
        <w:rPr>
          <w:b/>
          <w:color w:val="1A1A1A"/>
          <w:sz w:val="20"/>
        </w:rPr>
        <w:t>Acumulado declarado:</w:t>
      </w:r>
      <w:r>
        <w:rPr>
          <w:color w:val="1A1A1A"/>
          <w:sz w:val="20"/>
        </w:rPr>
        <w:t xml:space="preserve"> más de </w:t>
      </w:r>
      <w:r>
        <w:rPr>
          <w:b/>
          <w:color w:val="1A1A1A"/>
          <w:sz w:val="20"/>
        </w:rPr>
        <w:t>65.000-66.000 m² desarrollados</w:t>
      </w:r>
      <w:r>
        <w:rPr>
          <w:color w:val="1A1A1A"/>
          <w:sz w:val="20"/>
        </w:rPr>
        <w:t xml:space="preserve"> desde 2016 — equivalente a ~1.000 unidades VIS en 9 años.</w:t>
      </w:r>
    </w:p>
    <w:p>
      <w:pPr>
        <w:spacing w:before="160" w:after="40"/>
      </w:pPr>
      <w:r>
        <w:rPr>
          <w:b/>
          <w:color w:val="556577"/>
          <w:sz w:val="22"/>
        </w:rPr>
        <w:t>Diferencial declarado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Foco específico VIS Sabaneta</w:t>
      </w:r>
      <w:r>
        <w:rPr>
          <w:color w:val="1A1A1A"/>
          <w:sz w:val="20"/>
        </w:rPr>
        <w:t xml:space="preserve"> — zona de muy alta valorización donde el costo de tierra está al límite.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Sostenibilidad como bandera real</w:t>
      </w:r>
      <w:r>
        <w:rPr>
          <w:color w:val="1A1A1A"/>
          <w:sz w:val="20"/>
        </w:rPr>
        <w:t xml:space="preserve"> — miembros activos de CCCS, certificación EDGE mencionada.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Diversificación de segmentos</w:t>
      </w:r>
      <w:r>
        <w:rPr>
          <w:color w:val="1A1A1A"/>
          <w:sz w:val="20"/>
        </w:rPr>
        <w:t xml:space="preserve"> (VIS + NO VIS + turística) reduce dependencia exclusiva de subsidios.</w:t>
      </w:r>
    </w:p>
    <w:p>
      <w:pPr>
        <w:spacing w:before="160" w:after="40"/>
      </w:pPr>
      <w:r>
        <w:rPr>
          <w:b/>
          <w:color w:val="556577"/>
          <w:sz w:val="22"/>
        </w:rPr>
        <w:t>Madurez digital: 2.5/5</w:t>
      </w:r>
    </w:p>
    <w:p>
      <w:pPr>
        <w:spacing w:before="20" w:after="60"/>
      </w:pPr>
      <w:r>
        <w:rPr>
          <w:color w:val="1A1A1A"/>
          <w:sz w:val="20"/>
        </w:rPr>
        <w:t xml:space="preserve">Presencia digital funcional y multicanal (web + Instagram + Facebook + YouTube + WhatsApp Business), por encima del promedio del sector construcción CO (que es 2/5). </w:t>
      </w:r>
      <w:r>
        <w:rPr>
          <w:b/>
          <w:color w:val="1A1A1A"/>
          <w:sz w:val="20"/>
        </w:rPr>
        <w:t>Gaps críticos: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CRM inmobiliario serio visible (Sienge, Cloubrook, ProperLogic).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recorrido virtual 3D interactivo de gama alta.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configurador de unidades.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simulador de crédito integrado.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Sin BIM declarado (Conconcreto sí tiene).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Página /nosotros con 404 — señal de mantenimiento web no riguroso.</w:t>
      </w:r>
    </w:p>
    <w:p>
      <w:pPr>
        <w:spacing w:before="160" w:after="40"/>
      </w:pPr>
      <w:r>
        <w:rPr>
          <w:b/>
          <w:color w:val="556577"/>
          <w:sz w:val="22"/>
        </w:rPr>
        <w:t>Mercado y contexto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Ventas vivienda CO 2025: +12.4% YoY (174.000 unidades vendidas).</w:t>
      </w:r>
      <w:r>
        <w:rPr>
          <w:color w:val="1A1A1A"/>
          <w:sz w:val="20"/>
        </w:rPr>
        <w:t xml:space="preserve"> VIS creció 10.9%, NO VIS +24.3%.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Iniciaciones de obra 2025: -17.4% YoY (115.687 unidades — la cifra más baja desde 2012).</w:t>
      </w:r>
      <w:r>
        <w:rPr>
          <w:color w:val="1A1A1A"/>
          <w:sz w:val="20"/>
        </w:rPr>
        <w:t xml:space="preserve"> VIS sin VIP cayó -32.6%.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Proyección 2026:</w:t>
      </w:r>
      <w:r>
        <w:rPr>
          <w:color w:val="1A1A1A"/>
          <w:sz w:val="20"/>
        </w:rPr>
        <w:t xml:space="preserve"> iniciaciones podrían caer a 85.000 (-26.5% adicional).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Paradoja:</w:t>
      </w:r>
      <w:r>
        <w:rPr>
          <w:color w:val="1A1A1A"/>
          <w:sz w:val="20"/>
        </w:rPr>
        <w:t xml:space="preserve"> se vende más, se construye menos. Quienes ya tienen proyecto en construcción ganan ventana 2026-2027.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84% de organizaciones en construcción CO NO han iniciado adopción de IA</w:t>
      </w:r>
      <w:r>
        <w:rPr>
          <w:color w:val="1A1A1A"/>
          <w:sz w:val="20"/>
        </w:rPr>
        <w:t xml:space="preserve"> (Camacol BIM Survey 2025).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IA podría generar </w:t>
      </w:r>
      <w:r>
        <w:rPr>
          <w:b/>
          <w:color w:val="1A1A1A"/>
          <w:sz w:val="20"/>
        </w:rPr>
        <w:t>ahorros hasta 30% en costos</w:t>
      </w:r>
      <w:r>
        <w:rPr>
          <w:color w:val="1A1A1A"/>
          <w:sz w:val="20"/>
        </w:rPr>
        <w:t xml:space="preserve"> del sector (referenciado en Camacol).</w:t>
      </w:r>
    </w:p>
    <w:p>
      <w:pPr>
        <w:spacing w:before="160" w:after="40"/>
      </w:pPr>
      <w:r>
        <w:rPr>
          <w:b/>
          <w:color w:val="556577"/>
          <w:sz w:val="22"/>
        </w:rPr>
        <w:t>Competencia principal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 Capital</w:t>
      </w:r>
      <w:r>
        <w:rPr>
          <w:color w:val="1A1A1A"/>
          <w:sz w:val="20"/>
        </w:rPr>
        <w:t xml:space="preserve"> — competidor más directo. Fundada 1992 por hermanos Echeverri. ~8.000 unidades vendidas 2025 (+18% YoY) entre Bogotá y Medellín. Opera VIS Sabaneta-Itagüí-Envigado igual que Ascenso.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Conconcreto</w:t>
      </w:r>
      <w:r>
        <w:rPr>
          <w:color w:val="1A1A1A"/>
          <w:sz w:val="20"/>
        </w:rPr>
        <w:t xml:space="preserve"> — incumbente regional con </w:t>
      </w:r>
      <w:r>
        <w:rPr>
          <w:b/>
          <w:color w:val="1A1A1A"/>
          <w:sz w:val="20"/>
        </w:rPr>
        <w:t>BIM corporativo</w:t>
      </w:r>
      <w:r>
        <w:rPr>
          <w:color w:val="1A1A1A"/>
          <w:sz w:val="20"/>
        </w:rPr>
        <w:t xml:space="preserve"> + exploración IA. Proyectos Sabaneta (Menta) e Itagüí.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Arquitectura y Concreto</w:t>
      </w:r>
      <w:r>
        <w:rPr>
          <w:color w:val="1A1A1A"/>
          <w:sz w:val="20"/>
        </w:rPr>
        <w:t xml:space="preserve"> — referente Antioquia, foco diseño.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 Bolívar</w:t>
      </w:r>
      <w:r>
        <w:rPr>
          <w:color w:val="1A1A1A"/>
          <w:sz w:val="20"/>
        </w:rPr>
        <w:t xml:space="preserve"> — #1 nacional, 28.170 unidades, sinergia con Davivienda.</w:t>
      </w:r>
    </w:p>
    <w:p>
      <w:pPr>
        <w:spacing w:before="160" w:after="40"/>
      </w:pPr>
      <w:r>
        <w:rPr>
          <w:b/>
          <w:color w:val="556577"/>
          <w:sz w:val="22"/>
        </w:rPr>
        <w:t>Riesgos identificados</w:t>
      </w:r>
    </w:p>
    <w:p>
      <w:pPr>
        <w:spacing w:before="20" w:after="60"/>
      </w:pPr>
      <w:r>
        <w:rPr>
          <w:color w:val="1A1A1A"/>
          <w:sz w:val="20"/>
        </w:rPr>
        <w:t>⚠️ Información pública sobre fundadores y directivos es escasa.</w:t>
      </w:r>
    </w:p>
    <w:p>
      <w:pPr>
        <w:spacing w:before="20" w:after="60"/>
      </w:pPr>
      <w:r>
        <w:rPr>
          <w:color w:val="1A1A1A"/>
          <w:sz w:val="20"/>
        </w:rPr>
        <w:t>⚠️ Página /nosotros con error 404 — mantenimiento web no riguroso.</w:t>
      </w:r>
    </w:p>
    <w:p>
      <w:pPr>
        <w:spacing w:before="20" w:after="60"/>
      </w:pPr>
      <w:r>
        <w:rPr>
          <w:color w:val="1A1A1A"/>
          <w:sz w:val="20"/>
        </w:rPr>
        <w:t>⚠️ Sector con caída fuerte en iniciaciones — ánimo defensivo.</w:t>
      </w:r>
    </w:p>
    <w:p>
      <w:pPr>
        <w:spacing w:before="20" w:after="60"/>
      </w:pPr>
      <w:r>
        <w:rPr>
          <w:color w:val="1A1A1A"/>
          <w:sz w:val="20"/>
        </w:rPr>
        <w:t>⚠️ No figura en muestra Supersociedades — limita cuantificación previa.</w:t>
      </w:r>
    </w:p>
    <w:p>
      <w:pPr>
        <w:spacing w:before="20" w:after="60"/>
      </w:pPr>
      <w:r>
        <w:rPr>
          <w:color w:val="1A1A1A"/>
          <w:sz w:val="20"/>
        </w:rPr>
        <w:t>⚠️ Cliente VIS con presupuesto ajustado — propuestas grandes no calzan.</w:t>
      </w:r>
    </w:p>
    <w:p>
      <w:pPr>
        <w:spacing w:before="20" w:after="60"/>
      </w:pPr>
      <w:r>
        <w:rPr>
          <w:color w:val="1A1A1A"/>
          <w:sz w:val="20"/>
        </w:rPr>
        <w:t>⚠️ Cambio de gobierno 2026 puede redefinir Mi Casa Ya.</w:t>
      </w:r>
    </w:p>
    <w:p>
      <w:pPr>
        <w:spacing w:before="160" w:after="40"/>
      </w:pPr>
      <w:r>
        <w:rPr>
          <w:b/>
          <w:color w:val="556577"/>
          <w:sz w:val="22"/>
        </w:rPr>
        <w:t>Oportunidad central para Nexostrat</w:t>
      </w:r>
    </w:p>
    <w:p>
      <w:pPr>
        <w:spacing w:before="20" w:after="60"/>
      </w:pPr>
      <w:r>
        <w:rPr>
          <w:b/>
          <w:color w:val="1A1A1A"/>
          <w:sz w:val="20"/>
        </w:rPr>
        <w:t>Sí vale la llamada — ICP medio-alto.</w:t>
      </w:r>
      <w:r>
        <w:rPr>
          <w:color w:val="1A1A1A"/>
          <w:sz w:val="20"/>
        </w:rPr>
        <w:t xml:space="preserve"> Tamaño mediano con dolor estructural visible (multi-ciudad sin sistema central, funnel VIS sin scoring, WhatsApp manual). Mercado en repunte de ventas. Sector con baja madurez digital — competencia poca y diferenciable. Rango sugerido: diagnóstico USD 1.500-3.000; primer QW USD 8.000-15.000; retainer USD 2.500-5.000/mes.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PARTE 2: RESUMEN POR SKILL</w:t>
      </w:r>
    </w:p>
    <w:p>
      <w:pPr>
        <w:spacing w:before="160" w:after="40"/>
      </w:pPr>
      <w:r>
        <w:rPr>
          <w:b/>
          <w:color w:val="556577"/>
          <w:sz w:val="22"/>
        </w:rPr>
        <w:t>🏢 Company-Analyst — ConstructoraAscenso_AnalisisCompania_20260517</w:t>
      </w:r>
    </w:p>
    <w:p>
      <w:pPr>
        <w:spacing w:before="20" w:after="60"/>
      </w:pPr>
      <w:r>
        <w:rPr>
          <w:color w:val="1A1A1A"/>
          <w:sz w:val="20"/>
        </w:rPr>
        <w:t>Reporte completo de 13 secciones cubriendo perfil empresarial, portafolio VIS/NO VIS/turística, presencia digital, datos financieros (no en Supersociedades, estimación por m²), FODA con 4 puntos por cuadrante, 5 Fuerzas de Porter aplicadas al VIS Valle de Aburrá, cadena de valor con áreas de automatización, 5 Quick Wins de IA, conclusiones, señales de presupuesto, 5 talking points y señales de alerta.</w:t>
      </w:r>
    </w:p>
    <w:p>
      <w:pPr>
        <w:spacing w:before="20" w:after="60"/>
      </w:pPr>
      <w:r>
        <w:rPr>
          <w:b/>
          <w:color w:val="1A1A1A"/>
          <w:sz w:val="20"/>
        </w:rPr>
        <w:t>Hallazgo central:</w:t>
      </w:r>
      <w:r>
        <w:rPr>
          <w:color w:val="1A1A1A"/>
          <w:sz w:val="20"/>
        </w:rPr>
        <w:t xml:space="preserve"> Mediana regional con bandera sostenibilidad auténtica, en mercado de ventas en repunte pero ánimo prudente. Stack tecnológico ligero — vacío de IA total.</w:t>
      </w:r>
    </w:p>
    <w:p>
      <w:pPr>
        <w:spacing w:before="80" w:after="40"/>
      </w:pPr>
      <w:r>
        <w:rPr>
          <w:b/>
          <w:color w:val="1A2E4A"/>
          <w:sz w:val="20"/>
        </w:rPr>
        <w:t>Top 5 Quick Wins de IA identificados: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CRM inmobiliario con scoring IA del lead VIS.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Agente WhatsApp 24/7 con calificación de leads.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Recorridos virtuales 3D + configurador con asistente IA.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Dashboard control obra + costo en tiempo real (foto + IA visión).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Asistente análisis de land bank automatizado.</w:t>
      </w:r>
    </w:p>
    <w:p>
      <w:pPr>
        <w:spacing w:before="160" w:after="40"/>
      </w:pPr>
      <w:r>
        <w:rPr>
          <w:b/>
          <w:color w:val="556577"/>
          <w:sz w:val="22"/>
        </w:rPr>
        <w:t>🏭 Industry-Analyst — ConstruccionResidencialVIS_CO_20260517</w:t>
      </w:r>
    </w:p>
    <w:p>
      <w:pPr>
        <w:spacing w:before="20" w:after="60"/>
      </w:pPr>
      <w:r>
        <w:rPr>
          <w:color w:val="1A1A1A"/>
          <w:sz w:val="20"/>
        </w:rPr>
        <w:t>Análisis sectorial completo del subsector construcción residencial y VIS en Colombia. Cubre subsectores (VIS/VIP, NO VIS, turística, mixed-use), tamaño de mercado (174.000 unidades 2025, +12.4%), paradoja ventas vs iniciaciones, tendencias 3-5 años (BIM consolidándose, IA emergente, build-to-rent), cadena suministro (cemento Argos, escasez mano de obra, tierra escasa), perfil consumidor por 5 segmentos, marco regulatorio (NSR-10, Mi Casa Ya, POT en revisión), estado de adopción de IA (84% sin iniciar, casos referenciables: El Dorado aeropuerto, Conconcreto BIM, Argos AI), PESTEL, madurez digital 2.5/5 promedio, y oportunidades de consultoría.</w:t>
      </w:r>
    </w:p>
    <w:p>
      <w:pPr>
        <w:spacing w:before="20" w:after="60"/>
      </w:pPr>
      <w:r>
        <w:rPr>
          <w:b/>
          <w:color w:val="1A1A1A"/>
          <w:sz w:val="20"/>
        </w:rPr>
        <w:t>Hallazgo central:</w:t>
      </w:r>
      <w:r>
        <w:rPr>
          <w:color w:val="1A1A1A"/>
          <w:sz w:val="20"/>
        </w:rPr>
        <w:t xml:space="preserve"> Sector con vientos de cola fuertes en demanda pero ánimo defensivo por caída de iniciaciones. Adopción IA en fase muy temprana — atajo posible para medianas sin pasar por años de migración BIM.</w:t>
      </w:r>
    </w:p>
    <w:p>
      <w:pPr>
        <w:spacing w:before="160" w:after="40"/>
      </w:pPr>
      <w:r>
        <w:rPr>
          <w:b/>
          <w:color w:val="556577"/>
          <w:sz w:val="22"/>
        </w:rPr>
        <w:t>🥊 Competitor-Analyst — ConstructoraAscenso_Competencia_CO_20260517</w:t>
      </w:r>
    </w:p>
    <w:p>
      <w:pPr>
        <w:spacing w:before="20" w:after="60"/>
      </w:pPr>
      <w:r>
        <w:rPr>
          <w:color w:val="1A1A1A"/>
          <w:sz w:val="20"/>
        </w:rPr>
        <w:t>Mapa competitivo con 5 directos + 3 indirectos. Fichas detalladas de Constructora Capital (competidor #1), Conconcreto (incumbente con BIM), Arquitectura y Concreto, Bolívar (líder nacional), Amarilo, Marval. Indirectos: vivienda usada, micro-constructoras locales, build-to-rent emergente.</w:t>
      </w:r>
    </w:p>
    <w:p>
      <w:pPr>
        <w:spacing w:before="80" w:after="40"/>
      </w:pPr>
      <w:r>
        <w:rPr>
          <w:b/>
          <w:color w:val="1A2E4A"/>
          <w:sz w:val="20"/>
        </w:rPr>
        <w:t>Top brechas vs competencia: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Conconcreto</w:t>
      </w:r>
      <w:r>
        <w:rPr>
          <w:color w:val="1A1A1A"/>
          <w:sz w:val="20"/>
        </w:rPr>
        <w:t xml:space="preserve"> tiene BIM integrado; Ascenso no.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Constructora Capital</w:t>
      </w:r>
      <w:r>
        <w:rPr>
          <w:color w:val="1A1A1A"/>
          <w:sz w:val="20"/>
        </w:rPr>
        <w:t xml:space="preserve"> tiene escala comercial + 33 años de track record.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Bolívar</w:t>
      </w:r>
      <w:r>
        <w:rPr>
          <w:color w:val="1A1A1A"/>
          <w:sz w:val="20"/>
        </w:rPr>
        <w:t xml:space="preserve"> tiene sinergia con Davivienda — financiación integrada.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Pero ningún competidor en VIS Antioquia tiene aún:</w:t>
      </w:r>
      <w:r>
        <w:rPr>
          <w:color w:val="1A1A1A"/>
          <w:sz w:val="20"/>
        </w:rPr>
        <w:t xml:space="preserve"> CRM con scoring IA, agente WhatsApp 24/7, recorridos 3D con configurador IA, BI sell-out unificado. </w:t>
      </w:r>
      <w:r>
        <w:rPr>
          <w:b/>
          <w:color w:val="1A1A1A"/>
          <w:sz w:val="20"/>
        </w:rPr>
        <w:t>Vacío competitivo abierto.</w:t>
      </w:r>
    </w:p>
    <w:p>
      <w:pPr>
        <w:spacing w:before="80" w:after="40"/>
      </w:pPr>
      <w:r>
        <w:rPr>
          <w:b/>
          <w:color w:val="1A2E4A"/>
          <w:sz w:val="20"/>
        </w:rPr>
        <w:t>5 Talking Points para llamada: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BIM y la brecha vs Conconcreto (atajo IA sin migración BIM tradicional).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Lo que nadie en VIS Antioquia hace todavía (agente WhatsApp).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Sostenibilidad CCCS como diferencial pendiente de monetizar.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Coordinación de 6 ciudades sin sistema central.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Urgencia de la ventana 2026-2027.</w:t>
      </w:r>
    </w:p>
    <w:p>
      <w:pPr>
        <w:spacing w:before="160" w:after="40"/>
      </w:pPr>
      <w:r>
        <w:rPr>
          <w:b/>
          <w:color w:val="556577"/>
          <w:sz w:val="22"/>
        </w:rPr>
        <w:t>🎯 Discovery-Meeting — ConstructoraAscenso_GuionReunion_20260517 ⚠️ CONFIDENCIAL</w:t>
      </w:r>
    </w:p>
    <w:p>
      <w:pPr>
        <w:spacing w:before="20" w:after="60"/>
      </w:pPr>
      <w:r>
        <w:rPr>
          <w:color w:val="1A1A1A"/>
          <w:sz w:val="20"/>
        </w:rPr>
        <w:t>Guión completo de 8 secciones para reunión exploratoria de 60 minutos. Distribución de tiempo precisa (5+10+10+8+10+7+5+5 min).</w:t>
      </w:r>
    </w:p>
    <w:p>
      <w:pPr>
        <w:spacing w:before="80" w:after="40"/>
      </w:pPr>
      <w:r>
        <w:rPr>
          <w:b/>
          <w:color w:val="1A2E4A"/>
          <w:sz w:val="20"/>
        </w:rPr>
        <w:t>4 áreas ●●● priorizadas:</w:t>
      </w:r>
    </w:p>
    <w:p>
      <w:pPr>
        <w:pStyle w:val="ListNumber"/>
        <w:spacing w:before="0" w:after="40"/>
      </w:pPr>
      <w:r>
        <w:rPr>
          <w:color w:val="1A1A1A"/>
          <w:sz w:val="20"/>
        </w:rPr>
        <w:t>Ventas / CRM / Funnel VIS (mayor ROI directo).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Atención conversacional WhatsApp.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Control de obra multi-ciudad + costo vs presupuesto.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>Sostenibilidad como diferencial monetizable.</w:t>
      </w:r>
    </w:p>
    <w:p>
      <w:pPr>
        <w:spacing w:before="80" w:after="40"/>
      </w:pPr>
      <w:r>
        <w:rPr>
          <w:b/>
          <w:color w:val="1A2E4A"/>
          <w:sz w:val="20"/>
        </w:rPr>
        <w:t>2 zonas sensibles marcadas: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Comparación con Constructora Capital (no menospreciar a Ascenso por tamaño).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BIM y la brecha vs Conconcreto (no presentar como atraso sino como atajo).</w:t>
      </w:r>
    </w:p>
    <w:p>
      <w:pPr>
        <w:spacing w:before="20" w:after="60"/>
      </w:pPr>
      <w:r>
        <w:rPr>
          <w:b/>
          <w:color w:val="1A1A1A"/>
          <w:sz w:val="20"/>
        </w:rPr>
        <w:t>8 objeciones anticipadas con respuestas listas</w:t>
      </w:r>
      <w:r>
        <w:rPr>
          <w:color w:val="1A1A1A"/>
          <w:sz w:val="20"/>
        </w:rPr>
        <w:t>, incluyendo "no estamos listos para IA", "márgenes VIS ajustados", "Mi Casa Ya puede cambiar" y "las grandes ya hacen esto".</w:t>
      </w:r>
    </w:p>
    <w:p>
      <w:pPr>
        <w:spacing w:before="20" w:after="60"/>
      </w:pPr>
      <w:r>
        <w:rPr>
          <w:b/>
          <w:color w:val="1A1A1A"/>
          <w:sz w:val="20"/>
        </w:rPr>
        <w:t>10 ítems obligatorios a documentar</w:t>
      </w:r>
      <w:r>
        <w:rPr>
          <w:color w:val="1A1A1A"/>
          <w:sz w:val="20"/>
        </w:rPr>
        <w:t>, terminando con disposición de inversión (rango COP 30M-300M).</w:t>
      </w:r>
    </w:p>
    <w:p>
      <w:pPr>
        <w:spacing w:before="80" w:after="40"/>
      </w:pPr>
      <w:r>
        <w:rPr>
          <w:b/>
          <w:color w:val="1A2E4A"/>
          <w:sz w:val="20"/>
        </w:rPr>
        <w:t>Notas finales para Ricardo: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Construcción es cultura de costo — vender margen recuperado, no IA.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Sector estructuralmente prudente tras caída 17% iniciaciones.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Confirmar decisor real al inicio (sin nombres en pre-research).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Sostenibilidad CCCS como gancho diferenciador.</w:t>
      </w:r>
    </w:p>
    <w:p>
      <w:pPr>
        <w:spacing w:before="280" w:after="60"/>
        <w:pBdr>
          <w:bottom w:val="single" w:sz="4" w:space="1" w:color="007AC3"/>
        </w:pBdr>
      </w:pPr>
      <w:r>
        <w:rPr>
          <w:b/>
          <w:color w:val="007AC3"/>
          <w:sz w:val="28"/>
        </w:rPr>
        <w:t>ANEXOS — ARCHIVOS GENERADOS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3022"/>
            <w:shd w:val="clear" w:color="auto" w:fill="1A2E4A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Archivo (.md + .docx)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company-analyst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ConstructoraAscenso_AnalisisCompania_20260517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industry-analyst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ConstruccionResidencialVIS_CO_20260517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competitor-analyst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ConstructoraAscenso_Competencia_CO_20260517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discovery-meeting ⚠️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ConstructoraAscenso_GuionReunion_20260517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Documento resumen del piloto Constructora Ascenso · Nexostrat · 2026-05-17</w:t>
      </w:r>
    </w:p>
    <w:sectPr w:rsidR="00FC693F" w:rsidRPr="0006063C" w:rsidSect="00034616">
      <w:footerReference w:type="default" r:id="rId9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7"/>
        <w:sz w:val="16"/>
      </w:rPr>
      <w:t>Nexostrat — Análisis Empresarial Interno —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