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A2E4A"/>
          <w:sz w:val="56"/>
        </w:rPr>
        <w:t>Análisis de Industria: CONSTRUCCIÓN RESIDENCIAL Y VIVIENDA DE INTERÉS SOCIAL</w:t>
      </w:r>
    </w:p>
    <w:p>
      <w:pPr>
        <w:spacing w:after="80"/>
        <w:jc w:val="center"/>
      </w:pPr>
      <w:r>
        <w:rPr>
          <w:color w:val="556577"/>
          <w:sz w:val="26"/>
        </w:rPr>
        <w:t>Colombia · Mayo 2026</w:t>
      </w:r>
    </w:p>
    <w:p>
      <w:pPr>
        <w:jc w:val="center"/>
      </w:pPr>
      <w:r>
        <w:rPr>
          <w:i/>
          <w:color w:val="556577"/>
          <w:sz w:val="20"/>
        </w:rPr>
        <w:t>Nexostrat — Uso Interno  ·  17 May 2026</w:t>
      </w:r>
    </w:p>
    <w:p>
      <w:r>
        <w:br w:type="page"/>
      </w:r>
    </w:p>
    <w:p>
      <w:pPr>
        <w:spacing w:before="80" w:after="40"/>
      </w:pPr>
      <w:r>
        <w:rPr>
          <w:b/>
          <w:color w:val="1A2E4A"/>
          <w:sz w:val="20"/>
        </w:rPr>
        <w:t>Colombia · Mayo 2026</w:t>
      </w:r>
    </w:p>
    <w:p>
      <w:pPr>
        <w:spacing w:before="20" w:after="60"/>
      </w:pPr>
      <w:r>
        <w:rPr>
          <w:b/>
          <w:color w:val="1A1A1A"/>
          <w:sz w:val="20"/>
        </w:rPr>
        <w:t>Preparado por:</w:t>
      </w:r>
      <w:r>
        <w:rPr>
          <w:color w:val="1A1A1A"/>
          <w:sz w:val="20"/>
        </w:rPr>
        <w:t xml:space="preserve"> Nexostrat — Uso Interno</w:t>
      </w:r>
    </w:p>
    <w:p>
      <w:pPr>
        <w:spacing w:before="20" w:after="60"/>
      </w:pPr>
      <w:r>
        <w:rPr>
          <w:b/>
          <w:color w:val="1A1A1A"/>
          <w:sz w:val="20"/>
        </w:rPr>
        <w:t>Reutilizable para prospectos del sector hasta:</w:t>
      </w:r>
      <w:r>
        <w:rPr>
          <w:color w:val="1A1A1A"/>
          <w:sz w:val="20"/>
        </w:rPr>
        <w:t xml:space="preserve"> noviembre 2026</w:t>
      </w:r>
    </w:p>
    <w:p>
      <w:pPr>
        <w:spacing w:before="20" w:after="60"/>
      </w:pPr>
      <w:r>
        <w:rPr>
          <w:b/>
          <w:color w:val="1A1A1A"/>
          <w:sz w:val="20"/>
        </w:rPr>
        <w:t>Originado por:</w:t>
      </w:r>
      <w:r>
        <w:rPr>
          <w:color w:val="1A1A1A"/>
          <w:sz w:val="20"/>
        </w:rPr>
        <w:t xml:space="preserve"> company-analyst Constructora Ascenso (2026-05-17)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1. CARACTERIZACIÓN DEL SECTOR</w:t>
      </w:r>
    </w:p>
    <w:p>
      <w:pPr>
        <w:spacing w:before="160" w:after="40"/>
      </w:pPr>
      <w:r>
        <w:rPr>
          <w:b/>
          <w:color w:val="556577"/>
          <w:sz w:val="22"/>
        </w:rPr>
        <w:t>Definición y alcance</w:t>
      </w:r>
    </w:p>
    <w:p>
      <w:pPr>
        <w:spacing w:before="20" w:after="60"/>
      </w:pPr>
      <w:r>
        <w:rPr>
          <w:color w:val="1A1A1A"/>
          <w:sz w:val="20"/>
        </w:rPr>
        <w:t xml:space="preserve">Este reporte cubre el </w:t>
      </w:r>
      <w:r>
        <w:rPr>
          <w:b/>
          <w:color w:val="1A1A1A"/>
          <w:sz w:val="20"/>
        </w:rPr>
        <w:t>subsector de construcción residencial y Vivienda de Interés Social (VIS)</w:t>
      </w:r>
      <w:r>
        <w:rPr>
          <w:color w:val="1A1A1A"/>
          <w:sz w:val="20"/>
        </w:rPr>
        <w:t xml:space="preserve"> dentro del sector construcción colombiano. Incluye: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Vivienda Nueva NO VIS</w:t>
      </w:r>
      <w:r>
        <w:rPr>
          <w:color w:val="1A1A1A"/>
          <w:sz w:val="20"/>
        </w:rPr>
        <w:t xml:space="preserve"> (estrato medio-alto y alto).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Vivienda Nueva VIS</w:t>
      </w:r>
      <w:r>
        <w:rPr>
          <w:color w:val="1A1A1A"/>
          <w:sz w:val="20"/>
        </w:rPr>
        <w:t xml:space="preserve"> (Vivienda de Interés Social — tope 150 SMMLV) y </w:t>
      </w:r>
      <w:r>
        <w:rPr>
          <w:b/>
          <w:color w:val="1A1A1A"/>
          <w:sz w:val="20"/>
        </w:rPr>
        <w:t>VIP</w:t>
      </w:r>
      <w:r>
        <w:rPr>
          <w:color w:val="1A1A1A"/>
          <w:sz w:val="20"/>
        </w:rPr>
        <w:t xml:space="preserve"> (Vivienda de Interés Prioritario — tope 90 SMMLV).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Vivienda turística</w:t>
      </w:r>
      <w:r>
        <w:rPr>
          <w:color w:val="1A1A1A"/>
          <w:sz w:val="20"/>
        </w:rPr>
        <w:t xml:space="preserve"> (segunda residencia en zonas costeras y de descanso).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Mixed-use residencial-comercial</w:t>
      </w:r>
      <w:r>
        <w:rPr>
          <w:color w:val="1A1A1A"/>
          <w:sz w:val="20"/>
        </w:rPr>
        <w:t xml:space="preserve"> (lofts, oficinas, locales en complejos habitacionales).</w:t>
      </w:r>
    </w:p>
    <w:p>
      <w:pPr>
        <w:spacing w:before="20" w:after="60"/>
      </w:pPr>
      <w:r>
        <w:rPr>
          <w:b/>
          <w:color w:val="1A1A1A"/>
          <w:sz w:val="20"/>
        </w:rPr>
        <w:t>Excluye:</w:t>
      </w:r>
      <w:r>
        <w:rPr>
          <w:color w:val="1A1A1A"/>
          <w:sz w:val="20"/>
        </w:rPr>
        <w:t xml:space="preserve"> infraestructura civil (vías, puentes, obras públicas), construcción industrial, construcción institucional (hospitales, colegios, edificios públicos), edificación corporativa pura.</w:t>
      </w:r>
    </w:p>
    <w:p>
      <w:pPr>
        <w:spacing w:before="20" w:after="60"/>
      </w:pPr>
      <w:r>
        <w:rPr>
          <w:b/>
          <w:color w:val="1A1A1A"/>
          <w:sz w:val="20"/>
        </w:rPr>
        <w:t>Clasificación DANE/CIIU:</w:t>
      </w:r>
      <w:r>
        <w:rPr>
          <w:color w:val="1A1A1A"/>
          <w:sz w:val="20"/>
        </w:rPr>
        <w:t xml:space="preserve"> Código </w:t>
      </w:r>
      <w:r>
        <w:rPr>
          <w:b/>
          <w:color w:val="1A1A1A"/>
          <w:sz w:val="20"/>
        </w:rPr>
        <w:t>F4111 — Construcción de edificios residenciales</w:t>
      </w:r>
      <w:r>
        <w:rPr>
          <w:color w:val="1A1A1A"/>
          <w:sz w:val="20"/>
        </w:rPr>
        <w:t xml:space="preserve">, con cruces a </w:t>
      </w:r>
      <w:r>
        <w:rPr>
          <w:b/>
          <w:color w:val="1A1A1A"/>
          <w:sz w:val="20"/>
        </w:rPr>
        <w:t>F4112</w:t>
      </w:r>
      <w:r>
        <w:rPr>
          <w:color w:val="1A1A1A"/>
          <w:sz w:val="20"/>
        </w:rPr>
        <w:t xml:space="preserve"> (no residenciales), </w:t>
      </w:r>
      <w:r>
        <w:rPr>
          <w:b/>
          <w:color w:val="1A1A1A"/>
          <w:sz w:val="20"/>
        </w:rPr>
        <w:t>F4290</w:t>
      </w:r>
      <w:r>
        <w:rPr>
          <w:color w:val="1A1A1A"/>
          <w:sz w:val="20"/>
        </w:rPr>
        <w:t xml:space="preserve"> (otras obras), </w:t>
      </w:r>
      <w:r>
        <w:rPr>
          <w:b/>
          <w:color w:val="1A1A1A"/>
          <w:sz w:val="20"/>
        </w:rPr>
        <w:t>L6810</w:t>
      </w:r>
      <w:r>
        <w:rPr>
          <w:color w:val="1A1A1A"/>
          <w:sz w:val="20"/>
        </w:rPr>
        <w:t xml:space="preserve"> (actividades inmobiliarias propias) y </w:t>
      </w:r>
      <w:r>
        <w:rPr>
          <w:b/>
          <w:color w:val="1A1A1A"/>
          <w:sz w:val="20"/>
        </w:rPr>
        <w:t>L6820</w:t>
      </w:r>
      <w:r>
        <w:rPr>
          <w:color w:val="1A1A1A"/>
          <w:sz w:val="20"/>
        </w:rPr>
        <w:t xml:space="preserve"> (administración inmobiliaria a terceros).</w:t>
      </w:r>
    </w:p>
    <w:p>
      <w:pPr>
        <w:spacing w:before="160" w:after="40"/>
      </w:pPr>
      <w:r>
        <w:rPr>
          <w:b/>
          <w:color w:val="556577"/>
          <w:sz w:val="22"/>
        </w:rPr>
        <w:t>Subsectores principales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VIS / VIP</w:t>
      </w:r>
      <w:r>
        <w:rPr>
          <w:color w:val="1A1A1A"/>
          <w:sz w:val="20"/>
        </w:rPr>
        <w:t xml:space="preserve"> (Vivienda subsidiada): el segmento de </w:t>
      </w:r>
      <w:r>
        <w:rPr>
          <w:b/>
          <w:color w:val="1A1A1A"/>
          <w:sz w:val="20"/>
        </w:rPr>
        <w:t>mayor volumen</w:t>
      </w:r>
      <w:r>
        <w:rPr>
          <w:color w:val="1A1A1A"/>
          <w:sz w:val="20"/>
        </w:rPr>
        <w:t xml:space="preserve"> (~67% del total nacional 2025: 117.099 unidades VIS de 173.632 vendidas). Mercado con subsidios estatales (Mi Casa Ya, Concurrencia Departamental).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NO VIS gama media</w:t>
      </w:r>
      <w:r>
        <w:rPr>
          <w:color w:val="1A1A1A"/>
          <w:sz w:val="20"/>
        </w:rPr>
        <w:t xml:space="preserve"> (rango 150-350 SMMLV): segmento de mayor crecimiento 2025 (+24.3%).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NO VIS premium</w:t>
      </w:r>
      <w:r>
        <w:rPr>
          <w:color w:val="1A1A1A"/>
          <w:sz w:val="20"/>
        </w:rPr>
        <w:t xml:space="preserve"> (350+ SMMLV): nicho con clientes inversionistas y de alto patrimonio.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Turística</w:t>
      </w:r>
      <w:r>
        <w:rPr>
          <w:color w:val="1A1A1A"/>
          <w:sz w:val="20"/>
        </w:rPr>
        <w:t xml:space="preserve"> (Cartagena, Santa Marta, Coveñas, Eje Cafetero, Cundinamarca rural): mercado de inversión, segundas residencias.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Mixed-use</w:t>
      </w:r>
      <w:r>
        <w:rPr>
          <w:color w:val="1A1A1A"/>
          <w:sz w:val="20"/>
        </w:rPr>
        <w:t xml:space="preserve"> (zonas urbanas renovadas — Estadio-Laureles Medellín, Chapinero Bogotá, Pance Cali): tendencia creciente.</w:t>
      </w:r>
    </w:p>
    <w:p>
      <w:pPr>
        <w:spacing w:before="160" w:after="40"/>
      </w:pPr>
      <w:r>
        <w:rPr>
          <w:b/>
          <w:color w:val="556577"/>
          <w:sz w:val="22"/>
        </w:rPr>
        <w:t>Tamaño del mercado en Colombia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Ventas totales 2025: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173.632 viviendas vendidas</w:t>
      </w:r>
      <w:r>
        <w:rPr>
          <w:color w:val="1A1A1A"/>
          <w:sz w:val="20"/>
        </w:rPr>
        <w:t xml:space="preserve"> = </w:t>
      </w:r>
      <w:r>
        <w:rPr>
          <w:b/>
          <w:color w:val="1A1A1A"/>
          <w:sz w:val="20"/>
        </w:rPr>
        <w:t>+12.4% YoY</w:t>
      </w:r>
      <w:r>
        <w:rPr>
          <w:color w:val="1A1A1A"/>
          <w:sz w:val="20"/>
        </w:rPr>
        <w:t xml:space="preserve"> (Camacol).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Ventas VIS 2025:</w:t>
      </w:r>
      <w:r>
        <w:rPr>
          <w:color w:val="1A1A1A"/>
          <w:sz w:val="20"/>
        </w:rPr>
        <w:t xml:space="preserve"> 117.099 unidades (+10.9% YoY).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Ventas NO VIS 2025:</w:t>
      </w:r>
      <w:r>
        <w:rPr>
          <w:color w:val="1A1A1A"/>
          <w:sz w:val="20"/>
        </w:rPr>
        <w:t xml:space="preserve"> 56.533 unidades (+24.3% YoY) — segmento de mayor crecimiento.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Iniciaciones de obra 2025: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115.687 unidades — caída del -17.4% YoY</w:t>
      </w:r>
      <w:r>
        <w:rPr>
          <w:color w:val="1A1A1A"/>
          <w:sz w:val="20"/>
        </w:rPr>
        <w:t xml:space="preserve"> (la cifra más baja desde 2012).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VIS sin VIP</w:t>
      </w:r>
      <w:r>
        <w:rPr>
          <w:color w:val="1A1A1A"/>
          <w:sz w:val="20"/>
        </w:rPr>
        <w:t xml:space="preserve"> fue el segmento de iniciaciones más afectado: </w:t>
      </w:r>
      <w:r>
        <w:rPr>
          <w:b/>
          <w:color w:val="1A1A1A"/>
          <w:sz w:val="20"/>
        </w:rPr>
        <w:t>-32.6% YoY</w:t>
      </w:r>
      <w:r>
        <w:rPr>
          <w:color w:val="1A1A1A"/>
          <w:sz w:val="20"/>
        </w:rPr>
        <w:t>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Proyección 2026:</w:t>
      </w:r>
      <w:r>
        <w:rPr>
          <w:color w:val="1A1A1A"/>
          <w:sz w:val="20"/>
        </w:rPr>
        <w:t xml:space="preserve"> las iniciaciones podrían caer a </w:t>
      </w:r>
      <w:r>
        <w:rPr>
          <w:b/>
          <w:color w:val="1A1A1A"/>
          <w:sz w:val="20"/>
        </w:rPr>
        <w:t>85.000 unidades</w:t>
      </w:r>
      <w:r>
        <w:rPr>
          <w:color w:val="1A1A1A"/>
          <w:sz w:val="20"/>
        </w:rPr>
        <w:t xml:space="preserve"> (-26.5% adicional).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PIB sectorial:</w:t>
      </w:r>
      <w:r>
        <w:rPr>
          <w:color w:val="1A1A1A"/>
          <w:sz w:val="20"/>
        </w:rPr>
        <w:t xml:space="preserve"> la construcción aporta ~5-7% del PIB nacional (DANE).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Empleo:</w:t>
      </w:r>
      <w:r>
        <w:rPr>
          <w:color w:val="1A1A1A"/>
          <w:sz w:val="20"/>
        </w:rPr>
        <w:t xml:space="preserve"> la construcción genera ~1.5 millones de empleos directos (DANE).</w:t>
      </w:r>
    </w:p>
    <w:p>
      <w:pPr>
        <w:spacing w:before="160" w:after="40"/>
      </w:pPr>
      <w:r>
        <w:rPr>
          <w:b/>
          <w:color w:val="556577"/>
          <w:sz w:val="22"/>
        </w:rPr>
        <w:t>Cifras clave adicionales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Bogotá:</w:t>
      </w:r>
      <w:r>
        <w:rPr>
          <w:color w:val="1A1A1A"/>
          <w:sz w:val="20"/>
        </w:rPr>
        <w:t xml:space="preserve"> estimación 2025 = 32.697 unidades de las cuales </w:t>
      </w:r>
      <w:r>
        <w:rPr>
          <w:b/>
          <w:color w:val="1A1A1A"/>
          <w:sz w:val="20"/>
        </w:rPr>
        <w:t>75% serán VIS/VIP</w:t>
      </w:r>
      <w:r>
        <w:rPr>
          <w:color w:val="1A1A1A"/>
          <w:sz w:val="20"/>
        </w:rPr>
        <w:t>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Medellín-Valle de Aburrá</w:t>
      </w:r>
      <w:r>
        <w:rPr>
          <w:color w:val="1A1A1A"/>
          <w:sz w:val="20"/>
        </w:rPr>
        <w:t xml:space="preserve"> es la segunda plaza más grande del país, con concentración fuerte en Sabaneta-Itagüí-Envigado-Bello como corredores de mayor crecimiento.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Tasas hipotecarias</w:t>
      </w:r>
      <w:r>
        <w:rPr>
          <w:color w:val="1A1A1A"/>
          <w:sz w:val="20"/>
        </w:rPr>
        <w:t xml:space="preserve"> en 2026 en ciclo a la baja por recortes del Banco República desde 2024.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Subsidio Mi Casa Ya</w:t>
      </w:r>
      <w:r>
        <w:rPr>
          <w:color w:val="1A1A1A"/>
          <w:sz w:val="20"/>
        </w:rPr>
        <w:t xml:space="preserve"> vigente pero con reglas modificadas varias veces 2022-2025; sigue siendo el principal driver de cierre VIS.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Paradoja del mercado 2025:</w:t>
      </w:r>
      <w:r>
        <w:rPr>
          <w:color w:val="1A1A1A"/>
          <w:sz w:val="20"/>
        </w:rPr>
        <w:t xml:space="preserve"> se vende más vivienda nueva pero se construye menos. Quienes ya tienen proyecto en construcción ahora compiten con menos oferta nueva — ventana favorable 2026-2027.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2. PRINCIPALES ACTORES</w:t>
      </w:r>
    </w:p>
    <w:p>
      <w:pPr>
        <w:spacing w:before="160" w:after="40"/>
      </w:pPr>
      <w:r>
        <w:rPr>
          <w:b/>
          <w:color w:val="556577"/>
          <w:sz w:val="22"/>
        </w:rPr>
        <w:t>Líderes nacionales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Facturación / unidades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Presencia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Notas clave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 Bolívar (Grupo Bolívar)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 + Davivienda + Seguros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#1 nacional — 28.170 unidades entregadas (año récord)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Nacional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Sinergia financiera única; foco VIS+NO VIS masivo. Fundada 1983.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 Capital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 independiente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~8.000 unidades vendidas 2025 (Bogotá+Medellín), +18% YoY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Bogotá, Medellín, alrededores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Fundada 1992 por hermanos Echeverri Jaramillo.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Amarilo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 independiente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Top desarrollador CO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Nacional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Liderada por Roberto Moreno.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Conconcreto (cotizada BVC)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 + infraestructura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Grande, cotizada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Nacional + Panamá + Perú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Fundada 1961, antioqueña. BIM integrado.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Arquitectura y Concreto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 boutique premium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Mediana-grande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Antioquia + nacional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Referencia de diseño en Valle de Aburrá.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Marval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Grande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Nacional, foco Santander/Cundinamarca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VIS + NO VIS.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 Cusezar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Grande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Antioquia + Bogotá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VIS + NO VIS.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Conaltura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Mediana-grande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Antioquia + Caribe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VIS turística + NO VIS.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 Ascenso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 mediana regional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~25-50K MUSD estimado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Valle de Aburrá + Caribe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Pure-play multi-segmento mediano.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Internacionales con presencia en Colombia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País de origen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 de presencia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Participación en CO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 MECO Sucursal Colombia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Costa Rica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Sucursal en CO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Obras civiles e ingeniería.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Empresa Constructora Brasil Sucursal Colombia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Brasil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Sucursal en CO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Construcción infraestructura.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Tetra Pak / Hilti / Knauf / Caterpillar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Diversos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Proveedores de equipos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Cliente: todas las constructoras.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Greystar Colombia / PEI / Edify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 / CO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Build-to-rent, fondos inmobiliarios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Modelo nuevo — adquieren y desarrollan para arriendo.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Panorama competitivo</w:t>
      </w:r>
    </w:p>
    <w:p>
      <w:pPr>
        <w:spacing w:before="20" w:after="60"/>
      </w:pPr>
      <w:r>
        <w:rPr>
          <w:b/>
          <w:color w:val="1A1A1A"/>
          <w:sz w:val="20"/>
        </w:rPr>
        <w:t>Mercado fragmentado con concentración creciente.</w:t>
      </w:r>
      <w:r>
        <w:rPr>
          <w:color w:val="1A1A1A"/>
          <w:sz w:val="20"/>
        </w:rPr>
        <w:t xml:space="preserve"> Top-5 nacionales (Bolívar, Capital, Amarilo, Conconcreto, Marval) capturan ~25-30% del volumen total. El resto se distribuye entre cientos de constructoras medianas regionales y miles de micro-constructoras locales. </w:t>
      </w:r>
      <w:r>
        <w:rPr>
          <w:b/>
          <w:color w:val="1A1A1A"/>
          <w:sz w:val="20"/>
        </w:rPr>
        <w:t>Tendencia 2020-2025:</w:t>
      </w:r>
      <w:r>
        <w:rPr>
          <w:color w:val="1A1A1A"/>
          <w:sz w:val="20"/>
        </w:rPr>
        <w:t xml:space="preserve"> consolidación creciente — las grandes con financiación bancaria barata ganan share a las medianas que dependen de bancos comerciales.</w:t>
      </w:r>
    </w:p>
    <w:p>
      <w:pPr>
        <w:spacing w:before="20" w:after="60"/>
      </w:pPr>
      <w:r>
        <w:rPr>
          <w:b/>
          <w:color w:val="1A1A1A"/>
          <w:sz w:val="20"/>
        </w:rPr>
        <w:t>Riesgo estructural:</w:t>
      </w:r>
      <w:r>
        <w:rPr>
          <w:color w:val="1A1A1A"/>
          <w:sz w:val="20"/>
        </w:rPr>
        <w:t xml:space="preserve"> las constructoras pequeñas y medianas con poca caja están en presión por la caída de iniciaciones (-17.4% en 2025). Algunas saldrán del mercado o serán absorbidas; algunas reducen actividad esperando rebote del ciclo.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3. TENDENCIAS CLAVE (3–5 AÑOS)</w:t>
      </w:r>
    </w:p>
    <w:p>
      <w:pPr>
        <w:spacing w:before="160" w:after="40"/>
      </w:pPr>
      <w:r>
        <w:rPr>
          <w:b/>
          <w:color w:val="556577"/>
          <w:sz w:val="22"/>
        </w:rPr>
        <w:t>Tendencias tecnológicas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BIM (Building Information Modeling) consolidándose como estándar mínimo.</w:t>
      </w:r>
      <w:r>
        <w:rPr>
          <w:color w:val="1A1A1A"/>
          <w:sz w:val="20"/>
        </w:rPr>
        <w:t xml:space="preserve"> Conconcreto, Bolívar, Amarilo ya lo usan. </w:t>
      </w:r>
      <w:r>
        <w:rPr>
          <w:b/>
          <w:color w:val="1A1A1A"/>
          <w:sz w:val="20"/>
        </w:rPr>
        <w:t>2025 National BIM Survey (Camacol):</w:t>
      </w:r>
      <w:r>
        <w:rPr>
          <w:color w:val="1A1A1A"/>
          <w:sz w:val="20"/>
        </w:rPr>
        <w:t xml:space="preserve"> 84% de organizaciones aún no inicia adopción de IA, pero BIM avanza más rápido.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IA generativa en planeación y diseño.</w:t>
      </w:r>
      <w:r>
        <w:rPr>
          <w:color w:val="1A1A1A"/>
          <w:sz w:val="20"/>
        </w:rPr>
        <w:t xml:space="preserve"> Caso emblemático: </w:t>
      </w:r>
      <w:r>
        <w:rPr>
          <w:b/>
          <w:color w:val="1A1A1A"/>
          <w:sz w:val="20"/>
        </w:rPr>
        <w:t>El Dorado aeropuerto nueva terminal</w:t>
      </w:r>
      <w:r>
        <w:rPr>
          <w:color w:val="1A1A1A"/>
          <w:sz w:val="20"/>
        </w:rPr>
        <w:t xml:space="preserve"> usó IA en planning + diseño con ahorros significativos. Casos análogos esperados en residencial 2026-2027.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Drones para inspección y reporte de obra.</w:t>
      </w:r>
      <w:r>
        <w:rPr>
          <w:color w:val="1A1A1A"/>
          <w:sz w:val="20"/>
        </w:rPr>
        <w:t xml:space="preserve"> Adopción creciente en obras grandes.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Sensores IoT en obra</w:t>
      </w:r>
      <w:r>
        <w:rPr>
          <w:color w:val="1A1A1A"/>
          <w:sz w:val="20"/>
        </w:rPr>
        <w:t xml:space="preserve"> (temperatura concreto, humedad, vibración) — adopción incipiente.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Realidad virtual / aumentada para sala de ventas</w:t>
      </w:r>
      <w:r>
        <w:rPr>
          <w:color w:val="1A1A1A"/>
          <w:sz w:val="20"/>
        </w:rPr>
        <w:t xml:space="preserve"> y recorridos virtuales — adopción media-alta.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Impresión 3D de elementos constructivos</w:t>
      </w:r>
      <w:r>
        <w:rPr>
          <w:color w:val="1A1A1A"/>
          <w:sz w:val="20"/>
        </w:rPr>
        <w:t xml:space="preserve"> — pioneros en CO (Apis Cor, otros).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Argos como driver de IA en autoconstrucción</w:t>
      </w:r>
      <w:r>
        <w:rPr>
          <w:color w:val="1A1A1A"/>
          <w:sz w:val="20"/>
        </w:rPr>
        <w:t xml:space="preserve"> — el cementero líder está empujando IA al cliente final.</w:t>
      </w:r>
    </w:p>
    <w:p>
      <w:pPr>
        <w:spacing w:before="160" w:after="40"/>
      </w:pPr>
      <w:r>
        <w:rPr>
          <w:b/>
          <w:color w:val="556577"/>
          <w:sz w:val="22"/>
        </w:rPr>
        <w:t>Tendencias del consumidor / cliente final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Comprador VIS más joven y digital-first.</w:t>
      </w:r>
      <w:r>
        <w:rPr>
          <w:color w:val="1A1A1A"/>
          <w:sz w:val="20"/>
        </w:rPr>
        <w:t xml:space="preserve"> Millennials y Gen Z que cierran 100% del proceso digital (búsqueda, comparación, simulación, agendamiento). Si la web/WhatsApp del proyecto no funciona en 5 segundos, se van.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Sostenibilidad como filtro de decisión emergente.</w:t>
      </w:r>
      <w:r>
        <w:rPr>
          <w:color w:val="1A1A1A"/>
          <w:sz w:val="20"/>
        </w:rPr>
        <w:t xml:space="preserve"> EDGE, Casa Colombia, LEED comienzan a tener premium en precio y velocidad de absorción.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Trabajo remoto consolidado</w:t>
      </w:r>
      <w:r>
        <w:rPr>
          <w:color w:val="1A1A1A"/>
          <w:sz w:val="20"/>
        </w:rPr>
        <w:t xml:space="preserve"> = mayor disposición a comprar en municipios satélite (Sabaneta, Funza, La Calera) trabajando para empresas de Bogotá/Medellín.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Demanda de áreas comunes funcionales</w:t>
      </w:r>
      <w:r>
        <w:rPr>
          <w:color w:val="1A1A1A"/>
          <w:sz w:val="20"/>
        </w:rPr>
        <w:t xml:space="preserve"> (coworking, gym, espacios de mascotas) &gt; áreas comunes ornamentales.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Comprador inversor en NO VIS turismo</w:t>
      </w:r>
      <w:r>
        <w:rPr>
          <w:color w:val="1A1A1A"/>
          <w:sz w:val="20"/>
        </w:rPr>
        <w:t xml:space="preserve"> sigue siendo motor del Caribe — Cartagena, Santa Marta, Coveñas, Tayrona.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Resistencia a entregas largas</w:t>
      </w:r>
      <w:r>
        <w:rPr>
          <w:color w:val="1A1A1A"/>
          <w:sz w:val="20"/>
        </w:rPr>
        <w:t xml:space="preserve"> — comprador VIS prefiere "entrega inmediata" sobre "preventa 2028".</w:t>
      </w:r>
    </w:p>
    <w:p>
      <w:pPr>
        <w:spacing w:before="160" w:after="40"/>
      </w:pPr>
      <w:r>
        <w:rPr>
          <w:b/>
          <w:color w:val="556577"/>
          <w:sz w:val="22"/>
        </w:rPr>
        <w:t>Tendencias regulatorias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Mi Casa Ya y subsidios VIS</w:t>
      </w:r>
      <w:r>
        <w:rPr>
          <w:color w:val="1A1A1A"/>
          <w:sz w:val="20"/>
        </w:rPr>
        <w:t xml:space="preserve"> han cambiado reglas múltiples veces 2022-2025. Riesgo regulatorio continuo según gobierno.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Reforma tributaria 2024-2026</w:t>
      </w:r>
      <w:r>
        <w:rPr>
          <w:color w:val="1A1A1A"/>
          <w:sz w:val="20"/>
        </w:rPr>
        <w:t xml:space="preserve"> afecta IVA en construcción y deducciones para constructores.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POT (Planes de Ordenamiento Territorial)</w:t>
      </w:r>
      <w:r>
        <w:rPr>
          <w:color w:val="1A1A1A"/>
          <w:sz w:val="20"/>
        </w:rPr>
        <w:t xml:space="preserve"> en revisión en Bogotá, Medellín, Cali — definen densidades futuras.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Reglamentación EDGE y certificaciones de sostenibilidad</w:t>
      </w:r>
      <w:r>
        <w:rPr>
          <w:color w:val="1A1A1A"/>
          <w:sz w:val="20"/>
        </w:rPr>
        <w:t xml:space="preserve"> ganando peso para acceso a crédito constructor con tasa preferencial (Bancóldex, IFC, BID).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Resoluciones de Curadurías Urbanas</w:t>
      </w:r>
      <w:r>
        <w:rPr>
          <w:color w:val="1A1A1A"/>
          <w:sz w:val="20"/>
        </w:rPr>
        <w:t xml:space="preserve"> — tiempos largos siguen siendo cuello de botella (3-12 meses para licencia).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NSR-10 (Norma Sismo Resistente)</w:t>
      </w:r>
      <w:r>
        <w:rPr>
          <w:color w:val="1A1A1A"/>
          <w:sz w:val="20"/>
        </w:rPr>
        <w:t xml:space="preserve"> y revisiones técnicas obligatorias.</w:t>
      </w:r>
    </w:p>
    <w:p>
      <w:pPr>
        <w:spacing w:before="160" w:after="40"/>
      </w:pPr>
      <w:r>
        <w:rPr>
          <w:b/>
          <w:color w:val="556577"/>
          <w:sz w:val="22"/>
        </w:rPr>
        <w:t>Tendencias de globalización / internacionalización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Build-to-rent (BTR)</w:t>
      </w:r>
      <w:r>
        <w:rPr>
          <w:color w:val="1A1A1A"/>
          <w:sz w:val="20"/>
        </w:rPr>
        <w:t xml:space="preserve"> llegando a CO vía Greystar, PEI, fondos colombianos. Modelo emergente que cambia la economía del joven comprador.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Constructoras colombianas exportando know-how a LatAm</w:t>
      </w:r>
      <w:r>
        <w:rPr>
          <w:color w:val="1A1A1A"/>
          <w:sz w:val="20"/>
        </w:rPr>
        <w:t xml:space="preserve"> (Conconcreto en Panamá-Perú, otros en Centroamérica).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Inversión inmobiliaria extranjera en Cartagena y zonas turísticas</w:t>
      </w:r>
      <w:r>
        <w:rPr>
          <w:color w:val="1A1A1A"/>
          <w:sz w:val="20"/>
        </w:rPr>
        <w:t xml:space="preserve"> desde USA y Europa — los proyectos turísticos compiten en mercado global de segunda residencia.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4. ANÁLISIS DE PROVEEDORES</w:t>
      </w:r>
    </w:p>
    <w:p>
      <w:pPr>
        <w:spacing w:before="160" w:after="40"/>
      </w:pPr>
      <w:r>
        <w:rPr>
          <w:b/>
          <w:color w:val="556577"/>
          <w:sz w:val="22"/>
        </w:rPr>
        <w:t>Estructura de la cadena de suministro</w:t>
      </w:r>
    </w:p>
    <w:p>
      <w:pPr>
        <w:spacing w:before="80" w:after="40"/>
      </w:pPr>
      <w:r>
        <w:rPr>
          <w:b/>
          <w:color w:val="1A2E4A"/>
          <w:sz w:val="20"/>
        </w:rPr>
        <w:t>Insumos críticos: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Insumo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Origen típico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Concentración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Volatilidad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Cemento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Argos (Cementos Argos), Cemex Colombia, Holcim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Alta — 3 dominantes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Acero estructural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Acerías Paz del Río, Diaco, Acesco + importación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Alta (commodity)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Concreto premezclado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Argos, Concrelab, Concretos del Valle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Acabados (cerámica, baño, cocina)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Corona, Alfagres + importación China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Baja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Baja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Hidrosanitario y eléctrico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Diversos proveedores locales + importación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Baja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Baja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Mano de obra calificada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Local — escasez creciente de oficiales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Muy alta — escasez estructural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Costos al alza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Subcontratistas de estructura, mampostería, instalaciones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Local fragmentado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Tierra / lotes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Mercado privado, urbanizadores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Muy alta en zonas valorizadas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Muy alta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Concentración y poder de negociación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Cemento:</w:t>
      </w:r>
      <w:r>
        <w:rPr>
          <w:color w:val="1A1A1A"/>
          <w:sz w:val="20"/>
        </w:rPr>
        <w:t xml:space="preserve"> poder alto del proveedor (Argos, Cemex, Holcim).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Acero:</w:t>
      </w:r>
      <w:r>
        <w:rPr>
          <w:color w:val="1A1A1A"/>
          <w:sz w:val="20"/>
        </w:rPr>
        <w:t xml:space="preserve"> poder medio — importación mitiga.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Mano de obra:</w:t>
      </w:r>
      <w:r>
        <w:rPr>
          <w:color w:val="1A1A1A"/>
          <w:sz w:val="20"/>
        </w:rPr>
        <w:t xml:space="preserve"> poder altísimo — escasez de oficiales calificados sube costos 8-15% anuales.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Tierra en zonas valorizadas:</w:t>
      </w:r>
      <w:r>
        <w:rPr>
          <w:color w:val="1A1A1A"/>
          <w:sz w:val="20"/>
        </w:rPr>
        <w:t xml:space="preserve"> poder altísimo del propietario — define rentabilidad del proyecto.</w:t>
      </w:r>
    </w:p>
    <w:p>
      <w:pPr>
        <w:spacing w:before="160" w:after="40"/>
      </w:pPr>
      <w:r>
        <w:rPr>
          <w:b/>
          <w:color w:val="556577"/>
          <w:sz w:val="22"/>
        </w:rPr>
        <w:t>Disponibilidad y riesgos de suministro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Riesgo principal: escasez de mano de obra calificada</w:t>
      </w:r>
      <w:r>
        <w:rPr>
          <w:color w:val="1A1A1A"/>
          <w:sz w:val="20"/>
        </w:rPr>
        <w:t xml:space="preserve"> — afecta tiempos y costos.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Riesgo de tierra:</w:t>
      </w:r>
      <w:r>
        <w:rPr>
          <w:color w:val="1A1A1A"/>
          <w:sz w:val="20"/>
        </w:rPr>
        <w:t xml:space="preserve"> zonas como Sabaneta, Envigado, Chía, Cota tienen tierra escasa.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Riesgo de cemento e insumos en alza:</w:t>
      </w:r>
      <w:r>
        <w:rPr>
          <w:color w:val="1A1A1A"/>
          <w:sz w:val="20"/>
        </w:rPr>
        <w:t xml:space="preserve"> sigue siendo presión 2024-2026.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Riesgo de retrasos por curadurías y EPM</w:t>
      </w:r>
      <w:r>
        <w:rPr>
          <w:color w:val="1A1A1A"/>
          <w:sz w:val="20"/>
        </w:rPr>
        <w:t xml:space="preserve"> (servicios públicos).</w:t>
      </w:r>
    </w:p>
    <w:p>
      <w:pPr>
        <w:spacing w:before="160" w:after="40"/>
      </w:pPr>
      <w:r>
        <w:rPr>
          <w:b/>
          <w:color w:val="556577"/>
          <w:sz w:val="22"/>
        </w:rPr>
        <w:t>Tendencias en precios de insumos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Cemento, acero, concreto:</w:t>
      </w:r>
      <w:r>
        <w:rPr>
          <w:color w:val="1A1A1A"/>
          <w:sz w:val="20"/>
        </w:rPr>
        <w:t xml:space="preserve"> alza moderada 2025-2026 (~5-8% anual).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Acabados importados:</w:t>
      </w:r>
      <w:r>
        <w:rPr>
          <w:color w:val="1A1A1A"/>
          <w:sz w:val="20"/>
        </w:rPr>
        <w:t xml:space="preserve"> sujeto a tipo de cambio.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Mano de obra:</w:t>
      </w:r>
      <w:r>
        <w:rPr>
          <w:color w:val="1A1A1A"/>
          <w:sz w:val="20"/>
        </w:rPr>
        <w:t xml:space="preserve"> alza fuerte (~10-15% anual) por escasez.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Tierra valorizada:</w:t>
      </w:r>
      <w:r>
        <w:rPr>
          <w:color w:val="1A1A1A"/>
          <w:sz w:val="20"/>
        </w:rPr>
        <w:t xml:space="preserve"> alza muy fuerte 15-25% anual en corredores premium.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5. ANÁLISIS DE CLIENTES</w:t>
      </w:r>
    </w:p>
    <w:p>
      <w:pPr>
        <w:spacing w:before="160" w:after="40"/>
      </w:pPr>
      <w:r>
        <w:rPr>
          <w:b/>
          <w:color w:val="556577"/>
          <w:sz w:val="22"/>
        </w:rPr>
        <w:t>Perfil del comprador actual</w:t>
      </w:r>
    </w:p>
    <w:p>
      <w:pPr>
        <w:spacing w:before="80" w:after="40"/>
      </w:pPr>
      <w:r>
        <w:rPr>
          <w:b/>
          <w:color w:val="1A2E4A"/>
          <w:sz w:val="20"/>
        </w:rPr>
        <w:t>Segmentos: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Comprador VIS subsidiado:</w:t>
      </w:r>
      <w:r>
        <w:rPr>
          <w:color w:val="1A1A1A"/>
          <w:sz w:val="20"/>
        </w:rPr>
        <w:t xml:space="preserve"> estrato 1-3, primer vivienda, dependiente de Mi Casa Ya, edad 25-45. Compra el primer apartamento de su vida. </w:t>
      </w:r>
      <w:r>
        <w:rPr>
          <w:b/>
          <w:color w:val="1A1A1A"/>
          <w:sz w:val="20"/>
        </w:rPr>
        <w:t>Funnel largo</w:t>
      </w:r>
      <w:r>
        <w:rPr>
          <w:color w:val="1A1A1A"/>
          <w:sz w:val="20"/>
        </w:rPr>
        <w:t xml:space="preserve"> (3-9 meses).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Comprador VIS no subsidiado (gama alta VIS):</w:t>
      </w:r>
      <w:r>
        <w:rPr>
          <w:color w:val="1A1A1A"/>
          <w:sz w:val="20"/>
        </w:rPr>
        <w:t xml:space="preserve"> estrato 2-4, busca precio ajustado pero sin subsidio. Funnel medio.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Comprador NO VIS medio:</w:t>
      </w:r>
      <w:r>
        <w:rPr>
          <w:color w:val="1A1A1A"/>
          <w:sz w:val="20"/>
        </w:rPr>
        <w:t xml:space="preserve"> estrato 3-5, upgrade de vivienda, edad 35-55. Funnel medio.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Comprador NO VIS premium:</w:t>
      </w:r>
      <w:r>
        <w:rPr>
          <w:color w:val="1A1A1A"/>
          <w:sz w:val="20"/>
        </w:rPr>
        <w:t xml:space="preserve"> estrato 4-6, inversión o vivienda de calidad superior, edad 40+. Funnel corto.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Comprador turismo:</w:t>
      </w:r>
      <w:r>
        <w:rPr>
          <w:color w:val="1A1A1A"/>
          <w:sz w:val="20"/>
        </w:rPr>
        <w:t xml:space="preserve"> segunda vivienda, inversión, edad 45+, capacidad alta, compra emocional.</w:t>
      </w:r>
    </w:p>
    <w:p>
      <w:pPr>
        <w:spacing w:before="160" w:after="40"/>
      </w:pPr>
      <w:r>
        <w:rPr>
          <w:b/>
          <w:color w:val="556577"/>
          <w:sz w:val="22"/>
        </w:rPr>
        <w:t>Cómo cambió el comprador en los últimos 3 años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De búsqueda en sala a búsqueda 100% digital.</w:t>
      </w:r>
      <w:r>
        <w:rPr>
          <w:color w:val="1A1A1A"/>
          <w:sz w:val="20"/>
        </w:rPr>
        <w:t xml:space="preserve"> Portales (Metrocuadrado, Finca Raíz, Ciencuadras, Properati) + redes + WhatsApp ANTES de pisar sala.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De decisión por amigos/familia a decisión por reseñas y reels.</w:t>
      </w:r>
      <w:r>
        <w:rPr>
          <w:color w:val="1A1A1A"/>
          <w:sz w:val="20"/>
        </w:rPr>
        <w:t xml:space="preserve"> Influencers, Tiktokers, reseñas de proyectos en Google.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De "compro lo que vende el asesor" a "comparo 5 proyectos antes de visitar".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De aceptar tiempos largos a exigir respuesta inmediata.</w:t>
      </w:r>
      <w:r>
        <w:rPr>
          <w:color w:val="1A1A1A"/>
          <w:sz w:val="20"/>
        </w:rPr>
        <w:t xml:space="preserve"> Si nadie contesta el WhatsApp en 1 hora, se va al siguiente proyecto.</w:t>
      </w:r>
    </w:p>
    <w:p>
      <w:pPr>
        <w:spacing w:before="160" w:after="40"/>
      </w:pPr>
      <w:r>
        <w:rPr>
          <w:b/>
          <w:color w:val="556577"/>
          <w:sz w:val="22"/>
        </w:rPr>
        <w:t>Qué valoran hoy que antes no valoraban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Conectividad (fibra, 5G, coworking).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Sostenibilidad certificada y eficiencia energética.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Áreas comunes funcionales</w:t>
      </w:r>
      <w:r>
        <w:rPr>
          <w:color w:val="1A1A1A"/>
          <w:sz w:val="20"/>
        </w:rPr>
        <w:t xml:space="preserve"> (mascotas, gym, coworking, lavandería).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Cercanía al transporte masivo</w:t>
      </w:r>
      <w:r>
        <w:rPr>
          <w:color w:val="1A1A1A"/>
          <w:sz w:val="20"/>
        </w:rPr>
        <w:t xml:space="preserve"> (Metro Medellín, TransMilenio Bogotá).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Respuesta digital inmediata.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Visualización 3D / tour virtual antes de visita.</w:t>
      </w:r>
    </w:p>
    <w:p>
      <w:pPr>
        <w:spacing w:before="160" w:after="40"/>
      </w:pPr>
      <w:r>
        <w:rPr>
          <w:b/>
          <w:color w:val="556577"/>
          <w:sz w:val="22"/>
        </w:rPr>
        <w:t>Segmentos de mayor crecimiento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NO VIS gama media (+24.3% en 2025)</w:t>
      </w:r>
      <w:r>
        <w:rPr>
          <w:color w:val="1A1A1A"/>
          <w:sz w:val="20"/>
        </w:rPr>
        <w:t xml:space="preserve"> — segmento más dinámico.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VIS suburbana Antioquia/Cundinamarca</w:t>
      </w:r>
      <w:r>
        <w:rPr>
          <w:color w:val="1A1A1A"/>
          <w:sz w:val="20"/>
        </w:rPr>
        <w:t xml:space="preserve"> (Sabaneta, Funza, Chía, Cota, Mosquera).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Turismo Caribe</w:t>
      </w:r>
      <w:r>
        <w:rPr>
          <w:color w:val="1A1A1A"/>
          <w:sz w:val="20"/>
        </w:rPr>
        <w:t xml:space="preserve"> (Cartagena, Santa Marta, Coveñas).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Mixed-use renovación urbana</w:t>
      </w:r>
      <w:r>
        <w:rPr>
          <w:color w:val="1A1A1A"/>
          <w:sz w:val="20"/>
        </w:rPr>
        <w:t xml:space="preserve"> (Chapinero Bogotá, Estadio-Laureles Medellín).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6. MARCO REGULATORIO</w:t>
      </w:r>
    </w:p>
    <w:p>
      <w:pPr>
        <w:spacing w:before="160" w:after="40"/>
      </w:pPr>
      <w:r>
        <w:rPr>
          <w:b/>
          <w:color w:val="556577"/>
          <w:sz w:val="22"/>
        </w:rPr>
        <w:t>Entidad reguladora principal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Ministerio de Vivienda, Ciudad y Territorio</w:t>
      </w:r>
      <w:r>
        <w:rPr>
          <w:color w:val="1A1A1A"/>
          <w:sz w:val="20"/>
        </w:rPr>
        <w:t xml:space="preserve"> — política sectorial.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Min Hacienda + Fondo Nacional del Ahorro + FNG</w:t>
      </w:r>
      <w:r>
        <w:rPr>
          <w:color w:val="1A1A1A"/>
          <w:sz w:val="20"/>
        </w:rPr>
        <w:t xml:space="preserve"> — subsidios y garantías.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Curadurías Urbanas (privadas, designadas)</w:t>
      </w:r>
      <w:r>
        <w:rPr>
          <w:color w:val="1A1A1A"/>
          <w:sz w:val="20"/>
        </w:rPr>
        <w:t xml:space="preserve"> — emisión de licencias por municipio.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Superfinanciera</w:t>
      </w:r>
      <w:r>
        <w:rPr>
          <w:color w:val="1A1A1A"/>
          <w:sz w:val="20"/>
        </w:rPr>
        <w:t xml:space="preserve"> — fiducias y crédito constructor.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Camacol + Consejo Profesional Nacional de Ingeniería</w:t>
      </w:r>
      <w:r>
        <w:rPr>
          <w:color w:val="1A1A1A"/>
          <w:sz w:val="20"/>
        </w:rPr>
        <w:t xml:space="preserve"> — gremio + regulación profesional.</w:t>
      </w:r>
    </w:p>
    <w:p>
      <w:pPr>
        <w:spacing w:before="160" w:after="40"/>
      </w:pPr>
      <w:r>
        <w:rPr>
          <w:b/>
          <w:color w:val="556577"/>
          <w:sz w:val="22"/>
        </w:rPr>
        <w:t>Normativa vigente más relevante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Norma / Ley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Año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regula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Impacto en el sector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NSR-10 (Reglamento Sismo Resistente)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2010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Diseño y construcción sismo-resistente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Obligatorio. Actualizaciones periódicas en discusión.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Ley 388/1997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1997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Ley de Desarrollo Territorial — POT, licencias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Marco maestro.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Decreto 1077/2015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2015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Decreto Único Reglamentario Sector Vivienda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Compila normatividad sectorial.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Subsidios Mi Casa Ya / Concurrencia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2014-en adelante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Subsidios VIS y VIP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Crítico para la economía del segmento VIS. Reglas modificadas múltiples veces 2022-2025.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Ley 675/2001 — Propiedad Horizontal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2001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Régimen de PH para edificios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Operacional.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Resolución 2492 etiquetado (en sector alimentos, no aplica directo)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Ley 1796/2016 / 2106/2019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2016-2019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Calidad de vivienda — pólizas decenales obligatorias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Obligatorio. Encareció seguros.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Política de cierre financiero VIS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Ongoing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Tasas preferenciales y subsidios crédito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Banco República + FNG.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Cambios regulatorios en curso o anticipados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Reforma a Mi Casa Ya post-2026</w:t>
      </w:r>
      <w:r>
        <w:rPr>
          <w:color w:val="1A1A1A"/>
          <w:sz w:val="20"/>
        </w:rPr>
        <w:t xml:space="preserve"> — el nuevo gobierno (elecciones 2026) podría redefinir tope de subsidio, criterios y cobertura.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POT en revisión Bogotá, Medellín, Cali</w:t>
      </w:r>
      <w:r>
        <w:rPr>
          <w:color w:val="1A1A1A"/>
          <w:sz w:val="20"/>
        </w:rPr>
        <w:t xml:space="preserve"> — define densidades y usos en próximos 12-24 meses.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Reforma tributaria con impacto en IVA construcción</w:t>
      </w:r>
      <w:r>
        <w:rPr>
          <w:color w:val="1A1A1A"/>
          <w:sz w:val="20"/>
        </w:rPr>
        <w:t xml:space="preserve"> — discusión 2025-2026.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Endurecimiento de NSR sismo-resistente</w:t>
      </w:r>
      <w:r>
        <w:rPr>
          <w:color w:val="1A1A1A"/>
          <w:sz w:val="20"/>
        </w:rPr>
        <w:t xml:space="preserve"> — costo adicional para constructora.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Reglamentación de Build-to-Rent</w:t>
      </w:r>
      <w:r>
        <w:rPr>
          <w:color w:val="1A1A1A"/>
          <w:sz w:val="20"/>
        </w:rPr>
        <w:t xml:space="preserve"> — pendiente, modelo emergente.</w:t>
      </w:r>
    </w:p>
    <w:p>
      <w:pPr>
        <w:spacing w:before="160" w:after="40"/>
      </w:pPr>
      <w:r>
        <w:rPr>
          <w:b/>
          <w:color w:val="556577"/>
          <w:sz w:val="22"/>
        </w:rPr>
        <w:t>Riesgos de compliance relevantes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Incumplimiento de pólizas decenales</w:t>
      </w:r>
      <w:r>
        <w:rPr>
          <w:color w:val="1A1A1A"/>
          <w:sz w:val="20"/>
        </w:rPr>
        <w:t xml:space="preserve"> — sanciones + bloqueo de futuros proyectos.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Licencias urbanísticas mal tramitadas</w:t>
      </w:r>
      <w:r>
        <w:rPr>
          <w:color w:val="1A1A1A"/>
          <w:sz w:val="20"/>
        </w:rPr>
        <w:t xml:space="preserve"> — retrasos cuestan miles de millones.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Cierre financiero VIS sin subsidio aprobado</w:t>
      </w:r>
      <w:r>
        <w:rPr>
          <w:color w:val="1A1A1A"/>
          <w:sz w:val="20"/>
        </w:rPr>
        <w:t xml:space="preserve"> — riesgo de no entrega y demandas.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NSR-10 mal aplicado en obra</w:t>
      </w:r>
      <w:r>
        <w:rPr>
          <w:color w:val="1A1A1A"/>
          <w:sz w:val="20"/>
        </w:rPr>
        <w:t xml:space="preserve"> — responsabilidad civil + penal.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Cadena de pagos a subcontratistas</w:t>
      </w:r>
      <w:r>
        <w:rPr>
          <w:color w:val="1A1A1A"/>
          <w:sz w:val="20"/>
        </w:rPr>
        <w:t xml:space="preserve"> — riesgo laboral solidario.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7. IMPACTO DE LA IA EN EL SECTOR</w:t>
      </w:r>
    </w:p>
    <w:p>
      <w:pPr>
        <w:spacing w:before="160" w:after="40"/>
      </w:pPr>
      <w:r>
        <w:rPr>
          <w:b/>
          <w:color w:val="556577"/>
          <w:sz w:val="22"/>
        </w:rPr>
        <w:t>Estado actual de adopción</w:t>
      </w:r>
    </w:p>
    <w:p>
      <w:pPr>
        <w:spacing w:before="20" w:after="60"/>
      </w:pPr>
      <w:r>
        <w:rPr>
          <w:b/>
          <w:color w:val="1A1A1A"/>
          <w:sz w:val="20"/>
        </w:rPr>
        <w:t>Bajo, pero creciendo rápido.</w:t>
      </w:r>
      <w:r>
        <w:rPr>
          <w:color w:val="1A1A1A"/>
          <w:sz w:val="20"/>
        </w:rPr>
        <w:t xml:space="preserve"> Según </w:t>
      </w:r>
      <w:r>
        <w:rPr>
          <w:b/>
          <w:color w:val="1A1A1A"/>
          <w:sz w:val="20"/>
        </w:rPr>
        <w:t>2025 National BIM Survey (Camacol)</w:t>
      </w:r>
      <w:r>
        <w:rPr>
          <w:color w:val="1A1A1A"/>
          <w:sz w:val="20"/>
        </w:rPr>
        <w:t xml:space="preserve">, </w:t>
      </w:r>
      <w:r>
        <w:rPr>
          <w:b/>
          <w:color w:val="1A1A1A"/>
          <w:sz w:val="20"/>
        </w:rPr>
        <w:t>84% de organizaciones colombianas en construcción NO han iniciado adopción de IA</w:t>
      </w:r>
      <w:r>
        <w:rPr>
          <w:color w:val="1A1A1A"/>
          <w:sz w:val="20"/>
        </w:rPr>
        <w:t xml:space="preserve"> o están en exploración. Las que sí están adoptando lo hacen principalmente vía BIM como puerta de entrada.</w:t>
      </w:r>
    </w:p>
    <w:p>
      <w:pPr>
        <w:spacing w:before="80" w:after="40"/>
      </w:pPr>
      <w:r>
        <w:rPr>
          <w:b/>
          <w:color w:val="1A2E4A"/>
          <w:sz w:val="20"/>
        </w:rPr>
        <w:t>Polarización: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Grandes incumbentes (Conconcreto, Bolívar, Amarilo, Argos):</w:t>
      </w:r>
      <w:r>
        <w:rPr>
          <w:color w:val="1A1A1A"/>
          <w:sz w:val="20"/>
        </w:rPr>
        <w:t xml:space="preserve"> BIM consolidado, exploración seria de IA. Casos: aeropuerto El Dorado con IA en planning.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Medianas y pequeñas:</w:t>
      </w:r>
      <w:r>
        <w:rPr>
          <w:color w:val="1A1A1A"/>
          <w:sz w:val="20"/>
        </w:rPr>
        <w:t xml:space="preserve"> adopción casi nula. Stack típico: AutoCAD + Excel + WhatsApp + ERP ligero (Sinco, Siigo).</w:t>
      </w:r>
    </w:p>
    <w:p>
      <w:pPr>
        <w:spacing w:before="160" w:after="40"/>
      </w:pPr>
      <w:r>
        <w:rPr>
          <w:b/>
          <w:color w:val="556577"/>
          <w:sz w:val="22"/>
        </w:rPr>
        <w:t>Casos de uso ya implementados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Herramienta / empresa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Resultado reportado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IA en planeación + diseño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Aeropuerto El Dorado (CO) — terminal nueva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Optimización de espacio + reducción significativa de costos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BIM corporativo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Conconcreto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Detección de conflictos pre-obra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Drones para inspección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Argos y otros para autoconstructores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Reducción de tiempo de inspección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IA en pricing dinámico de unidades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Modelos internos en grandes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Optimización de release de inventario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CRM con IA en lead scoring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Sinergia Davivienda-Bolívar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Mejor cierre con prospectos de crédito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Argos — IA para autoconstructores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Argos.co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Recomendaciones de producto al autoconstructor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Optimización energética con IA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EDGE projects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Reducción consumo energético en edificio terminado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Herramientas de IA dominantes en el sector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Autodesk Revit + BIM 360</w:t>
      </w:r>
      <w:r>
        <w:rPr>
          <w:color w:val="1A1A1A"/>
          <w:sz w:val="20"/>
        </w:rPr>
        <w:t xml:space="preserve"> — software dominante.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Procore, Sienge</w:t>
      </w:r>
      <w:r>
        <w:rPr>
          <w:color w:val="1A1A1A"/>
          <w:sz w:val="20"/>
        </w:rPr>
        <w:t xml:space="preserve"> — ERP de construcción con módulos IA.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Argos AI Tools</w:t>
      </w:r>
      <w:r>
        <w:rPr>
          <w:color w:val="1A1A1A"/>
          <w:sz w:val="20"/>
        </w:rPr>
        <w:t xml:space="preserve"> — Argos como vendor desde el cemento.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PIX 4D, DJI Terra</w:t>
      </w:r>
      <w:r>
        <w:rPr>
          <w:color w:val="1A1A1A"/>
          <w:sz w:val="20"/>
        </w:rPr>
        <w:t xml:space="preserve"> — drones + análisis IA.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CRM inmobiliario:</w:t>
      </w:r>
      <w:r>
        <w:rPr>
          <w:color w:val="1A1A1A"/>
          <w:sz w:val="20"/>
        </w:rPr>
        <w:t xml:space="preserve"> Cloubrook, Bitrix24, ProperLogic, HubSpot.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Stack accesible a mipymes:</w:t>
      </w:r>
      <w:r>
        <w:rPr>
          <w:color w:val="1A1A1A"/>
          <w:sz w:val="20"/>
        </w:rPr>
        <w:t xml:space="preserve"> ChatGPT/Claude API, Make/n8n, WhatsApp Cloud API, Shopify (para tienda virtual de unidades), Metabase/Power BI.</w:t>
      </w:r>
    </w:p>
    <w:p>
      <w:pPr>
        <w:spacing w:before="160" w:after="40"/>
      </w:pPr>
      <w:r>
        <w:rPr>
          <w:b/>
          <w:color w:val="556577"/>
          <w:sz w:val="22"/>
        </w:rPr>
        <w:t>Barreras de adopción en Colombia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Falta de conocimiento.</w:t>
      </w:r>
      <w:r>
        <w:rPr>
          <w:color w:val="1A1A1A"/>
          <w:sz w:val="20"/>
        </w:rPr>
        <w:t xml:space="preserve"> 84% sin iniciar (Camacol).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Escasez de talento técnico.</w:t>
      </w:r>
      <w:r>
        <w:rPr>
          <w:color w:val="1A1A1A"/>
          <w:sz w:val="20"/>
        </w:rPr>
        <w:t xml:space="preserve"> Pocos data engineers en construcción.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Cultura "siempre se ha hecho así".</w:t>
      </w:r>
      <w:r>
        <w:rPr>
          <w:color w:val="1A1A1A"/>
          <w:sz w:val="20"/>
        </w:rPr>
        <w:t xml:space="preserve"> Resistencia tradicional.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Presupuesto ajustado en VIS</w:t>
      </w:r>
      <w:r>
        <w:rPr>
          <w:color w:val="1A1A1A"/>
          <w:sz w:val="20"/>
        </w:rPr>
        <w:t xml:space="preserve"> — cada peso cuenta y la IA se percibe como gasto, no inversión.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Cadena de subcontratistas fragmentada</w:t>
      </w:r>
      <w:r>
        <w:rPr>
          <w:color w:val="1A1A1A"/>
          <w:sz w:val="20"/>
        </w:rPr>
        <w:t xml:space="preserve"> — difícil estandarizar datos.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Datos no estructurados</w:t>
      </w:r>
      <w:r>
        <w:rPr>
          <w:color w:val="1A1A1A"/>
          <w:sz w:val="20"/>
        </w:rPr>
        <w:t xml:space="preserve"> — bitácoras en papel, fotos sueltas.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8. OPORTUNIDADES Y AMENAZAS DEL ENTORNO (PESTEL)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Oportunidades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Amenazas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Político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Política pública pro-vivienda (subsidios, tasas preferenciales).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Cambio de gobierno 2026 puede redefinir Mi Casa Ya y subsidios.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Económico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Ventas +12.4%; tasas a la baja del Banco República; inflación moderada.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Iniciaciones -17.4% (cifra más baja desde 2012); proyección -26.5% en 2026; presión inflacionaria insumos.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Social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Demanda demográfica fuerte (jóvenes, migrantes internos). Trabajo remoto desconcentra demanda a municipios satélite.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Caída del poder adquisitivo en estratos 1-3; informalidad creciente; desempleo.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Tecnológico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IA + BIM + drones aún en fase temprana (84% sin adoptar) = ventana abierta. Stack accesible a mipymes.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Velocidad de cambio que las medianas no absorben sin ayuda externa.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Ecológico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EDGE, LEED, Casa Colombia como diferencial. Crédito verde con tasa preferencial.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Cambio climático afecta zonas costeras (vivienda turística Cartagena). Norma NSR endureciendo.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Legal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Marco regulatorio relativamente estable. POT en revisión = oportunidad para constructoras con visión.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Curadurías urbanas con tiempos largos (3-12 meses); reforma tributaria con impacto IVA.</w:t>
            </w:r>
          </w:p>
        </w:tc>
      </w:tr>
    </w:tbl>
    <w:p/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9. MADUREZ DIGITAL DEL SECTOR</w:t>
      </w:r>
    </w:p>
    <w:p>
      <w:pPr>
        <w:spacing w:before="20" w:after="60"/>
      </w:pPr>
      <w:r>
        <w:rPr>
          <w:b/>
          <w:color w:val="1A1A1A"/>
          <w:sz w:val="20"/>
        </w:rPr>
        <w:t>Calificación: 2.5 / 5</w:t>
      </w:r>
      <w:r>
        <w:rPr>
          <w:color w:val="1A1A1A"/>
          <w:sz w:val="20"/>
        </w:rPr>
        <w:t xml:space="preserve"> (promedio ponderado del subsector construcción residencial colombiano).</w:t>
      </w:r>
    </w:p>
    <w:p>
      <w:pPr>
        <w:spacing w:before="80" w:after="40"/>
      </w:pPr>
      <w:r>
        <w:rPr>
          <w:b/>
          <w:color w:val="1A2E4A"/>
          <w:sz w:val="20"/>
        </w:rPr>
        <w:t>Comparación de cohortes: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Cohorte</w:t>
            </w:r>
          </w:p>
        </w:tc>
        <w:tc>
          <w:tcPr>
            <w:tcW w:type="dxa" w:w="453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Madurez digital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Grandes incumbentes (Conconcreto, Bolívar, Amarilo, Argos)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4 / 5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Constructoras medianas regionales con marca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2.5-3 / 5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Constructoras micro-locales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1.5 / 5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Promedio ponderado del subsector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~2.5 / 5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Justificación</w:t>
      </w:r>
    </w:p>
    <w:p>
      <w:pPr>
        <w:spacing w:before="20" w:after="60"/>
      </w:pPr>
      <w:r>
        <w:rPr>
          <w:color w:val="1A1A1A"/>
          <w:sz w:val="20"/>
        </w:rPr>
        <w:t xml:space="preserve">Construcción es </w:t>
      </w:r>
      <w:r>
        <w:rPr>
          <w:b/>
          <w:color w:val="1A1A1A"/>
          <w:sz w:val="20"/>
        </w:rPr>
        <w:t>estructuralmente uno de los sectores menos digitalizados</w:t>
      </w:r>
      <w:r>
        <w:rPr>
          <w:color w:val="1A1A1A"/>
          <w:sz w:val="20"/>
        </w:rPr>
        <w:t xml:space="preserve"> de la economía global y colombiana. Las grandes han adoptado BIM y comienzan a explorar IA generativa, pero la mayoría de medianas y pequeñas operan con AutoCAD + Excel + WhatsApp + ERP ligero. La adopción de CRM inmobiliario serio es minoritaria. El control de obra sigue mayormente en bitácora física + fotografía + supervisión presencial. </w:t>
      </w:r>
      <w:r>
        <w:rPr>
          <w:b/>
          <w:color w:val="1A1A1A"/>
          <w:sz w:val="20"/>
        </w:rPr>
        <w:t>Por eso mismo, el ROI relativo de cualquier inversión IA es altísimo</w:t>
      </w:r>
      <w:r>
        <w:rPr>
          <w:color w:val="1A1A1A"/>
          <w:sz w:val="20"/>
        </w:rPr>
        <w:t xml:space="preserve"> — el sector está empezando desde un piso bajo.</w:t>
      </w:r>
    </w:p>
    <w:p>
      <w:pPr>
        <w:spacing w:before="160" w:after="40"/>
      </w:pPr>
      <w:r>
        <w:rPr>
          <w:b/>
          <w:color w:val="556577"/>
          <w:sz w:val="22"/>
        </w:rPr>
        <w:t>Qué hace que avance o retroceda</w:t>
      </w:r>
    </w:p>
    <w:p>
      <w:pPr>
        <w:spacing w:before="80" w:after="40"/>
      </w:pPr>
      <w:r>
        <w:rPr>
          <w:b/>
          <w:color w:val="1A2E4A"/>
          <w:sz w:val="20"/>
        </w:rPr>
        <w:t>Avanza por: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Disponibilidad de SaaS de bajo costo (HubSpot Starter, Bitrix24, Metabase).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Talento joven en equipos comerciales y de proyecto.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Presión de Conconcreto y otros líderes que están subiendo la vara.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Camacol como driver gremial de digitalización.</w:t>
      </w:r>
    </w:p>
    <w:p>
      <w:pPr>
        <w:spacing w:before="80" w:after="40"/>
      </w:pPr>
      <w:r>
        <w:rPr>
          <w:b/>
          <w:color w:val="1A2E4A"/>
          <w:sz w:val="20"/>
        </w:rPr>
        <w:t>Retrocede por: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Cultura tradicional del sector.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Foco en márgenes ajustados que percibe inversión IA como gasto.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Equipos pequeños sin rol dedicado a tecnología.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Subcontratación masiva que diluye estándares de datos.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10. SEÑALES DE OPORTUNIDAD PARA CONSULTORÍA DE IA</w:t>
      </w:r>
    </w:p>
    <w:p>
      <w:pPr>
        <w:spacing w:before="160" w:after="40"/>
      </w:pPr>
      <w:r>
        <w:rPr>
          <w:b/>
          <w:color w:val="556577"/>
          <w:sz w:val="22"/>
        </w:rPr>
        <w:t>Procesos repetitivos y costosos típicos del sector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Calificación y seguimiento del lead VIS</w:t>
      </w:r>
      <w:r>
        <w:rPr>
          <w:color w:val="1A1A1A"/>
          <w:sz w:val="20"/>
        </w:rPr>
        <w:t xml:space="preserve"> — ciclo 3-9 meses, multi-canal, asesores con Excel.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Respuesta a WhatsApp y DMs del comprador</w:t>
      </w:r>
      <w:r>
        <w:rPr>
          <w:color w:val="1A1A1A"/>
          <w:sz w:val="20"/>
        </w:rPr>
        <w:t xml:space="preserve"> — volumen alto, repetitivo (precio, ubicación, subsidio, cuota inicial).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Control de avance de obra y conciliación de costo vs presupuesto</w:t>
      </w:r>
      <w:r>
        <w:rPr>
          <w:color w:val="1A1A1A"/>
          <w:sz w:val="20"/>
        </w:rPr>
        <w:t xml:space="preserve"> — bitácora + Excel + reuniones semanales.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Recorrido virtual y configuración de unidades</w:t>
      </w:r>
      <w:r>
        <w:rPr>
          <w:color w:val="1A1A1A"/>
          <w:sz w:val="20"/>
        </w:rPr>
        <w:t xml:space="preserve"> — visita presencial obligatoria, asesor explica una y otra vez.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Análisis de oportunidades de lote / land bank</w:t>
      </w:r>
      <w:r>
        <w:rPr>
          <w:color w:val="1A1A1A"/>
          <w:sz w:val="20"/>
        </w:rPr>
        <w:t xml:space="preserve"> — analista humano evalúa lentamente.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Reportería gerencial multi-proyecto</w:t>
      </w:r>
      <w:r>
        <w:rPr>
          <w:color w:val="1A1A1A"/>
          <w:sz w:val="20"/>
        </w:rPr>
        <w:t xml:space="preserve"> — consolidación manual.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Atención de garantías de postventa</w:t>
      </w:r>
      <w:r>
        <w:rPr>
          <w:color w:val="1A1A1A"/>
          <w:sz w:val="20"/>
        </w:rPr>
        <w:t xml:space="preserve"> — bandeja desorganizada.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Trámite con curadurías y servicios públicos</w:t>
      </w:r>
      <w:r>
        <w:rPr>
          <w:color w:val="1A1A1A"/>
          <w:sz w:val="20"/>
        </w:rPr>
        <w:t xml:space="preserve"> — coordinación manual + correo.</w:t>
      </w:r>
    </w:p>
    <w:p>
      <w:pPr>
        <w:spacing w:before="160" w:after="40"/>
      </w:pPr>
      <w:r>
        <w:rPr>
          <w:b/>
          <w:color w:val="556577"/>
          <w:sz w:val="22"/>
        </w:rPr>
        <w:t>Quick Wins más replicables en el sector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Quick Win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Proceso que reemplaza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Herramienta sugerida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Impacto esperado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CRM inmobiliario + scoring IA del lead VIS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Excel + asesor por intuición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HubSpot/Bitrix24 + scoring vía LLM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Subir tasa cierre 10-20%, reducir 20-30% tiempo asesor.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Agente WhatsApp 24/7 por proyecto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Asesor humano horario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n8n/Make + Claude/GPT + Meta Cloud API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Capturar 30-50% leads perdidos por silencio.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Recorrido virtual 3D + configurador IA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Visita presencial obligatoria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Matterport + asistente Claude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Cierre remoto + reducción 30-50% tiempo asesor.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Dashboard control obra + costo en tiempo real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Bitácora manual + reunión semanal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App móvil + IA visión + Power BI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Recuperar 1-3% margen en costos no detectados.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Asistente análisis land bank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Analista humano semanas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Agente IA con POT + comparables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3-5x más oportunidades evaluadas/trimestre.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Casos de éxito de IA en el sector (referenciables en ventas)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Aeropuerto El Dorado nueva terminal — IA en planning + diseño</w:t>
      </w:r>
      <w:r>
        <w:rPr>
          <w:color w:val="1A1A1A"/>
          <w:sz w:val="20"/>
        </w:rPr>
        <w:t xml:space="preserve"> (CO). Optimización de espacio + ahorros significativos. Caso emblemático colombiano.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Conconcreto BIM corporativo + exploración IA</w:t>
      </w:r>
      <w:r>
        <w:rPr>
          <w:color w:val="1A1A1A"/>
          <w:sz w:val="20"/>
        </w:rPr>
        <w:t xml:space="preserve"> (CO). Reducción de conflictos pre-obra.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Argos AI Tools para autoconstructores</w:t>
      </w:r>
      <w:r>
        <w:rPr>
          <w:color w:val="1A1A1A"/>
          <w:sz w:val="20"/>
        </w:rPr>
        <w:t xml:space="preserve"> (CO). Recomendaciones de producto al cliente final.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Bolívar-Davivienda sinergia financiera + CRM</w:t>
      </w:r>
      <w:r>
        <w:rPr>
          <w:color w:val="1A1A1A"/>
          <w:sz w:val="20"/>
        </w:rPr>
        <w:t xml:space="preserve"> (CO). Mejor conversión por integración crediticia.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EDGE projects con optimización energética IA</w:t>
      </w:r>
      <w:r>
        <w:rPr>
          <w:color w:val="1A1A1A"/>
          <w:sz w:val="20"/>
        </w:rPr>
        <w:t xml:space="preserve"> (global, presencia CO via IFC).</w:t>
      </w:r>
    </w:p>
    <w:p>
      <w:pPr>
        <w:spacing w:before="160" w:after="40"/>
      </w:pPr>
      <w:r>
        <w:rPr>
          <w:b/>
          <w:color w:val="556577"/>
          <w:sz w:val="22"/>
        </w:rPr>
        <w:t>Perfil del decisor típico en este sector (mediana constructora residencial)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Cargo:</w:t>
      </w:r>
      <w:r>
        <w:rPr>
          <w:color w:val="1A1A1A"/>
          <w:sz w:val="20"/>
        </w:rPr>
        <w:t xml:space="preserve"> Socio fundador / Gerente General. </w:t>
      </w:r>
      <w:r>
        <w:rPr>
          <w:b/>
          <w:color w:val="1A1A1A"/>
          <w:sz w:val="20"/>
        </w:rPr>
        <w:t>Decisión usualmente concentrada en 1-2 personas.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Background:</w:t>
      </w:r>
      <w:r>
        <w:rPr>
          <w:color w:val="1A1A1A"/>
          <w:sz w:val="20"/>
        </w:rPr>
        <w:t xml:space="preserve"> ingeniero civil, arquitecto, administrador con experiencia comercial.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Edad:</w:t>
      </w:r>
      <w:r>
        <w:rPr>
          <w:color w:val="1A1A1A"/>
          <w:sz w:val="20"/>
        </w:rPr>
        <w:t xml:space="preserve"> 40-65 años.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Conocimiento IA:</w:t>
      </w:r>
      <w:r>
        <w:rPr>
          <w:color w:val="1A1A1A"/>
          <w:sz w:val="20"/>
        </w:rPr>
        <w:t xml:space="preserve"> entre nulo y básico — usuarios de ChatGPT como individuos, no como empresa.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Principales preocupaciones:</w:t>
      </w:r>
      <w:r>
        <w:rPr>
          <w:color w:val="1A1A1A"/>
          <w:sz w:val="20"/>
        </w:rPr>
        <w:t xml:space="preserve"> caja, cierre comercial, control de obra, escalación de costos, regulación VIS.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Cómo compran consultoría:</w:t>
      </w:r>
      <w:r>
        <w:rPr>
          <w:color w:val="1A1A1A"/>
          <w:sz w:val="20"/>
        </w:rPr>
        <w:t xml:space="preserve"> por referencia gremial (Camacol, La Lonja), por contenido específico, por casos demostrables.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Velocidad de decisión:</w:t>
      </w:r>
      <w:r>
        <w:rPr>
          <w:color w:val="1A1A1A"/>
          <w:sz w:val="20"/>
        </w:rPr>
        <w:t xml:space="preserve"> rápida si ROI es claro y caso similar referenciable; lenta si discurso es abstracto.</w:t>
      </w:r>
    </w:p>
    <w:p>
      <w:pPr>
        <w:spacing w:before="160" w:after="40"/>
      </w:pPr>
      <w:r>
        <w:rPr>
          <w:b/>
          <w:color w:val="556577"/>
          <w:sz w:val="22"/>
        </w:rPr>
        <w:t>Señales de alerta (empresas del sector donde la venta será difícil)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Constructoras con caja muy ajustada / mora con proveedores.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Constructoras 100% VIS con presupuesto estructuralmente bajo.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Empresas familiares de 1ra generación sin sucesión profesional.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Constructoras solo locales sin marca regional.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Empresas que dependen exclusivamente de un proyecto activo grande.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Founders con cultura "ingeniero de obra" sin apertura a tecnología comercial.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FUENTES CONSULTADAS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URL/Referencia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Fecha de consulta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Camacol — Balance 2024 y perspectivas 2025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camacolbyc.co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Camacol — Cifras venta 174.000 unidades 2025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larepublica.co/economia/camacol-informo-que-se-vendieron-174-000-unidades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El Tiempo — Paradoja vivienda 2025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eltiempo.com/economia/sectores/la-paradoja-de-la-vivienda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Vivienda.com.co — 174.000 viviendas 2025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vivienda.com.co/174-000-viviendas-vendidas-en-2025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Camacol Risaralda — Construcción cayendo 2026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camacolrisaralda.co/vivienda-en-colombia-ventas-repuntan-en-2025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Atlas Capital — Sector construcción 2025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atlas.com.co/sector-construccion-en-colombia-2025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Camacol — BIM + IA convergencia estratégica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camacol.co/actualidad/publicaciones/revista-urbana/107/innovacion/bim-ia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Camacol — Colombia construye con IA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camacol.co/actualidad/publicaciones/revista-urbana/96/innovacion/colombia-tambien-construye-con-inteligencia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El Colombiano — IA en construcción CO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elcolombiano.com/negocios/construccion-colombia-inteligencia-artificial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Argos — IA autoconstructores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colombia.argos.co/autoconstructores/inteligencia-artificial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Portafolio — Del concreto a la IA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portafolio.co/economia/infraestructura/del-concreto-a-la-inteligencia-artificial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Bancolombia — Perspectivas sector construcción CO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bancolombia.com/empresas/capital-inteligente/actualidad-economica-sectorial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Konstruedu — Construcción 4.0 + IA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konstruedu.com/es/blog/inteligencia-artificial-aplicada-a-la-construccion-4-0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Soluciones IA — Transformación silenciosa inmobiliario CO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solucionesia.cloud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 Bolívar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constructorabolivar.com + las2orillas perfil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 Capital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constructoracapital.com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Conconcreto + Arquitectura y Concreto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fincaraiz.com.co + arquitecturayconcreto.com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Reporte company-analyst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/srv/Nexostrat/ConstructoraAscenso_AnalisisCompania_20260517.md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Reporte competitor-analyst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/srv/Nexostrat/ConstructoraAscenso_Competencia_CO_20260517.md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</w:tbl>
    <w:p/>
    <w:p>
      <w:pPr>
        <w:spacing w:before="40" w:after="40"/>
      </w:pPr>
    </w:p>
    <w:p>
      <w:pPr>
        <w:spacing w:before="20" w:after="60"/>
      </w:pPr>
      <w:r>
        <w:rPr>
          <w:color w:val="1A1A1A"/>
          <w:sz w:val="20"/>
        </w:rPr>
        <w:t>Reporte generado por /industry-analyst · Nexostrat · 2026-05-17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577"/>
        <w:sz w:val="16"/>
      </w:rPr>
      <w:t>Nexostrat — Análisis Sectorial Interno —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