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720"/>
        <w:jc w:val="center"/>
        <w:rPr>
          <w:lang w:val="es-CO"/>
        </w:rPr>
      </w:pPr>
      <w:r>
        <w:rPr>
          <w:lang w:val="es-CO"/>
        </w:rPr>
        <w:drawing>
          <wp:inline distT="0" distB="0" distL="0" distR="0">
            <wp:extent cx="3474720" cy="7689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474720" cy="768985"/>
                    </a:xfrm>
                    <a:prstGeom prst="rect">
                      <a:avLst/>
                    </a:prstGeom>
                  </pic:spPr>
                </pic:pic>
              </a:graphicData>
            </a:graphic>
          </wp:inline>
        </w:drawing>
      </w:r>
    </w:p>
    <w:p>
      <w:pPr>
        <w:pStyle w:val="Normal"/>
        <w:spacing w:before="240" w:after="120"/>
        <w:jc w:val="center"/>
        <w:rPr>
          <w:lang w:val="es-CO"/>
        </w:rPr>
      </w:pPr>
      <w:r>
        <w:rPr>
          <w:b/>
          <w:color w:val="0C1A2E"/>
          <w:sz w:val="56"/>
          <w:lang w:val="es-CO"/>
        </w:rPr>
        <w:t>Análisis de Industria: LOGÍSTICA CROSS-BORDER + AGENCIA ADUANAL</w:t>
      </w:r>
    </w:p>
    <w:p>
      <w:pPr>
        <w:pStyle w:val="Normal"/>
        <w:spacing w:before="0" w:after="80"/>
        <w:jc w:val="center"/>
        <w:rPr>
          <w:lang w:val="es-CO"/>
        </w:rPr>
      </w:pPr>
      <w:r>
        <w:rPr>
          <w:color w:val="6B7280"/>
          <w:sz w:val="26"/>
          <w:lang w:val="es-CO"/>
        </w:rPr>
        <w:t>Colombia</w:t>
      </w:r>
    </w:p>
    <w:p>
      <w:pPr>
        <w:pStyle w:val="Normal"/>
        <w:jc w:val="center"/>
        <w:rPr>
          <w:lang w:val="es-CO"/>
        </w:rPr>
      </w:pPr>
      <w:r>
        <w:rPr>
          <w:i/>
          <w:color w:val="6B7280"/>
          <w:sz w:val="20"/>
          <w:lang w:val="es-CO"/>
        </w:rPr>
        <w:t>Nexostrat — Uso Interno  ·  18 May 2026</w:t>
      </w:r>
    </w:p>
    <w:p>
      <w:pPr>
        <w:pStyle w:val="Normal"/>
        <w:rPr>
          <w:lang w:val="es-CO"/>
        </w:rPr>
      </w:pPr>
      <w:r>
        <w:rPr>
          <w:lang w:val="es-CO"/>
        </w:rPr>
      </w:r>
      <w:r>
        <w:br w:type="page"/>
      </w:r>
    </w:p>
    <w:p>
      <w:pPr>
        <w:pStyle w:val="Normal"/>
        <w:spacing w:before="0" w:after="40"/>
        <w:rPr>
          <w:lang w:val="es-CO"/>
        </w:rPr>
      </w:pPr>
      <w:r>
        <w:rPr>
          <w:b/>
          <w:color w:val="0C1A2E"/>
          <w:sz w:val="20"/>
          <w:lang w:val="es-CO"/>
        </w:rPr>
        <w:t>México · Mayo 2026</w:t>
      </w:r>
    </w:p>
    <w:p>
      <w:pPr>
        <w:pStyle w:val="Normal"/>
        <w:spacing w:before="20" w:after="60"/>
        <w:rPr>
          <w:lang w:val="es-CO"/>
        </w:rPr>
      </w:pPr>
      <w:r>
        <w:rPr>
          <w:b/>
          <w:color w:val="1A1A1A"/>
          <w:sz w:val="20"/>
          <w:lang w:val="es-CO"/>
        </w:rPr>
        <w:t>Preparado por:</w:t>
      </w:r>
      <w:r>
        <w:rPr>
          <w:color w:val="1A1A1A"/>
          <w:sz w:val="20"/>
          <w:lang w:val="es-CO"/>
        </w:rPr>
        <w:t xml:space="preserve"> Nexostrat — Uso Interno</w:t>
      </w:r>
    </w:p>
    <w:p>
      <w:pPr>
        <w:pStyle w:val="Normal"/>
        <w:spacing w:before="20" w:after="60"/>
        <w:rPr>
          <w:lang w:val="es-CO"/>
        </w:rPr>
      </w:pPr>
      <w:r>
        <w:rPr>
          <w:b/>
          <w:color w:val="1A1A1A"/>
          <w:sz w:val="20"/>
          <w:lang w:val="es-CO"/>
        </w:rPr>
        <w:t>Reutilizable para prospectos del sector hasta:</w:t>
      </w:r>
      <w:r>
        <w:rPr>
          <w:color w:val="1A1A1A"/>
          <w:sz w:val="20"/>
          <w:lang w:val="es-CO"/>
        </w:rPr>
        <w:t xml:space="preserve"> Dic 2026 (revisión semestral recomendada por la rápida evolución regulatoria 2025-2026)</w:t>
      </w:r>
    </w:p>
    <w:p>
      <w:pPr>
        <w:pStyle w:val="Normal"/>
        <w:spacing w:before="20" w:after="60"/>
        <w:rPr>
          <w:lang w:val="es-CO"/>
        </w:rPr>
      </w:pPr>
      <w:r>
        <w:rPr>
          <w:color w:val="1A1A1A"/>
          <w:sz w:val="20"/>
          <w:lang w:val="es-CO"/>
        </w:rPr>
        <w:t xml:space="preserve">&gt; </w:t>
      </w:r>
      <w:r>
        <w:rPr>
          <w:b/>
          <w:color w:val="1A1A1A"/>
          <w:sz w:val="20"/>
          <w:lang w:val="es-CO"/>
        </w:rPr>
        <w:t>Contexto del trigger:</w:t>
      </w:r>
      <w:r>
        <w:rPr>
          <w:color w:val="1A1A1A"/>
          <w:sz w:val="20"/>
          <w:lang w:val="es-CO"/>
        </w:rPr>
        <w:t xml:space="preserve"> Este reporte se generó a partir del análisis de la compañía Trix Importaciones Comerciales S. de R.L. de C.V. / Grupo Trixx / Trixx Logistics Corp (pipeline trixx-logistics, sede Tijuana B.C., +24 años, flota propia + 5 sedes MX-USA, USDOT 2045279). El sector se define en función de su nicho real: </w:t>
      </w:r>
      <w:r>
        <w:rPr>
          <w:b/>
          <w:color w:val="1A1A1A"/>
          <w:sz w:val="20"/>
          <w:lang w:val="es-CO"/>
        </w:rPr>
        <w:t>logística cross-border México-Estados Unidos con agencia aduanal mexicana + flota terrestre + warehousing multi-sede + import-as-a-service</w:t>
      </w:r>
      <w:r>
        <w:rPr>
          <w:color w:val="1A1A1A"/>
          <w:sz w:val="20"/>
          <w:lang w:val="es-CO"/>
        </w:rPr>
        <w:t>. Reutilizable para futuros prospectos en SCIAN 484 (autotransporte de carga) + 488510 (agencias aduanales) + 493 (almacenamiento) operando en el corredor MX-USA.</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1. CARACTERIZACIÓN DEL SECTOR</w:t>
      </w:r>
    </w:p>
    <w:p>
      <w:pPr>
        <w:pStyle w:val="Normal"/>
        <w:spacing w:before="160" w:after="40"/>
        <w:rPr>
          <w:lang w:val="es-CO"/>
        </w:rPr>
      </w:pPr>
      <w:r>
        <w:rPr>
          <w:b/>
          <w:color w:val="6B7280"/>
          <w:sz w:val="22"/>
          <w:lang w:val="es-CO"/>
        </w:rPr>
        <w:t>Definición y alcance</w:t>
      </w:r>
    </w:p>
    <w:p>
      <w:pPr>
        <w:pStyle w:val="Normal"/>
        <w:spacing w:before="20" w:after="60"/>
        <w:rPr>
          <w:lang w:val="es-CO"/>
        </w:rPr>
      </w:pPr>
      <w:r>
        <w:rPr>
          <w:color w:val="1A1A1A"/>
          <w:sz w:val="20"/>
          <w:lang w:val="es-CO"/>
        </w:rPr>
        <w:t xml:space="preserve">El sector cubre tres actividades económicas interconectadas, todas codificadas en el </w:t>
      </w:r>
      <w:r>
        <w:rPr>
          <w:b/>
          <w:color w:val="1A1A1A"/>
          <w:sz w:val="20"/>
          <w:lang w:val="es-CO"/>
        </w:rPr>
        <w:t>Sistema de Clasificación Industrial de América del Norte (SCIAN)</w:t>
      </w:r>
      <w:r>
        <w:rPr>
          <w:color w:val="1A1A1A"/>
          <w:sz w:val="20"/>
          <w:lang w:val="es-CO"/>
        </w:rPr>
        <w:t xml:space="preserve"> de INEGI:</w:t>
      </w:r>
    </w:p>
    <w:p>
      <w:pPr>
        <w:pStyle w:val="ListBullet"/>
        <w:numPr>
          <w:ilvl w:val="0"/>
          <w:numId w:val="1"/>
        </w:numPr>
        <w:spacing w:before="0" w:after="40"/>
        <w:contextualSpacing/>
        <w:rPr>
          <w:lang w:val="es-CO"/>
        </w:rPr>
      </w:pPr>
      <w:r>
        <w:rPr>
          <w:b/>
          <w:color w:val="1A1A1A"/>
          <w:sz w:val="20"/>
          <w:lang w:val="es-CO"/>
        </w:rPr>
        <w:t>SCIAN 484 — Autotransporte de carga.</w:t>
      </w:r>
      <w:r>
        <w:rPr>
          <w:color w:val="1A1A1A"/>
          <w:sz w:val="20"/>
          <w:lang w:val="es-CO"/>
        </w:rPr>
        <w:t xml:space="preserve"> Servicios de transporte terrestre de mercancías por carretera. Incluye carga general, especializada (peligrosa, frío, sobredimensionada), foránea y local.</w:t>
      </w:r>
    </w:p>
    <w:p>
      <w:pPr>
        <w:pStyle w:val="ListBullet"/>
        <w:numPr>
          <w:ilvl w:val="0"/>
          <w:numId w:val="1"/>
        </w:numPr>
        <w:spacing w:before="0" w:after="40"/>
        <w:contextualSpacing/>
        <w:rPr>
          <w:lang w:val="es-CO"/>
        </w:rPr>
      </w:pPr>
      <w:r>
        <w:rPr>
          <w:b/>
          <w:color w:val="1A1A1A"/>
          <w:sz w:val="20"/>
          <w:lang w:val="es-CO"/>
        </w:rPr>
        <w:t>SCIAN 488510 — Servicios de agencias aduanales.</w:t>
      </w:r>
      <w:r>
        <w:rPr>
          <w:color w:val="1A1A1A"/>
          <w:sz w:val="20"/>
          <w:lang w:val="es-CO"/>
        </w:rPr>
        <w:t xml:space="preserve"> Agentes y agencias autorizados por la SHCP/SAT para tramitar despachos aduaneros en nombre de importadores y exportadores.</w:t>
      </w:r>
    </w:p>
    <w:p>
      <w:pPr>
        <w:pStyle w:val="ListBullet"/>
        <w:numPr>
          <w:ilvl w:val="0"/>
          <w:numId w:val="1"/>
        </w:numPr>
        <w:spacing w:before="0" w:after="40"/>
        <w:contextualSpacing/>
        <w:rPr>
          <w:lang w:val="es-CO"/>
        </w:rPr>
      </w:pPr>
      <w:r>
        <w:rPr>
          <w:b/>
          <w:color w:val="1A1A1A"/>
          <w:sz w:val="20"/>
          <w:lang w:val="es-CO"/>
        </w:rPr>
        <w:t>SCIAN 493 — Servicios de almacenamiento.</w:t>
      </w:r>
      <w:r>
        <w:rPr>
          <w:color w:val="1A1A1A"/>
          <w:sz w:val="20"/>
          <w:lang w:val="es-CO"/>
        </w:rPr>
        <w:t xml:space="preserve"> Almacenes generales, recintos fiscalizados, depósitos de mercancía en tránsito.</w:t>
      </w:r>
    </w:p>
    <w:p>
      <w:pPr>
        <w:pStyle w:val="Normal"/>
        <w:spacing w:before="20" w:after="60"/>
        <w:rPr>
          <w:lang w:val="es-CO"/>
        </w:rPr>
      </w:pPr>
      <w:r>
        <w:rPr>
          <w:color w:val="1A1A1A"/>
          <w:sz w:val="20"/>
          <w:lang w:val="es-CO"/>
        </w:rPr>
        <w:t xml:space="preserve">&gt; 🔍 </w:t>
      </w:r>
      <w:r>
        <w:rPr>
          <w:b/>
          <w:color w:val="1A1A1A"/>
          <w:sz w:val="20"/>
          <w:lang w:val="es-CO"/>
        </w:rPr>
        <w:t>Análisis:</w:t>
      </w:r>
      <w:r>
        <w:rPr>
          <w:color w:val="1A1A1A"/>
          <w:sz w:val="20"/>
          <w:lang w:val="es-CO"/>
        </w:rPr>
        <w:t xml:space="preserve"> Una empresa como Trixx opera simultáneamente en los tres SCIAN — y eso NO es típico. La mayoría de empresas del sector se especializa en uno: o son flota pura (484), o son agente aduanal puro (488510), o son operador de almacén puro (493). La integración vertical es defensible competitivamente pero también compleja operacionalmente.</w:t>
      </w:r>
    </w:p>
    <w:p>
      <w:pPr>
        <w:pStyle w:val="Normal"/>
        <w:spacing w:before="20" w:after="60"/>
        <w:rPr>
          <w:lang w:val="es-CO"/>
        </w:rPr>
      </w:pPr>
      <w:r>
        <w:rPr>
          <w:color w:val="1A1A1A"/>
          <w:sz w:val="20"/>
          <w:lang w:val="es-CO"/>
        </w:rPr>
        <w:t>Se EXCLUYE de este análisis: transporte aéreo (SCIAN 481), ferroviario (SCIAN 482), marítimo (SCIAN 483) y por ductos (SCIAN 486). Aunque empresas como Trixx ofrecen freight forwarding multimodal, su core operativo y su ventaja competitiva está en el modo terrestre cross-border + customs.</w:t>
      </w:r>
    </w:p>
    <w:p>
      <w:pPr>
        <w:pStyle w:val="Normal"/>
        <w:spacing w:before="160" w:after="40"/>
        <w:rPr>
          <w:lang w:val="es-CO"/>
        </w:rPr>
      </w:pPr>
      <w:r>
        <w:rPr>
          <w:b/>
          <w:color w:val="6B7280"/>
          <w:sz w:val="22"/>
          <w:lang w:val="es-CO"/>
        </w:rPr>
        <w:t>Subsectores principales relevantes a este nicho</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2"/>
        <w:gridCol w:w="3022"/>
        <w:gridCol w:w="3022"/>
      </w:tblGrid>
      <w:tr>
        <w:trPr/>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Subsector</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Descripción</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Tamaño relativo en el cluster</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Autotransporte de carga general</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Carga consolidada, LTL/FTL, distribución</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Más grande (~50% del PIB de transporte de carga)</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Autotransporte especializado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Peligrosa, refrigerada, sobredimensionada, automóviles</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Crecimiento más alto en 2024 (+38.8% YoY)</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Agencias aduanales fronterizas</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Agencias con presencia física en aduanas terrestres (Tijuana, Ciudad Juárez, Nuevo Laredo, Mexicali, Reynosa)</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Concentrado en frontera norte; alto valor por operación</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Almacenamiento fiscal / recintos</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Depósitos previos al despacho aduanero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Crítico para flujos China-MX y nearshoring inverso</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Cross-border drayage</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Trasiego corto entre lado mexicano y estadounidense de la frontera</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Especializado, alta densidad operacional</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Last-mile B2C cross-border</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Entrega final a consumidor MX después del despacho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Crecimiento acelerado por e-commerce</w:t>
            </w:r>
          </w:p>
        </w:tc>
      </w:tr>
    </w:tbl>
    <w:p>
      <w:pPr>
        <w:pStyle w:val="Normal"/>
        <w:rPr>
          <w:lang w:val="es-CO"/>
        </w:rPr>
      </w:pPr>
      <w:r>
        <w:rPr>
          <w:lang w:val="es-CO"/>
        </w:rPr>
      </w:r>
    </w:p>
    <w:p>
      <w:pPr>
        <w:pStyle w:val="Normal"/>
        <w:spacing w:before="160" w:after="40"/>
        <w:rPr>
          <w:lang w:val="es-CO"/>
        </w:rPr>
      </w:pPr>
      <w:r>
        <w:rPr>
          <w:b/>
          <w:color w:val="6B7280"/>
          <w:sz w:val="22"/>
          <w:lang w:val="es-CO"/>
        </w:rPr>
        <w:t>Tamaño del mercado en México</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PIB sectorial / participación nacional:</w:t>
      </w:r>
      <w:r>
        <w:rPr>
          <w:color w:val="1A1A1A"/>
          <w:sz w:val="20"/>
          <w:lang w:val="es-CO"/>
        </w:rPr>
        <w:t xml:space="preserve"> El autotransporte de carga aportó </w:t>
      </w:r>
      <w:r>
        <w:rPr>
          <w:b/>
          <w:color w:val="1A1A1A"/>
          <w:sz w:val="20"/>
          <w:lang w:val="es-CO"/>
        </w:rPr>
        <w:t>3.8% del PIB nacional</w:t>
      </w:r>
      <w:r>
        <w:rPr>
          <w:color w:val="1A1A1A"/>
          <w:sz w:val="20"/>
          <w:lang w:val="es-CO"/>
        </w:rPr>
        <w:t xml:space="preserve"> en 2025, equivalente al </w:t>
      </w:r>
      <w:r>
        <w:rPr>
          <w:b/>
          <w:color w:val="1A1A1A"/>
          <w:sz w:val="20"/>
          <w:lang w:val="es-CO"/>
        </w:rPr>
        <w:t>50.3% del PIB del sector transportes</w:t>
      </w:r>
      <w:r>
        <w:rPr>
          <w:color w:val="1A1A1A"/>
          <w:sz w:val="20"/>
          <w:lang w:val="es-CO"/>
        </w:rPr>
        <w:t>. Fuente: INEGI (Encuesta Anual de Transportes 2024 + reportes trimestrales del Sistema de Cuentas Nacionales).</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Valor del mercado de carga y logística:</w:t>
      </w:r>
      <w:r>
        <w:rPr>
          <w:color w:val="1A1A1A"/>
          <w:sz w:val="20"/>
          <w:lang w:val="es-CO"/>
        </w:rPr>
        <w:t xml:space="preserve"> Se estima en </w:t>
      </w:r>
      <w:r>
        <w:rPr>
          <w:b/>
          <w:color w:val="1A1A1A"/>
          <w:sz w:val="20"/>
          <w:lang w:val="es-CO"/>
        </w:rPr>
        <w:t>USD 92 mil millones en 2025</w:t>
      </w:r>
      <w:r>
        <w:rPr>
          <w:color w:val="1A1A1A"/>
          <w:sz w:val="20"/>
          <w:lang w:val="es-CO"/>
        </w:rPr>
        <w:t xml:space="preserve">, con proyección de </w:t>
      </w:r>
      <w:r>
        <w:rPr>
          <w:b/>
          <w:color w:val="1A1A1A"/>
          <w:sz w:val="20"/>
          <w:lang w:val="es-CO"/>
        </w:rPr>
        <w:t>USD 141 mil millones en 2034</w:t>
      </w:r>
      <w:r>
        <w:rPr>
          <w:color w:val="1A1A1A"/>
          <w:sz w:val="20"/>
          <w:lang w:val="es-CO"/>
        </w:rPr>
        <w:t xml:space="preserve"> (CAGR 4.41%). Fuente: agregados de la industria, reportes de mercado citados en thelogisticsworld.com y revistatyt.com.</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Volumen movilizado:</w:t>
      </w:r>
      <w:r>
        <w:rPr>
          <w:color w:val="1A1A1A"/>
          <w:sz w:val="20"/>
          <w:lang w:val="es-CO"/>
        </w:rPr>
        <w:t xml:space="preserve"> 430.3 millones de toneladas movilizadas entre octubre 2024 y junio 2025 (autotransporte de carga, INEGI).</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Número de empresas activas:</w:t>
      </w:r>
      <w:r>
        <w:rPr>
          <w:color w:val="1A1A1A"/>
          <w:sz w:val="20"/>
          <w:lang w:val="es-CO"/>
        </w:rPr>
        <w:t xml:space="preserve"> 219,464 permisionarios al cierre del primer semestre 2025, +4.6% vs jun 2024. Fuente: SCT/SICT vía CANACAR.</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Empleo directo:</w:t>
      </w:r>
      <w:r>
        <w:rPr>
          <w:color w:val="1A1A1A"/>
          <w:sz w:val="20"/>
          <w:lang w:val="es-CO"/>
        </w:rPr>
        <w:t xml:space="preserve"> Estimado en ~2 millones de personas (entre operadores, administrativos, logísticos) — cifra aproximada, no hay reporte oficial centralizado.</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Tasa de crecimiento reciente:</w:t>
      </w:r>
      <w:r>
        <w:rPr>
          <w:color w:val="1A1A1A"/>
          <w:sz w:val="20"/>
          <w:lang w:val="es-CO"/>
        </w:rPr>
        <w:t xml:space="preserve"> PIB sectorial creció </w:t>
      </w:r>
      <w:r>
        <w:rPr>
          <w:b/>
          <w:color w:val="1A1A1A"/>
          <w:sz w:val="20"/>
          <w:lang w:val="es-CO"/>
        </w:rPr>
        <w:t>+1.2% en 2024</w:t>
      </w:r>
      <w:r>
        <w:rPr>
          <w:color w:val="1A1A1A"/>
          <w:sz w:val="20"/>
          <w:lang w:val="es-CO"/>
        </w:rPr>
        <w:t xml:space="preserve"> (el menor ritmo en 4 años) y se estancó en </w:t>
      </w:r>
      <w:r>
        <w:rPr>
          <w:b/>
          <w:color w:val="1A1A1A"/>
          <w:sz w:val="20"/>
          <w:lang w:val="es-CO"/>
        </w:rPr>
        <w:t>+0.02% en 2025</w:t>
      </w:r>
      <w:r>
        <w:rPr>
          <w:color w:val="1A1A1A"/>
          <w:sz w:val="20"/>
          <w:lang w:val="es-CO"/>
        </w:rPr>
        <w:t>. Fuente: INEGI vía Revista TyT.</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Proyección 2024-2026 según CANACAR:</w:t>
      </w:r>
      <w:r>
        <w:rPr>
          <w:color w:val="1A1A1A"/>
          <w:sz w:val="20"/>
          <w:lang w:val="es-CO"/>
        </w:rPr>
        <w:t xml:space="preserve"> crecimiento esperado de hasta </w:t>
      </w:r>
      <w:r>
        <w:rPr>
          <w:b/>
          <w:color w:val="1A1A1A"/>
          <w:sz w:val="20"/>
          <w:lang w:val="es-CO"/>
        </w:rPr>
        <w:t>+20% acumulado</w:t>
      </w:r>
      <w:r>
        <w:rPr>
          <w:color w:val="1A1A1A"/>
          <w:sz w:val="20"/>
          <w:lang w:val="es-CO"/>
        </w:rPr>
        <w:t xml:space="preserve"> por nearshoring.</w:t>
      </w:r>
    </w:p>
    <w:p>
      <w:pPr>
        <w:pStyle w:val="Normal"/>
        <w:spacing w:before="160" w:after="40"/>
        <w:rPr>
          <w:lang w:val="es-CO"/>
        </w:rPr>
      </w:pPr>
      <w:r>
        <w:rPr>
          <w:b/>
          <w:color w:val="6B7280"/>
          <w:sz w:val="22"/>
          <w:lang w:val="es-CO"/>
        </w:rPr>
        <w:t>Cifras clave adicionales específicas a Tijuana / frontera norte</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Importaciones México desde China (Baja California como destino): </w:t>
      </w:r>
      <w:r>
        <w:rPr>
          <w:b/>
          <w:color w:val="1A1A1A"/>
          <w:sz w:val="20"/>
          <w:lang w:val="es-CO"/>
        </w:rPr>
        <w:t>USD 13,144 millones en 2024</w:t>
      </w:r>
      <w:r>
        <w:rPr>
          <w:color w:val="1A1A1A"/>
          <w:sz w:val="20"/>
          <w:lang w:val="es-CO"/>
        </w:rPr>
        <w:t>. Fuente: Data México / Secretaría de Economía.</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Tijuana: </w:t>
      </w:r>
      <w:r>
        <w:rPr>
          <w:b/>
          <w:color w:val="1A1A1A"/>
          <w:sz w:val="20"/>
          <w:lang w:val="es-CO"/>
        </w:rPr>
        <w:t>+30 empresas relocalizadas en últimos 18 meses</w:t>
      </w:r>
      <w:r>
        <w:rPr>
          <w:color w:val="1A1A1A"/>
          <w:sz w:val="20"/>
          <w:lang w:val="es-CO"/>
        </w:rPr>
        <w:t xml:space="preserve"> (al cierre 2025). Fuente: thelogisticsworld.com.</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+78 millones de pies cuadrados</w:t>
      </w:r>
      <w:r>
        <w:rPr>
          <w:color w:val="1A1A1A"/>
          <w:sz w:val="20"/>
          <w:lang w:val="es-CO"/>
        </w:rPr>
        <w:t xml:space="preserve"> de infraestructura industrial en proceso (BC + Tijuana + Mexicali).</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Cruce Nuevo Laredo manejó </w:t>
      </w:r>
      <w:r>
        <w:rPr>
          <w:b/>
          <w:color w:val="1A1A1A"/>
          <w:sz w:val="20"/>
          <w:lang w:val="es-CO"/>
        </w:rPr>
        <w:t>USD 339 mil millones</w:t>
      </w:r>
      <w:r>
        <w:rPr>
          <w:color w:val="1A1A1A"/>
          <w:sz w:val="20"/>
          <w:lang w:val="es-CO"/>
        </w:rPr>
        <w:t xml:space="preserve"> en 2024 (referencia del crossing más grande del país; Tijuana es segunda plaza).</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Carga cross-border MX-US creció </w:t>
      </w:r>
      <w:r>
        <w:rPr>
          <w:b/>
          <w:color w:val="1A1A1A"/>
          <w:sz w:val="20"/>
          <w:lang w:val="es-CO"/>
        </w:rPr>
        <w:t>+8% en el primer semestre de 2025</w:t>
      </w:r>
      <w:r>
        <w:rPr>
          <w:color w:val="1A1A1A"/>
          <w:sz w:val="20"/>
          <w:lang w:val="es-CO"/>
        </w:rPr>
        <w:t>. Fuente: C.H. Robinson Cross-Border Freight Market Update Dec 2024.</w:t>
      </w:r>
    </w:p>
    <w:p>
      <w:pPr>
        <w:pStyle w:val="Normal"/>
        <w:spacing w:before="20" w:after="60"/>
        <w:rPr>
          <w:lang w:val="es-CO"/>
        </w:rPr>
      </w:pPr>
      <w:r>
        <w:rPr>
          <w:color w:val="1A1A1A"/>
          <w:sz w:val="20"/>
          <w:lang w:val="es-CO"/>
        </w:rPr>
        <w:t xml:space="preserve">&gt; 🔍 </w:t>
      </w:r>
      <w:r>
        <w:rPr>
          <w:b/>
          <w:color w:val="1A1A1A"/>
          <w:sz w:val="20"/>
          <w:lang w:val="es-CO"/>
        </w:rPr>
        <w:t>Análisis:</w:t>
      </w:r>
      <w:r>
        <w:rPr>
          <w:color w:val="1A1A1A"/>
          <w:sz w:val="20"/>
          <w:lang w:val="es-CO"/>
        </w:rPr>
        <w:t xml:space="preserve"> El sector tiene </w:t>
      </w:r>
      <w:r>
        <w:rPr>
          <w:b/>
          <w:color w:val="1A1A1A"/>
          <w:sz w:val="20"/>
          <w:lang w:val="es-CO"/>
        </w:rPr>
        <w:t>doble velocidad simultánea</w:t>
      </w:r>
      <w:r>
        <w:rPr>
          <w:color w:val="1A1A1A"/>
          <w:sz w:val="20"/>
          <w:lang w:val="es-CO"/>
        </w:rPr>
        <w:t>: macro estancado (+0.02% PIB 2025) y micro acelerado en el nicho cross-border de Tijuana. La diferencia es nearshoring y comercio China-MX. Las empresas como Trixx que están en el sub-segmento correcto enfrentan tailwind sectorial pese a la cifra agregada plana.</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2. PRINCIPALES ACTORES</w:t>
      </w:r>
    </w:p>
    <w:p>
      <w:pPr>
        <w:pStyle w:val="Normal"/>
        <w:spacing w:before="160" w:after="40"/>
        <w:rPr>
          <w:lang w:val="es-CO"/>
        </w:rPr>
      </w:pPr>
      <w:r>
        <w:rPr>
          <w:b/>
          <w:color w:val="6B7280"/>
          <w:sz w:val="22"/>
          <w:lang w:val="es-CO"/>
        </w:rPr>
        <w:t>Líderes nacionales — operadores integrados (flota + aduanal + warehousing)</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Empresa</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Tipo</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Facturación aprox.</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Presencia</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Notas clave</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Grupo TMM</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Flota integrada + servicios marítimos</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MXN 5,000M+ anual</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Nacional + cabotaje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Histórico líder marítimo; menos enfocado a aduanal puro</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Estafeta</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Paquetería + logística + cross-border</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MXN 4,500-6,000M</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Nacional, fuerte en última milla</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E-commerce y B2C</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Solistica (FEMSA)</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3PL/4PL multimodal</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USD 1,000M+</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Nacional + LatAm</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Spin-off de FEMSA; cuenta corporativa fuerte</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TFM (Transportación Marítima Mexicana)</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Multimodal</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Cifras no públicas</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Nacional</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Holding</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Grupo Senda / Transpais</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Carga + pasaje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Cifras no públicas</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Norte de México</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Foco en frontera norte</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DHL Supply Chain México</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3PL global</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Cifras consolidadas con DHL global</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Nacional + cross-border</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Líder en e-commerce fulfillment</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DSV</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Forwarder global</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Cifras consolidadas</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Nacional</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Crecimiento por adquisiciones</w:t>
            </w:r>
          </w:p>
        </w:tc>
      </w:tr>
    </w:tbl>
    <w:p>
      <w:pPr>
        <w:pStyle w:val="Normal"/>
        <w:rPr>
          <w:lang w:val="es-CO"/>
        </w:rPr>
      </w:pPr>
      <w:r>
        <w:rPr>
          <w:lang w:val="es-CO"/>
        </w:rPr>
      </w:r>
    </w:p>
    <w:p>
      <w:pPr>
        <w:pStyle w:val="Normal"/>
        <w:spacing w:before="20" w:after="60"/>
        <w:rPr>
          <w:lang w:val="es-CO"/>
        </w:rPr>
      </w:pPr>
      <w:r>
        <w:rPr>
          <w:color w:val="1A1A1A"/>
          <w:sz w:val="20"/>
          <w:lang w:val="es-CO"/>
        </w:rPr>
        <w:t>&gt; ❓ Cifras exactas de facturación de empresas privadas mexicanas en este sector NO son públicas (no cotizan en BMV con la excepción parcial de TMM). Los rangos son inferencias de prensa especializada, reportes de mercado de Forbes MX y Expansión.</w:t>
      </w:r>
    </w:p>
    <w:p>
      <w:pPr>
        <w:pStyle w:val="Normal"/>
        <w:spacing w:before="160" w:after="40"/>
        <w:rPr>
          <w:lang w:val="es-CO"/>
        </w:rPr>
      </w:pPr>
      <w:r>
        <w:rPr>
          <w:b/>
          <w:color w:val="6B7280"/>
          <w:sz w:val="22"/>
          <w:lang w:val="es-CO"/>
        </w:rPr>
        <w:t>Agentes aduanales específicos a Tijuana (competencia directa de Trixx en su mercado local)</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Agencia</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Patente / acreditación</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Presencia</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Nicho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TCI Aduanal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Agencia con patente activa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Tijuana, varias aduanas</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Generalista, sólido en automotriz</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Aispuro Lavenant</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Patente activa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Tijuana, Mexicali</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Importación-exportación general</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Grupo Aduanal Arellano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Patente activa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Tijuana, Tecate</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Generalista con foco en frontera</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Integración Aduanal</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Patente activa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Tijuana</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Servicios aduanales integrados</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AE Comercializadora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Operador asociado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Tijuana</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Importación/exportación</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Asociación de Agentes Aduanales de Tijuana y Tecate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Tijuana</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Asociación gremial local, aglutina decenas de patentes</w:t>
            </w:r>
          </w:p>
        </w:tc>
      </w:tr>
    </w:tbl>
    <w:p>
      <w:pPr>
        <w:pStyle w:val="Normal"/>
        <w:rPr>
          <w:lang w:val="es-CO"/>
        </w:rPr>
      </w:pPr>
      <w:r>
        <w:rPr>
          <w:lang w:val="es-CO"/>
        </w:rPr>
      </w:r>
    </w:p>
    <w:p>
      <w:pPr>
        <w:pStyle w:val="Normal"/>
        <w:spacing w:before="20" w:after="60"/>
        <w:rPr>
          <w:lang w:val="es-CO"/>
        </w:rPr>
      </w:pPr>
      <w:r>
        <w:rPr>
          <w:color w:val="1A1A1A"/>
          <w:sz w:val="20"/>
          <w:lang w:val="es-CO"/>
        </w:rPr>
        <w:t xml:space="preserve">&gt; 🔍 </w:t>
      </w:r>
      <w:r>
        <w:rPr>
          <w:b/>
          <w:color w:val="1A1A1A"/>
          <w:sz w:val="20"/>
          <w:lang w:val="es-CO"/>
        </w:rPr>
        <w:t>Análisis:</w:t>
      </w:r>
      <w:r>
        <w:rPr>
          <w:color w:val="1A1A1A"/>
          <w:sz w:val="20"/>
          <w:lang w:val="es-CO"/>
        </w:rPr>
        <w:t xml:space="preserve"> Tijuana es plaza saturada de agentes aduanales con +20 años de operación. La diferenciación de Trixx contra estos competidores </w:t>
      </w:r>
      <w:r>
        <w:rPr>
          <w:b/>
          <w:color w:val="1A1A1A"/>
          <w:sz w:val="20"/>
          <w:lang w:val="es-CO"/>
        </w:rPr>
        <w:t>no puede ser en aduanal puro</w:t>
      </w:r>
      <w:r>
        <w:rPr>
          <w:color w:val="1A1A1A"/>
          <w:sz w:val="20"/>
          <w:lang w:val="es-CO"/>
        </w:rPr>
        <w:t xml:space="preserve"> — es commodity en plaza. Su diferenciador real es la combinación cross-border con flota propia + warehousing US-side + idioma chino. Esto recorta el segmento competitivo a 5-10 empresas verdaderamente integradas en la región.</w:t>
      </w:r>
    </w:p>
    <w:p>
      <w:pPr>
        <w:pStyle w:val="Normal"/>
        <w:spacing w:before="160" w:after="40"/>
        <w:rPr>
          <w:lang w:val="es-CO"/>
        </w:rPr>
      </w:pPr>
      <w:r>
        <w:rPr>
          <w:b/>
          <w:color w:val="6B7280"/>
          <w:sz w:val="22"/>
          <w:lang w:val="es-CO"/>
        </w:rPr>
        <w:t>Tech-enabled forwarders internacionales operando en el corredor MX-USA</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Empresa</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Origen</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Foco</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Funding total</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Amenaza para Trixx</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Nuvocargo</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USA, foco US-MX</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Brokerage + visibility platform</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USD 74.4M (Series B USD 36.5M jun 2023 a USD 250M valuation)</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Alta — directamente compite en cross-border MX-US</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Flexport</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USA, global</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Forwarding digital + customs + supply chain</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USD 2.7B (incluye USD 260M de Shopify ene 2024); inversor en Nuvocargo</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Media-Alta — más enterprise focus</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Forto</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Alemania, global</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Digital forwarder</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USD 593.4M, 900+ empleados, 2.5K+ clientes</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Baja-Media en MX (foco principal Europa-Asia)</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Convoy / spin-offs</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USA</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Brokerage automatizado</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Baja-Media (foco doméstico US)</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AduanApp</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México</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Clasificación arancelaria con IA</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Funding privado no revelado</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Media — punto de inserción de IA en aduanal</w:t>
            </w:r>
          </w:p>
        </w:tc>
      </w:tr>
    </w:tbl>
    <w:p>
      <w:pPr>
        <w:pStyle w:val="Normal"/>
        <w:rPr>
          <w:lang w:val="es-CO"/>
        </w:rPr>
      </w:pPr>
      <w:r>
        <w:rPr>
          <w:lang w:val="es-CO"/>
        </w:rPr>
      </w:r>
    </w:p>
    <w:p>
      <w:pPr>
        <w:pStyle w:val="Normal"/>
        <w:spacing w:before="160" w:after="40"/>
        <w:rPr>
          <w:lang w:val="es-CO"/>
        </w:rPr>
      </w:pPr>
      <w:r>
        <w:rPr>
          <w:b/>
          <w:color w:val="6B7280"/>
          <w:sz w:val="22"/>
          <w:lang w:val="es-CO"/>
        </w:rPr>
        <w:t>Panorama competitivo</w:t>
      </w:r>
    </w:p>
    <w:p>
      <w:pPr>
        <w:pStyle w:val="ListBullet"/>
        <w:numPr>
          <w:ilvl w:val="0"/>
          <w:numId w:val="1"/>
        </w:numPr>
        <w:spacing w:before="0" w:after="40"/>
        <w:contextualSpacing/>
        <w:rPr>
          <w:lang w:val="es-CO"/>
        </w:rPr>
      </w:pPr>
      <w:r>
        <w:rPr>
          <w:b/>
          <w:color w:val="1A1A1A"/>
          <w:sz w:val="20"/>
          <w:lang w:val="es-CO"/>
        </w:rPr>
        <w:t>Concentración del mercado nacional:</w:t>
      </w:r>
      <w:r>
        <w:rPr>
          <w:color w:val="1A1A1A"/>
          <w:sz w:val="20"/>
          <w:lang w:val="es-CO"/>
        </w:rPr>
        <w:t xml:space="preserve"> Atomizado. </w:t>
      </w:r>
      <w:r>
        <w:rPr>
          <w:b/>
          <w:color w:val="1A1A1A"/>
          <w:sz w:val="20"/>
          <w:lang w:val="es-CO"/>
        </w:rPr>
        <w:t>80% de los permisionarios de autotransporte son micro empresas de 1-5 unidades ("hombre-camión")</w:t>
      </w:r>
      <w:r>
        <w:rPr>
          <w:color w:val="1A1A1A"/>
          <w:sz w:val="20"/>
          <w:lang w:val="es-CO"/>
        </w:rPr>
        <w:t>. Solo el segmento de medianas (31-100 unidades) creció proporcionalmente más en 2024-2025 (+10%).</w:t>
      </w:r>
    </w:p>
    <w:p>
      <w:pPr>
        <w:pStyle w:val="ListBullet"/>
        <w:numPr>
          <w:ilvl w:val="0"/>
          <w:numId w:val="1"/>
        </w:numPr>
        <w:spacing w:before="0" w:after="40"/>
        <w:contextualSpacing/>
        <w:rPr>
          <w:lang w:val="es-CO"/>
        </w:rPr>
      </w:pPr>
      <w:r>
        <w:rPr>
          <w:b/>
          <w:color w:val="1A1A1A"/>
          <w:sz w:val="20"/>
          <w:lang w:val="es-CO"/>
        </w:rPr>
        <w:t>Concentración del mercado aduanal:</w:t>
      </w:r>
      <w:r>
        <w:rPr>
          <w:color w:val="1A1A1A"/>
          <w:sz w:val="20"/>
          <w:lang w:val="es-CO"/>
        </w:rPr>
        <w:t xml:space="preserve"> Menos atomizado por la barrera de patente. CAAAREM representa </w:t>
      </w:r>
      <w:r>
        <w:rPr>
          <w:b/>
          <w:color w:val="1A1A1A"/>
          <w:sz w:val="20"/>
          <w:lang w:val="es-CO"/>
        </w:rPr>
        <w:t>99% de los agentes aduanales</w:t>
      </w:r>
      <w:r>
        <w:rPr>
          <w:color w:val="1A1A1A"/>
          <w:sz w:val="20"/>
          <w:lang w:val="es-CO"/>
        </w:rPr>
        <w:t xml:space="preserve"> y opera 38 asociaciones distribuidas en puertos terrestres, marítimos, aéreos e interiores.</w:t>
      </w:r>
    </w:p>
    <w:p>
      <w:pPr>
        <w:pStyle w:val="ListBullet"/>
        <w:numPr>
          <w:ilvl w:val="0"/>
          <w:numId w:val="1"/>
        </w:numPr>
        <w:spacing w:before="0" w:after="40"/>
        <w:contextualSpacing/>
        <w:rPr>
          <w:lang w:val="es-CO"/>
        </w:rPr>
      </w:pPr>
      <w:r>
        <w:rPr>
          <w:b/>
          <w:color w:val="1A1A1A"/>
          <w:sz w:val="20"/>
          <w:lang w:val="es-CO"/>
        </w:rPr>
        <w:t>Consolidación en curso:</w:t>
      </w:r>
      <w:r>
        <w:rPr>
          <w:color w:val="1A1A1A"/>
          <w:sz w:val="20"/>
          <w:lang w:val="es-CO"/>
        </w:rPr>
        <w:t xml:space="preserve"> Tech-enabled forwarders (Nuvocargo, Flexport) están adquiriendo cuentas mid-market que históricamente atendían agencias regionales. Es un movimiento de mid-2024 hacia adelante.</w:t>
      </w:r>
    </w:p>
    <w:p>
      <w:pPr>
        <w:pStyle w:val="Normal"/>
        <w:spacing w:before="20" w:after="60"/>
        <w:rPr>
          <w:lang w:val="es-CO"/>
        </w:rPr>
      </w:pPr>
      <w:r>
        <w:rPr>
          <w:color w:val="1A1A1A"/>
          <w:sz w:val="20"/>
          <w:lang w:val="es-CO"/>
        </w:rPr>
        <w:t xml:space="preserve">&gt; 🔍 </w:t>
      </w:r>
      <w:r>
        <w:rPr>
          <w:b/>
          <w:color w:val="1A1A1A"/>
          <w:sz w:val="20"/>
          <w:lang w:val="es-CO"/>
        </w:rPr>
        <w:t>Análisis para Trixx específicamente:</w:t>
      </w:r>
      <w:r>
        <w:rPr>
          <w:color w:val="1A1A1A"/>
          <w:sz w:val="20"/>
          <w:lang w:val="es-CO"/>
        </w:rPr>
        <w:t xml:space="preserve"> El competidor más relevante NO es otra agencia aduanal de Tijuana — es </w:t>
      </w:r>
      <w:r>
        <w:rPr>
          <w:b/>
          <w:color w:val="1A1A1A"/>
          <w:sz w:val="20"/>
          <w:lang w:val="es-CO"/>
        </w:rPr>
        <w:t>Nuvocargo</w:t>
      </w:r>
      <w:r>
        <w:rPr>
          <w:color w:val="1A1A1A"/>
          <w:sz w:val="20"/>
          <w:lang w:val="es-CO"/>
        </w:rPr>
        <w:t>. Nuvocargo opera el mismo corredor US-MX con foco en el segmento mid-market, plataforma digital, visibility en tiempo real y financiamiento de USD 74M+. Si Trixx no construye una propuesta digital diferenciada en los próximos 18-24 meses, Nuvocargo (o su sucesor) le va a comer la base de clientes que hoy depende del modelo relacional + Excel.</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3. TENDENCIAS CLAVE (3-5 AÑOS)</w:t>
      </w:r>
    </w:p>
    <w:p>
      <w:pPr>
        <w:pStyle w:val="Normal"/>
        <w:spacing w:before="160" w:after="40"/>
        <w:rPr>
          <w:lang w:val="es-CO"/>
        </w:rPr>
      </w:pPr>
      <w:r>
        <w:rPr>
          <w:b/>
          <w:color w:val="6B7280"/>
          <w:sz w:val="22"/>
          <w:lang w:val="es-CO"/>
        </w:rPr>
        <w:t>Tendencias tecnológicas</w:t>
      </w:r>
    </w:p>
    <w:p>
      <w:pPr>
        <w:pStyle w:val="Normal"/>
        <w:spacing w:before="20" w:after="60"/>
        <w:rPr>
          <w:lang w:val="es-CO"/>
        </w:rPr>
      </w:pPr>
      <w:r>
        <w:rPr>
          <w:b/>
          <w:color w:val="1A1A1A"/>
          <w:sz w:val="20"/>
          <w:lang w:val="es-CO"/>
        </w:rPr>
        <w:t>1. IA aplicada a clasificación arancelaria (early-adopter window 2024-2026).</w:t>
      </w:r>
      <w:r>
        <w:rPr>
          <w:color w:val="1A1A1A"/>
          <w:sz w:val="20"/>
          <w:lang w:val="es-CO"/>
        </w:rPr>
        <w:t xml:space="preserve"> La clasificación de fracciones TIGIE / Sistema Armonizado es el cuello de botella histórico del despacho aduanero. </w:t>
      </w:r>
      <w:r>
        <w:rPr>
          <w:b/>
          <w:color w:val="1A1A1A"/>
          <w:sz w:val="20"/>
          <w:lang w:val="es-CO"/>
        </w:rPr>
        <w:t>AduanApp</w:t>
      </w:r>
      <w:r>
        <w:rPr>
          <w:color w:val="1A1A1A"/>
          <w:sz w:val="20"/>
          <w:lang w:val="es-CO"/>
        </w:rPr>
        <w:t xml:space="preserve"> clasifica cada operación en 7-13 segundos con 95% de precisión usando LLMs + computer vision + APIs. </w:t>
      </w:r>
      <w:r>
        <w:rPr>
          <w:b/>
          <w:color w:val="1A1A1A"/>
          <w:sz w:val="20"/>
          <w:lang w:val="es-CO"/>
        </w:rPr>
        <w:t>Taxer</w:t>
      </w:r>
      <w:r>
        <w:rPr>
          <w:color w:val="1A1A1A"/>
          <w:sz w:val="20"/>
          <w:lang w:val="es-CO"/>
        </w:rPr>
        <w:t xml:space="preserve"> reporta 56% reducción en tiempos de flujo. En noviembre 2024, la AAADAM organizó el </w:t>
      </w:r>
      <w:r>
        <w:rPr>
          <w:b/>
          <w:color w:val="1A1A1A"/>
          <w:sz w:val="20"/>
          <w:lang w:val="es-CO"/>
        </w:rPr>
        <w:t>Primer Concurso de Proveedores de Clasificación Arancelaria No Humana</w:t>
      </w:r>
      <w:r>
        <w:rPr>
          <w:color w:val="1A1A1A"/>
          <w:sz w:val="20"/>
          <w:lang w:val="es-CO"/>
        </w:rPr>
        <w:t xml:space="preserve"> con Taxer, Moco AI, AduanApp y Experta como participantes — señal de que la industria reconoce el cambio como inevitable.</w:t>
      </w:r>
    </w:p>
    <w:p>
      <w:pPr>
        <w:pStyle w:val="Normal"/>
        <w:spacing w:before="20" w:after="60"/>
        <w:rPr>
          <w:lang w:val="es-CO"/>
        </w:rPr>
      </w:pPr>
      <w:r>
        <w:rPr>
          <w:b/>
          <w:color w:val="1A1A1A"/>
          <w:sz w:val="20"/>
          <w:lang w:val="es-CO"/>
        </w:rPr>
        <w:t>2. Visibility platforms multimodales.</w:t>
      </w:r>
      <w:r>
        <w:rPr>
          <w:color w:val="1A1A1A"/>
          <w:sz w:val="20"/>
          <w:lang w:val="es-CO"/>
        </w:rPr>
        <w:t xml:space="preserve"> Project44, FourKites, MacroPoint, Nuvocargo han incorporado tracking en tiempo real como expectativa del cliente. Los forwarders locales sin esta capacidad están perdiendo cuentas mid-market que la solicitan en RFQs.</w:t>
      </w:r>
    </w:p>
    <w:p>
      <w:pPr>
        <w:pStyle w:val="Normal"/>
        <w:spacing w:before="20" w:after="60"/>
        <w:rPr>
          <w:lang w:val="es-CO"/>
        </w:rPr>
      </w:pPr>
      <w:r>
        <w:rPr>
          <w:b/>
          <w:color w:val="1A1A1A"/>
          <w:sz w:val="20"/>
          <w:lang w:val="es-CO"/>
        </w:rPr>
        <w:t>3. Automatización documental.</w:t>
      </w:r>
      <w:r>
        <w:rPr>
          <w:color w:val="1A1A1A"/>
          <w:sz w:val="20"/>
          <w:lang w:val="es-CO"/>
        </w:rPr>
        <w:t xml:space="preserve"> OCR + NER + validación contra reglas SAT para pedimentos, BOLs, cartas porte, packing lists. El costo del software ha bajado dramáticamente (LLMs commoditizados) mientras el costo de operadores de captura sigue subiendo.</w:t>
      </w:r>
    </w:p>
    <w:p>
      <w:pPr>
        <w:pStyle w:val="Normal"/>
        <w:spacing w:before="160" w:after="40"/>
        <w:rPr>
          <w:lang w:val="es-CO"/>
        </w:rPr>
      </w:pPr>
      <w:r>
        <w:rPr>
          <w:b/>
          <w:color w:val="6B7280"/>
          <w:sz w:val="22"/>
          <w:lang w:val="es-CO"/>
        </w:rPr>
        <w:t>Tendencias del cliente final</w:t>
      </w:r>
    </w:p>
    <w:p>
      <w:pPr>
        <w:pStyle w:val="Normal"/>
        <w:spacing w:before="20" w:after="60"/>
        <w:rPr>
          <w:lang w:val="es-CO"/>
        </w:rPr>
      </w:pPr>
      <w:r>
        <w:rPr>
          <w:b/>
          <w:color w:val="1A1A1A"/>
          <w:sz w:val="20"/>
          <w:lang w:val="es-CO"/>
        </w:rPr>
        <w:t>1. Expectativa de visibility 24/7.</w:t>
      </w:r>
      <w:r>
        <w:rPr>
          <w:color w:val="1A1A1A"/>
          <w:sz w:val="20"/>
          <w:lang w:val="es-CO"/>
        </w:rPr>
        <w:t xml:space="preserve"> El cliente B2B ya no acepta "te llamamos cuando llegue" — espera dashboard, alertas push, ETA dinámico. Esta expectativa proviene de retail B2C (Amazon, Mercado Libre) y se transfiere a logística B2B.</w:t>
      </w:r>
    </w:p>
    <w:p>
      <w:pPr>
        <w:pStyle w:val="Normal"/>
        <w:spacing w:before="20" w:after="60"/>
        <w:rPr>
          <w:lang w:val="es-CO"/>
        </w:rPr>
      </w:pPr>
      <w:r>
        <w:rPr>
          <w:b/>
          <w:color w:val="1A1A1A"/>
          <w:sz w:val="20"/>
          <w:lang w:val="es-CO"/>
        </w:rPr>
        <w:t>2. Self-service en cotización para flujos recurrentes.</w:t>
      </w:r>
      <w:r>
        <w:rPr>
          <w:color w:val="1A1A1A"/>
          <w:sz w:val="20"/>
          <w:lang w:val="es-CO"/>
        </w:rPr>
        <w:t xml:space="preserve"> RFQs digitales con respuesta en horas (no días) son hoy estándar entre forwarders tech-enabled.</w:t>
      </w:r>
    </w:p>
    <w:p>
      <w:pPr>
        <w:pStyle w:val="Normal"/>
        <w:spacing w:before="20" w:after="60"/>
        <w:rPr>
          <w:lang w:val="es-CO"/>
        </w:rPr>
      </w:pPr>
      <w:r>
        <w:rPr>
          <w:b/>
          <w:color w:val="1A1A1A"/>
          <w:sz w:val="20"/>
          <w:lang w:val="es-CO"/>
        </w:rPr>
        <w:t>3. Sustentabilidad como criterio creciente.</w:t>
      </w:r>
      <w:r>
        <w:rPr>
          <w:color w:val="1A1A1A"/>
          <w:sz w:val="20"/>
          <w:lang w:val="es-CO"/>
        </w:rPr>
        <w:t xml:space="preserve"> Reportes de emisiones por envío, transporte eléctrico/híbrido, compliance ESG son requisitos crecientes para clientes multinacionales con operaciones en MX.</w:t>
      </w:r>
    </w:p>
    <w:p>
      <w:pPr>
        <w:pStyle w:val="Normal"/>
        <w:spacing w:before="160" w:after="40"/>
        <w:rPr>
          <w:lang w:val="es-CO"/>
        </w:rPr>
      </w:pPr>
      <w:r>
        <w:rPr>
          <w:b/>
          <w:color w:val="6B7280"/>
          <w:sz w:val="22"/>
          <w:lang w:val="es-CO"/>
        </w:rPr>
        <w:t>Tendencias regulatorias</w:t>
      </w:r>
    </w:p>
    <w:p>
      <w:pPr>
        <w:pStyle w:val="Normal"/>
        <w:spacing w:before="80" w:after="40"/>
        <w:rPr>
          <w:lang w:val="es-CO"/>
        </w:rPr>
      </w:pPr>
      <w:r>
        <w:rPr>
          <w:b/>
          <w:color w:val="0C1A2E"/>
          <w:sz w:val="20"/>
          <w:lang w:val="es-CO"/>
        </w:rPr>
        <w:t>1. Reforma Ley Aduanera 2025 (vigor 1-ene-2026).</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Las patentes de agente aduanal dejan de ser </w:t>
      </w:r>
      <w:r>
        <w:rPr>
          <w:b/>
          <w:color w:val="1A1A1A"/>
          <w:sz w:val="20"/>
          <w:lang w:val="es-CO"/>
        </w:rPr>
        <w:t>vitalicias</w:t>
      </w:r>
      <w:r>
        <w:rPr>
          <w:color w:val="1A1A1A"/>
          <w:sz w:val="20"/>
          <w:lang w:val="es-CO"/>
        </w:rPr>
        <w:t xml:space="preserve">; ahora tienen </w:t>
      </w:r>
      <w:r>
        <w:rPr>
          <w:b/>
          <w:color w:val="1A1A1A"/>
          <w:sz w:val="20"/>
          <w:lang w:val="es-CO"/>
        </w:rPr>
        <w:t>vigencia 20 años + prórroga sujeta a requisitos</w:t>
      </w:r>
      <w:r>
        <w:rPr>
          <w:color w:val="1A1A1A"/>
          <w:sz w:val="20"/>
          <w:lang w:val="es-CO"/>
        </w:rPr>
        <w:t>.</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Certificaciones periódicas </w:t>
      </w:r>
      <w:r>
        <w:rPr>
          <w:b/>
          <w:color w:val="1A1A1A"/>
          <w:sz w:val="20"/>
          <w:lang w:val="es-CO"/>
        </w:rPr>
        <w:t>cada 3 años</w:t>
      </w:r>
      <w:r>
        <w:rPr>
          <w:color w:val="1A1A1A"/>
          <w:sz w:val="20"/>
          <w:lang w:val="es-CO"/>
        </w:rPr>
        <w:t>.</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Se crea un nuevo </w:t>
      </w:r>
      <w:r>
        <w:rPr>
          <w:b/>
          <w:color w:val="1A1A1A"/>
          <w:sz w:val="20"/>
          <w:lang w:val="es-CO"/>
        </w:rPr>
        <w:t>Consejo Aduanero</w:t>
      </w:r>
      <w:r>
        <w:rPr>
          <w:color w:val="1A1A1A"/>
          <w:sz w:val="20"/>
          <w:lang w:val="es-CO"/>
        </w:rPr>
        <w:t xml:space="preserve"> para otorgar, suspender, cancelar e inhabilitar patentes.</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 xml:space="preserve">Se elimina la exclusión de responsabilidad: el agente aduanal AHORA es </w:t>
      </w:r>
      <w:r>
        <w:rPr>
          <w:b/>
          <w:color w:val="1A1A1A"/>
          <w:sz w:val="20"/>
          <w:lang w:val="es-CO"/>
        </w:rPr>
        <w:t>responsable solidario con el importador/exportador</w:t>
      </w:r>
      <w:r>
        <w:rPr>
          <w:color w:val="1A1A1A"/>
          <w:sz w:val="20"/>
          <w:lang w:val="es-CO"/>
        </w:rPr>
        <w:t xml:space="preserve"> sobre clasificación, valor, impuestos.</w:t>
      </w:r>
    </w:p>
    <w:p>
      <w:pPr>
        <w:pStyle w:val="ListBullet"/>
        <w:numPr>
          <w:ilvl w:val="0"/>
          <w:numId w:val="1"/>
        </w:numPr>
        <w:spacing w:before="0" w:after="40"/>
        <w:contextualSpacing/>
        <w:rPr>
          <w:lang w:val="es-CO"/>
        </w:rPr>
      </w:pPr>
      <w:r>
        <w:rPr>
          <w:color w:val="1A1A1A"/>
          <w:sz w:val="20"/>
          <w:lang w:val="es-CO"/>
        </w:rPr>
        <w:t>Fuente: Decreto publicado en DOF el 19 noviembre 2025.</w:t>
      </w:r>
    </w:p>
    <w:p>
      <w:pPr>
        <w:pStyle w:val="Normal"/>
        <w:spacing w:before="80" w:after="40"/>
        <w:rPr>
          <w:lang w:val="es-CO"/>
        </w:rPr>
      </w:pPr>
      <w:r>
        <w:rPr>
          <w:b/>
          <w:color w:val="0C1A2E"/>
          <w:sz w:val="20"/>
          <w:lang w:val="es-CO"/>
        </w:rPr>
        <w:t>2. CFDI 4.0 + Complemento Carta Porte 3.1 (vigente desde julio 2024).</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Obligatorio para cualquier persona física o moral que transporte mercancía propia o de terceros por territorio nacional.</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Multas: $850-$19,240 MXN por CFDI con error; $27,760-$53,650 MXN por vehículo detenido sin CFDI.</w:t>
      </w:r>
    </w:p>
    <w:p>
      <w:pPr>
        <w:pStyle w:val="ListBullet"/>
        <w:numPr>
          <w:ilvl w:val="0"/>
          <w:numId w:val="1"/>
        </w:numPr>
        <w:spacing w:before="0" w:after="40"/>
        <w:contextualSpacing/>
        <w:rPr>
          <w:lang w:val="es-CO"/>
        </w:rPr>
      </w:pPr>
      <w:r>
        <w:rPr>
          <w:color w:val="1A1A1A"/>
          <w:sz w:val="20"/>
          <w:lang w:val="es-CO"/>
        </w:rPr>
        <w:t xml:space="preserve">✅ </w:t>
      </w:r>
      <w:r>
        <w:rPr>
          <w:color w:val="1A1A1A"/>
          <w:sz w:val="20"/>
          <w:lang w:val="es-CO"/>
        </w:rPr>
        <w:t>Art. 103 CFF: contrabando presunto sin CFDI con Carta Porte; Art. 104 IV: prisión 3-6 años.</w:t>
      </w:r>
    </w:p>
    <w:p>
      <w:pPr>
        <w:pStyle w:val="Normal"/>
        <w:spacing w:before="20" w:after="60"/>
        <w:rPr>
          <w:lang w:val="es-CO"/>
        </w:rPr>
      </w:pPr>
      <w:r>
        <w:rPr>
          <w:b/>
          <w:color w:val="1A1A1A"/>
          <w:sz w:val="20"/>
          <w:lang w:val="es-CO"/>
        </w:rPr>
        <w:t>3. USMCA / T-MEC Review 2026.</w:t>
      </w:r>
      <w:r>
        <w:rPr>
          <w:color w:val="1A1A1A"/>
          <w:sz w:val="20"/>
          <w:lang w:val="es-CO"/>
        </w:rPr>
        <w:t xml:space="preserve"> Joint review formal lanzado 18 marzo 2026 por USTR Greer + Secretaría Ebrard. Decisión 1-jul-2026: renovar 16 años as-is, renegociar, o iniciar sunset countdown que terminaría 1-jul-2036. </w:t>
      </w:r>
      <w:r>
        <w:rPr>
          <w:b/>
          <w:color w:val="1A1A1A"/>
          <w:sz w:val="20"/>
          <w:lang w:val="es-CO"/>
        </w:rPr>
        <w:t>USMCA utilization MX exportadores: 44.8% en enero 2025 → 85% en enero 2026</w:t>
      </w:r>
      <w:r>
        <w:rPr>
          <w:color w:val="1A1A1A"/>
          <w:sz w:val="20"/>
          <w:lang w:val="es-CO"/>
        </w:rPr>
        <w:t xml:space="preserve"> — empresas están restructurando supply chains para calificar.</w:t>
      </w:r>
    </w:p>
    <w:p>
      <w:pPr>
        <w:pStyle w:val="Normal"/>
        <w:spacing w:before="80" w:after="40"/>
        <w:rPr>
          <w:lang w:val="es-CO"/>
        </w:rPr>
      </w:pPr>
      <w:r>
        <w:rPr>
          <w:b/>
          <w:color w:val="0C1A2E"/>
          <w:sz w:val="20"/>
          <w:lang w:val="es-CO"/>
        </w:rPr>
        <w:t>4. Aranceles US 2025-2026 (volátil).</w:t>
      </w:r>
    </w:p>
    <w:p>
      <w:pPr>
        <w:pStyle w:val="ListBullet"/>
        <w:numPr>
          <w:ilvl w:val="0"/>
          <w:numId w:val="1"/>
        </w:numPr>
        <w:spacing w:before="0" w:after="40"/>
        <w:contextualSpacing/>
        <w:rPr>
          <w:lang w:val="es-CO"/>
        </w:rPr>
      </w:pPr>
      <w:r>
        <w:rPr>
          <w:color w:val="1A1A1A"/>
          <w:sz w:val="20"/>
          <w:lang w:val="es-CO"/>
        </w:rPr>
        <w:t>Marzo 2025: 25% IEEPA tariff vigor.</w:t>
      </w:r>
    </w:p>
    <w:p>
      <w:pPr>
        <w:pStyle w:val="ListBullet"/>
        <w:numPr>
          <w:ilvl w:val="0"/>
          <w:numId w:val="1"/>
        </w:numPr>
        <w:spacing w:before="0" w:after="40"/>
        <w:contextualSpacing/>
        <w:rPr>
          <w:lang w:val="es-CO"/>
        </w:rPr>
      </w:pPr>
      <w:r>
        <w:rPr>
          <w:color w:val="1A1A1A"/>
          <w:sz w:val="20"/>
          <w:lang w:val="es-CO"/>
        </w:rPr>
        <w:t>Febrero 2026: Corte Suprema US elimina IEEPA tariff.</w:t>
      </w:r>
    </w:p>
    <w:p>
      <w:pPr>
        <w:pStyle w:val="ListBullet"/>
        <w:numPr>
          <w:ilvl w:val="0"/>
          <w:numId w:val="1"/>
        </w:numPr>
        <w:spacing w:before="0" w:after="40"/>
        <w:contextualSpacing/>
        <w:rPr>
          <w:lang w:val="es-CO"/>
        </w:rPr>
      </w:pPr>
      <w:r>
        <w:rPr>
          <w:color w:val="1A1A1A"/>
          <w:sz w:val="20"/>
          <w:lang w:val="es-CO"/>
        </w:rPr>
        <w:t>Inmediatamente: 10% Sección 122 vigor hasta 24-jul-2026 (USMCA-compliant goods exentos).</w:t>
      </w:r>
    </w:p>
    <w:p>
      <w:pPr>
        <w:pStyle w:val="ListBullet"/>
        <w:numPr>
          <w:ilvl w:val="0"/>
          <w:numId w:val="1"/>
        </w:numPr>
        <w:spacing w:before="0" w:after="40"/>
        <w:contextualSpacing/>
        <w:rPr>
          <w:lang w:val="es-CO"/>
        </w:rPr>
      </w:pPr>
      <w:r>
        <w:rPr>
          <w:color w:val="1A1A1A"/>
          <w:sz w:val="20"/>
          <w:lang w:val="es-CO"/>
        </w:rPr>
        <w:t>Abril 2026: Sección 232 restructurada — 50% (primario) o 25% (derivados) sobre metales, ampliando exposición.</w:t>
      </w:r>
    </w:p>
    <w:p>
      <w:pPr>
        <w:pStyle w:val="Normal"/>
        <w:spacing w:before="160" w:after="40"/>
        <w:rPr>
          <w:lang w:val="es-CO"/>
        </w:rPr>
      </w:pPr>
      <w:r>
        <w:rPr>
          <w:b/>
          <w:color w:val="6B7280"/>
          <w:sz w:val="22"/>
          <w:lang w:val="es-CO"/>
        </w:rPr>
        <w:t>Tendencias de globalización</w:t>
      </w:r>
    </w:p>
    <w:p>
      <w:pPr>
        <w:pStyle w:val="Normal"/>
        <w:spacing w:before="20" w:after="60"/>
        <w:rPr>
          <w:lang w:val="es-CO"/>
        </w:rPr>
      </w:pPr>
      <w:r>
        <w:rPr>
          <w:b/>
          <w:color w:val="1A1A1A"/>
          <w:sz w:val="20"/>
          <w:lang w:val="es-CO"/>
        </w:rPr>
        <w:t>Diversificación China → Sudeste asiático / Taiwán.</w:t>
      </w:r>
      <w:r>
        <w:rPr>
          <w:color w:val="1A1A1A"/>
          <w:sz w:val="20"/>
          <w:lang w:val="es-CO"/>
        </w:rPr>
        <w:t xml:space="preserve"> Las importaciones México desde Taiwán crecieron </w:t>
      </w:r>
      <w:r>
        <w:rPr>
          <w:b/>
          <w:color w:val="1A1A1A"/>
          <w:sz w:val="20"/>
          <w:lang w:val="es-CO"/>
        </w:rPr>
        <w:t>+400% YoY en febrero 2026</w:t>
      </w:r>
      <w:r>
        <w:rPr>
          <w:color w:val="1A1A1A"/>
          <w:sz w:val="20"/>
          <w:lang w:val="es-CO"/>
        </w:rPr>
        <w:t xml:space="preserve"> desplazando flujos antes chinos para cumplir reglas T-MEC. China sigue siendo top-2 socio comercial de MX pero ha pasado de </w:t>
      </w:r>
      <w:r>
        <w:rPr>
          <w:b/>
          <w:color w:val="1A1A1A"/>
          <w:sz w:val="20"/>
          <w:lang w:val="es-CO"/>
        </w:rPr>
        <w:t>+12.8% crecimiento en 2024 a solo +2.9% en 2025</w:t>
      </w:r>
      <w:r>
        <w:rPr>
          <w:color w:val="1A1A1A"/>
          <w:sz w:val="20"/>
          <w:lang w:val="es-CO"/>
        </w:rPr>
        <w:t xml:space="preserve"> por barreras arancelarias mexicanas. Esto impacta directamente a operadores como Trixx que dependen del flow China-MX-USA.</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4. ANÁLISIS DE PROVEEDORES</w:t>
      </w:r>
    </w:p>
    <w:p>
      <w:pPr>
        <w:pStyle w:val="Normal"/>
        <w:spacing w:before="160" w:after="40"/>
        <w:rPr>
          <w:lang w:val="es-CO"/>
        </w:rPr>
      </w:pPr>
      <w:r>
        <w:rPr>
          <w:b/>
          <w:color w:val="6B7280"/>
          <w:sz w:val="22"/>
          <w:lang w:val="es-CO"/>
        </w:rPr>
        <w:t>Estructura de la cadena de suministro</w:t>
      </w:r>
    </w:p>
    <w:p>
      <w:pPr>
        <w:pStyle w:val="Normal"/>
        <w:spacing w:before="20" w:after="60"/>
        <w:rPr>
          <w:lang w:val="es-CO"/>
        </w:rPr>
      </w:pPr>
      <w:r>
        <w:rPr>
          <w:color w:val="1A1A1A"/>
          <w:sz w:val="20"/>
          <w:lang w:val="es-CO"/>
        </w:rPr>
        <w:t>La cadena upstream de un operador integrado como Trixx incluye:</w:t>
      </w:r>
    </w:p>
    <w:p>
      <w:pPr>
        <w:pStyle w:val="ListNumber"/>
        <w:numPr>
          <w:ilvl w:val="0"/>
          <w:numId w:val="4"/>
        </w:numPr>
        <w:spacing w:before="0" w:after="40"/>
        <w:contextualSpacing/>
        <w:rPr>
          <w:lang w:val="es-CO"/>
        </w:rPr>
      </w:pPr>
      <w:r>
        <w:rPr>
          <w:b/>
          <w:color w:val="1A1A1A"/>
          <w:sz w:val="20"/>
          <w:lang w:val="es-CO"/>
        </w:rPr>
        <w:t>Combustible (diesel principalmente).</w:t>
      </w:r>
      <w:r>
        <w:rPr>
          <w:color w:val="1A1A1A"/>
          <w:sz w:val="20"/>
          <w:lang w:val="es-CO"/>
        </w:rPr>
        <w:t xml:space="preserve"> PEMEX y privados. Volatilidad alta por subsidio cambiante y precios internacionales.</w:t>
      </w:r>
    </w:p>
    <w:p>
      <w:pPr>
        <w:pStyle w:val="ListNumber"/>
        <w:numPr>
          <w:ilvl w:val="0"/>
          <w:numId w:val="4"/>
        </w:numPr>
        <w:spacing w:before="0" w:after="40"/>
        <w:contextualSpacing/>
        <w:rPr>
          <w:lang w:val="es-CO"/>
        </w:rPr>
      </w:pPr>
      <w:r>
        <w:rPr>
          <w:b/>
          <w:color w:val="1A1A1A"/>
          <w:sz w:val="20"/>
          <w:lang w:val="es-CO"/>
        </w:rPr>
        <w:t>Mantenimiento de flota.</w:t>
      </w:r>
      <w:r>
        <w:rPr>
          <w:color w:val="1A1A1A"/>
          <w:sz w:val="20"/>
          <w:lang w:val="es-CO"/>
        </w:rPr>
        <w:t xml:space="preserve"> Refacciones, llantas, talleres especializados. Mercado fragmentado.</w:t>
      </w:r>
    </w:p>
    <w:p>
      <w:pPr>
        <w:pStyle w:val="ListNumber"/>
        <w:numPr>
          <w:ilvl w:val="0"/>
          <w:numId w:val="4"/>
        </w:numPr>
        <w:spacing w:before="0" w:after="40"/>
        <w:contextualSpacing/>
        <w:rPr>
          <w:lang w:val="es-CO"/>
        </w:rPr>
      </w:pPr>
      <w:r>
        <w:rPr>
          <w:b/>
          <w:color w:val="1A1A1A"/>
          <w:sz w:val="20"/>
          <w:lang w:val="es-CO"/>
        </w:rPr>
        <w:t>Drivers / operadores.</w:t>
      </w:r>
      <w:r>
        <w:rPr>
          <w:color w:val="1A1A1A"/>
          <w:sz w:val="20"/>
          <w:lang w:val="es-CO"/>
        </w:rPr>
        <w:t xml:space="preserve"> Recurso escaso a nivel nacional — escasez estructural de ~50K drivers según CANACAR. Conflict con maquila por talento.</w:t>
      </w:r>
    </w:p>
    <w:p>
      <w:pPr>
        <w:pStyle w:val="ListNumber"/>
        <w:numPr>
          <w:ilvl w:val="0"/>
          <w:numId w:val="4"/>
        </w:numPr>
        <w:spacing w:before="0" w:after="40"/>
        <w:contextualSpacing/>
        <w:rPr>
          <w:lang w:val="es-CO"/>
        </w:rPr>
      </w:pPr>
      <w:r>
        <w:rPr>
          <w:b/>
          <w:color w:val="1A1A1A"/>
          <w:sz w:val="20"/>
          <w:lang w:val="es-CO"/>
        </w:rPr>
        <w:t>Capacidad aérea / marítima subcontratada.</w:t>
      </w:r>
      <w:r>
        <w:rPr>
          <w:color w:val="1A1A1A"/>
          <w:sz w:val="20"/>
          <w:lang w:val="es-CO"/>
        </w:rPr>
        <w:t xml:space="preserve"> Aerolíneas cargueras (Aeroméxico Cargo, AFKLM), navieras (Maersk, MSC, CMA CGM, COSCO). Concentración media-alta.</w:t>
      </w:r>
    </w:p>
    <w:p>
      <w:pPr>
        <w:pStyle w:val="ListNumber"/>
        <w:numPr>
          <w:ilvl w:val="0"/>
          <w:numId w:val="4"/>
        </w:numPr>
        <w:spacing w:before="0" w:after="40"/>
        <w:contextualSpacing/>
        <w:rPr>
          <w:lang w:val="es-CO"/>
        </w:rPr>
      </w:pPr>
      <w:r>
        <w:rPr>
          <w:b/>
          <w:color w:val="1A1A1A"/>
          <w:sz w:val="20"/>
          <w:lang w:val="es-CO"/>
        </w:rPr>
        <w:t>Software / TI.</w:t>
      </w:r>
      <w:r>
        <w:rPr>
          <w:color w:val="1A1A1A"/>
          <w:sz w:val="20"/>
          <w:lang w:val="es-CO"/>
        </w:rPr>
        <w:t xml:space="preserve"> ERP, TMS, WMS, software aduanal (CAAAREM SIAR, Aduanasoft, etc.). Mercado fragmentado con jugadores locales y globales.</w:t>
      </w:r>
    </w:p>
    <w:p>
      <w:pPr>
        <w:pStyle w:val="ListNumber"/>
        <w:numPr>
          <w:ilvl w:val="0"/>
          <w:numId w:val="4"/>
        </w:numPr>
        <w:spacing w:before="0" w:after="40"/>
        <w:contextualSpacing/>
        <w:rPr>
          <w:lang w:val="es-CO"/>
        </w:rPr>
      </w:pPr>
      <w:r>
        <w:rPr>
          <w:b/>
          <w:color w:val="1A1A1A"/>
          <w:sz w:val="20"/>
          <w:lang w:val="es-CO"/>
        </w:rPr>
        <w:t>Recintos fiscalizados.</w:t>
      </w:r>
      <w:r>
        <w:rPr>
          <w:color w:val="1A1A1A"/>
          <w:sz w:val="20"/>
          <w:lang w:val="es-CO"/>
        </w:rPr>
        <w:t xml:space="preserve"> Aduanas + recintos privados en cada plaza. Capacidad limitada en Tijuana.</w:t>
      </w:r>
    </w:p>
    <w:p>
      <w:pPr>
        <w:pStyle w:val="Normal"/>
        <w:spacing w:before="160" w:after="40"/>
        <w:rPr>
          <w:lang w:val="es-CO"/>
        </w:rPr>
      </w:pPr>
      <w:r>
        <w:rPr>
          <w:b/>
          <w:color w:val="6B7280"/>
          <w:sz w:val="22"/>
          <w:lang w:val="es-CO"/>
        </w:rPr>
        <w:t>Concentración y poder de negociación</w:t>
      </w:r>
    </w:p>
    <w:p>
      <w:pPr>
        <w:pStyle w:val="ListBullet"/>
        <w:numPr>
          <w:ilvl w:val="0"/>
          <w:numId w:val="1"/>
        </w:numPr>
        <w:spacing w:before="0" w:after="40"/>
        <w:contextualSpacing/>
        <w:rPr>
          <w:lang w:val="es-CO"/>
        </w:rPr>
      </w:pPr>
      <w:r>
        <w:rPr>
          <w:b/>
          <w:color w:val="1A1A1A"/>
          <w:sz w:val="20"/>
          <w:lang w:val="es-CO"/>
        </w:rPr>
        <w:t>Combustible:</w:t>
      </w:r>
      <w:r>
        <w:rPr>
          <w:color w:val="1A1A1A"/>
          <w:sz w:val="20"/>
          <w:lang w:val="es-CO"/>
        </w:rPr>
        <w:t xml:space="preserve"> Poder MEDIO de proveedor (alternativas existen, subsidio modifica el cálculo).</w:t>
      </w:r>
    </w:p>
    <w:p>
      <w:pPr>
        <w:pStyle w:val="ListBullet"/>
        <w:numPr>
          <w:ilvl w:val="0"/>
          <w:numId w:val="1"/>
        </w:numPr>
        <w:spacing w:before="0" w:after="40"/>
        <w:contextualSpacing/>
        <w:rPr>
          <w:lang w:val="es-CO"/>
        </w:rPr>
      </w:pPr>
      <w:r>
        <w:rPr>
          <w:b/>
          <w:color w:val="1A1A1A"/>
          <w:sz w:val="20"/>
          <w:lang w:val="es-CO"/>
        </w:rPr>
        <w:t>Drivers:</w:t>
      </w:r>
      <w:r>
        <w:rPr>
          <w:color w:val="1A1A1A"/>
          <w:sz w:val="20"/>
          <w:lang w:val="es-CO"/>
        </w:rPr>
        <w:t xml:space="preserve"> Poder ALTO del recurso (escasez estructural; rotación 30-40% anual en sector según industria).</w:t>
      </w:r>
    </w:p>
    <w:p>
      <w:pPr>
        <w:pStyle w:val="ListBullet"/>
        <w:numPr>
          <w:ilvl w:val="0"/>
          <w:numId w:val="1"/>
        </w:numPr>
        <w:spacing w:before="0" w:after="40"/>
        <w:contextualSpacing/>
        <w:rPr>
          <w:lang w:val="es-CO"/>
        </w:rPr>
      </w:pPr>
      <w:r>
        <w:rPr>
          <w:b/>
          <w:color w:val="1A1A1A"/>
          <w:sz w:val="20"/>
          <w:lang w:val="es-CO"/>
        </w:rPr>
        <w:t>Capacidad aérea/marítima:</w:t>
      </w:r>
      <w:r>
        <w:rPr>
          <w:color w:val="1A1A1A"/>
          <w:sz w:val="20"/>
          <w:lang w:val="es-CO"/>
        </w:rPr>
        <w:t xml:space="preserve"> Poder ALTO en pico de demanda (post-pandemia 2021-2022 fue extremo; 2024-2025 normalizado pero volátil).</w:t>
      </w:r>
    </w:p>
    <w:p>
      <w:pPr>
        <w:pStyle w:val="ListBullet"/>
        <w:numPr>
          <w:ilvl w:val="0"/>
          <w:numId w:val="1"/>
        </w:numPr>
        <w:spacing w:before="0" w:after="40"/>
        <w:contextualSpacing/>
        <w:rPr>
          <w:lang w:val="es-CO"/>
        </w:rPr>
      </w:pPr>
      <w:r>
        <w:rPr>
          <w:b/>
          <w:color w:val="1A1A1A"/>
          <w:sz w:val="20"/>
          <w:lang w:val="es-CO"/>
        </w:rPr>
        <w:t>Software:</w:t>
      </w:r>
      <w:r>
        <w:rPr>
          <w:color w:val="1A1A1A"/>
          <w:sz w:val="20"/>
          <w:lang w:val="es-CO"/>
        </w:rPr>
        <w:t xml:space="preserve"> Poder BAJO (muchos proveedores, switching cost moderado).</w:t>
      </w:r>
    </w:p>
    <w:p>
      <w:pPr>
        <w:pStyle w:val="ListBullet"/>
        <w:numPr>
          <w:ilvl w:val="0"/>
          <w:numId w:val="1"/>
        </w:numPr>
        <w:spacing w:before="0" w:after="40"/>
        <w:contextualSpacing/>
        <w:rPr>
          <w:lang w:val="es-CO"/>
        </w:rPr>
      </w:pPr>
      <w:r>
        <w:rPr>
          <w:b/>
          <w:color w:val="1A1A1A"/>
          <w:sz w:val="20"/>
          <w:lang w:val="es-CO"/>
        </w:rPr>
        <w:t>Recintos fiscalizados:</w:t>
      </w:r>
      <w:r>
        <w:rPr>
          <w:color w:val="1A1A1A"/>
          <w:sz w:val="20"/>
          <w:lang w:val="es-CO"/>
        </w:rPr>
        <w:t xml:space="preserve"> Poder ALTO en plazas saturadas (Tijuana incluida).</w:t>
      </w:r>
    </w:p>
    <w:p>
      <w:pPr>
        <w:pStyle w:val="Normal"/>
        <w:spacing w:before="160" w:after="40"/>
        <w:rPr>
          <w:lang w:val="es-CO"/>
        </w:rPr>
      </w:pPr>
      <w:r>
        <w:rPr>
          <w:b/>
          <w:color w:val="6B7280"/>
          <w:sz w:val="22"/>
          <w:lang w:val="es-CO"/>
        </w:rPr>
        <w:t>Disponibilidad y riesgos de suministro</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Escasez de operadores con licencia federal categoría B/E:</w:t>
      </w:r>
      <w:r>
        <w:rPr>
          <w:color w:val="1A1A1A"/>
          <w:sz w:val="20"/>
          <w:lang w:val="es-CO"/>
        </w:rPr>
        <w:t xml:space="preserve"> documentada por CANACAR como restricción estructural al crecimiento del sector.</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Volatilidad en diésel:</w:t>
      </w:r>
      <w:r>
        <w:rPr>
          <w:color w:val="1A1A1A"/>
          <w:sz w:val="20"/>
          <w:lang w:val="es-CO"/>
        </w:rPr>
        <w:t xml:space="preserve"> subsidio mexicano puede cambiar entre administraciones; precio internacional afecta margen directamente.</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Concentración en recintos fiscalizados de Tijuana:</w:t>
      </w:r>
      <w:r>
        <w:rPr>
          <w:color w:val="1A1A1A"/>
          <w:sz w:val="20"/>
          <w:lang w:val="es-CO"/>
        </w:rPr>
        <w:t xml:space="preserve"> ampliaciones de capacidad (Mesa de Otay, Otay II) toman años; cuello de botella periódico.</w:t>
      </w:r>
    </w:p>
    <w:p>
      <w:pPr>
        <w:pStyle w:val="Normal"/>
        <w:spacing w:before="160" w:after="40"/>
        <w:rPr>
          <w:lang w:val="es-CO"/>
        </w:rPr>
      </w:pPr>
      <w:r>
        <w:rPr>
          <w:b/>
          <w:color w:val="6B7280"/>
          <w:sz w:val="22"/>
          <w:lang w:val="es-CO"/>
        </w:rPr>
        <w:t>Tendencias en precios de insumos</w:t>
      </w:r>
    </w:p>
    <w:p>
      <w:pPr>
        <w:pStyle w:val="ListBullet"/>
        <w:numPr>
          <w:ilvl w:val="0"/>
          <w:numId w:val="1"/>
        </w:numPr>
        <w:spacing w:before="0" w:after="40"/>
        <w:contextualSpacing/>
        <w:rPr>
          <w:lang w:val="es-CO"/>
        </w:rPr>
      </w:pPr>
      <w:r>
        <w:rPr>
          <w:color w:val="1A1A1A"/>
          <w:sz w:val="20"/>
          <w:lang w:val="es-CO"/>
        </w:rPr>
        <w:t>Diésel MX: estable con tendencia ligeramente alcista 2024-2026 (sin estallidos extremos como 2021-2022).</w:t>
      </w:r>
    </w:p>
    <w:p>
      <w:pPr>
        <w:pStyle w:val="ListBullet"/>
        <w:numPr>
          <w:ilvl w:val="0"/>
          <w:numId w:val="1"/>
        </w:numPr>
        <w:spacing w:before="0" w:after="40"/>
        <w:contextualSpacing/>
        <w:rPr>
          <w:lang w:val="es-CO"/>
        </w:rPr>
      </w:pPr>
      <w:r>
        <w:rPr>
          <w:color w:val="1A1A1A"/>
          <w:sz w:val="20"/>
          <w:lang w:val="es-CO"/>
        </w:rPr>
        <w:t>Llantas y refacciones: presión inflacionaria moderada.</w:t>
      </w:r>
    </w:p>
    <w:p>
      <w:pPr>
        <w:pStyle w:val="ListBullet"/>
        <w:numPr>
          <w:ilvl w:val="0"/>
          <w:numId w:val="1"/>
        </w:numPr>
        <w:spacing w:before="0" w:after="40"/>
        <w:contextualSpacing/>
        <w:rPr>
          <w:lang w:val="es-CO"/>
        </w:rPr>
      </w:pPr>
      <w:r>
        <w:rPr>
          <w:color w:val="1A1A1A"/>
          <w:sz w:val="20"/>
          <w:lang w:val="es-CO"/>
        </w:rPr>
        <w:t>Drivers: presión salarial sostenida (CANACAR documenta incrementos de 8-12% anuales en 2023-2025).</w:t>
      </w:r>
    </w:p>
    <w:p>
      <w:pPr>
        <w:pStyle w:val="ListBullet"/>
        <w:numPr>
          <w:ilvl w:val="0"/>
          <w:numId w:val="1"/>
        </w:numPr>
        <w:spacing w:before="0" w:after="40"/>
        <w:contextualSpacing/>
        <w:rPr>
          <w:lang w:val="es-CO"/>
        </w:rPr>
      </w:pPr>
      <w:r>
        <w:rPr>
          <w:color w:val="1A1A1A"/>
          <w:sz w:val="20"/>
          <w:lang w:val="es-CO"/>
        </w:rPr>
        <w:t xml:space="preserve">Software/IA: </w:t>
      </w:r>
      <w:r>
        <w:rPr>
          <w:b/>
          <w:color w:val="1A1A1A"/>
          <w:sz w:val="20"/>
          <w:lang w:val="es-CO"/>
        </w:rPr>
        <w:t>bajando</w:t>
      </w:r>
      <w:r>
        <w:rPr>
          <w:color w:val="1A1A1A"/>
          <w:sz w:val="20"/>
          <w:lang w:val="es-CO"/>
        </w:rPr>
        <w:t xml:space="preserve"> (commoditización de LLMs reduce costo de adopción).</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5. ANÁLISIS DE CLIENTES</w:t>
      </w:r>
    </w:p>
    <w:p>
      <w:pPr>
        <w:pStyle w:val="Normal"/>
        <w:spacing w:before="160" w:after="40"/>
        <w:rPr>
          <w:lang w:val="es-CO"/>
        </w:rPr>
      </w:pPr>
      <w:r>
        <w:rPr>
          <w:b/>
          <w:color w:val="6B7280"/>
          <w:sz w:val="22"/>
          <w:lang w:val="es-CO"/>
        </w:rPr>
        <w:t>Perfil del comprador actual</w:t>
      </w:r>
    </w:p>
    <w:p>
      <w:pPr>
        <w:pStyle w:val="Normal"/>
        <w:spacing w:before="20" w:after="60"/>
        <w:rPr>
          <w:lang w:val="es-CO"/>
        </w:rPr>
      </w:pPr>
      <w:r>
        <w:rPr>
          <w:color w:val="1A1A1A"/>
          <w:sz w:val="20"/>
          <w:lang w:val="es-CO"/>
        </w:rPr>
        <w:t>El comprador típico en logística cross-border MX-USA + aduanal se segmenta en cuatro grupos principales:</w:t>
      </w:r>
    </w:p>
    <w:p>
      <w:pPr>
        <w:pStyle w:val="ListNumber"/>
        <w:numPr>
          <w:ilvl w:val="0"/>
          <w:numId w:val="4"/>
        </w:numPr>
        <w:spacing w:before="0" w:after="40"/>
        <w:contextualSpacing/>
        <w:rPr>
          <w:lang w:val="es-CO"/>
        </w:rPr>
      </w:pPr>
      <w:r>
        <w:rPr>
          <w:b/>
          <w:color w:val="1A1A1A"/>
          <w:sz w:val="20"/>
          <w:lang w:val="es-CO"/>
        </w:rPr>
        <w:t>Importador / exportador empresarial (cuenta corporativa).</w:t>
      </w:r>
      <w:r>
        <w:rPr>
          <w:color w:val="1A1A1A"/>
          <w:sz w:val="20"/>
          <w:lang w:val="es-CO"/>
        </w:rPr>
        <w:t xml:space="preserve"> Manufactura, automotriz, electrónica, farmacéutica. Ciclo de compra: 3-9 meses con RFQ formal, due diligence, compliance review. Decisor: VP Supply Chain o Director de Logística.</w:t>
      </w:r>
    </w:p>
    <w:p>
      <w:pPr>
        <w:pStyle w:val="ListNumber"/>
        <w:numPr>
          <w:ilvl w:val="0"/>
          <w:numId w:val="4"/>
        </w:numPr>
        <w:spacing w:before="0" w:after="40"/>
        <w:contextualSpacing/>
        <w:rPr>
          <w:lang w:val="es-CO"/>
        </w:rPr>
      </w:pPr>
      <w:r>
        <w:rPr>
          <w:b/>
          <w:color w:val="1A1A1A"/>
          <w:sz w:val="20"/>
          <w:lang w:val="es-CO"/>
        </w:rPr>
        <w:t>Maquila / IMMEX.</w:t>
      </w:r>
      <w:r>
        <w:rPr>
          <w:color w:val="1A1A1A"/>
          <w:sz w:val="20"/>
          <w:lang w:val="es-CO"/>
        </w:rPr>
        <w:t xml:space="preserve"> Operaciones de manufactura para exportación. Volumen alto y recurrente. Decisor: Operations Manager o Plant Manager.</w:t>
      </w:r>
    </w:p>
    <w:p>
      <w:pPr>
        <w:pStyle w:val="ListNumber"/>
        <w:numPr>
          <w:ilvl w:val="0"/>
          <w:numId w:val="4"/>
        </w:numPr>
        <w:spacing w:before="0" w:after="40"/>
        <w:contextualSpacing/>
        <w:rPr>
          <w:lang w:val="es-CO"/>
        </w:rPr>
      </w:pPr>
      <w:r>
        <w:rPr>
          <w:b/>
          <w:color w:val="1A1A1A"/>
          <w:sz w:val="20"/>
          <w:lang w:val="es-CO"/>
        </w:rPr>
        <w:t>PyME importadora de China.</w:t>
      </w:r>
      <w:r>
        <w:rPr>
          <w:color w:val="1A1A1A"/>
          <w:sz w:val="20"/>
          <w:lang w:val="es-CO"/>
        </w:rPr>
        <w:t xml:space="preserve"> E-commerce + retail tradicional MX que importa producto desde Asia para venta interna. Ciclo corto (1-3 meses) y precio-sensible. Decisor: dueño o gerente comercial.</w:t>
      </w:r>
    </w:p>
    <w:p>
      <w:pPr>
        <w:pStyle w:val="ListNumber"/>
        <w:numPr>
          <w:ilvl w:val="0"/>
          <w:numId w:val="4"/>
        </w:numPr>
        <w:spacing w:before="0" w:after="40"/>
        <w:contextualSpacing/>
        <w:rPr>
          <w:lang w:val="es-CO"/>
        </w:rPr>
      </w:pPr>
      <w:r>
        <w:rPr>
          <w:b/>
          <w:color w:val="1A1A1A"/>
          <w:sz w:val="20"/>
          <w:lang w:val="es-CO"/>
        </w:rPr>
        <w:t>Particular / e-commerce B2C cross-border.</w:t>
      </w:r>
      <w:r>
        <w:rPr>
          <w:color w:val="1A1A1A"/>
          <w:sz w:val="20"/>
          <w:lang w:val="es-CO"/>
        </w:rPr>
        <w:t xml:space="preserve"> Compras individuales en US para entrega en MX. Volumen bajo por transacción pero frecuencia alta. Decisor: el consumidor final.</w:t>
      </w:r>
    </w:p>
    <w:p>
      <w:pPr>
        <w:pStyle w:val="Normal"/>
        <w:spacing w:before="20" w:after="60"/>
        <w:rPr>
          <w:lang w:val="es-CO"/>
        </w:rPr>
      </w:pPr>
      <w:r>
        <w:rPr>
          <w:color w:val="1A1A1A"/>
          <w:sz w:val="20"/>
          <w:lang w:val="es-CO"/>
        </w:rPr>
        <w:t xml:space="preserve">&gt; 🔍 </w:t>
      </w:r>
      <w:r>
        <w:rPr>
          <w:b/>
          <w:color w:val="1A1A1A"/>
          <w:sz w:val="20"/>
          <w:lang w:val="es-CO"/>
        </w:rPr>
        <w:t>Análisis:</w:t>
      </w:r>
      <w:r>
        <w:rPr>
          <w:color w:val="1A1A1A"/>
          <w:sz w:val="20"/>
          <w:lang w:val="es-CO"/>
        </w:rPr>
        <w:t xml:space="preserve"> Trixx parece atender principalmente segmentos 2-3-4 (PyME importadora + e-commerce + algo de maquila) por el perfil del idioma chino + servicio import-as-a-service + paquetería + flota propia mediana. Los grandes corporativos (segmento 1) suelen ir a Solistica, DHL, DSV o tech-enabled como Nuvocargo.</w:t>
      </w:r>
    </w:p>
    <w:p>
      <w:pPr>
        <w:pStyle w:val="Normal"/>
        <w:spacing w:before="160" w:after="40"/>
        <w:rPr>
          <w:lang w:val="es-CO"/>
        </w:rPr>
      </w:pPr>
      <w:r>
        <w:rPr>
          <w:b/>
          <w:color w:val="6B7280"/>
          <w:sz w:val="22"/>
          <w:lang w:val="es-CO"/>
        </w:rPr>
        <w:t>Cómo cambió el comprador en los últimos 3 años</w:t>
      </w:r>
    </w:p>
    <w:p>
      <w:pPr>
        <w:pStyle w:val="Normal"/>
        <w:spacing w:before="20" w:after="60"/>
        <w:rPr>
          <w:lang w:val="es-CO"/>
        </w:rPr>
      </w:pPr>
      <w:r>
        <w:rPr>
          <w:b/>
          <w:color w:val="1A1A1A"/>
          <w:sz w:val="20"/>
          <w:lang w:val="es-CO"/>
        </w:rPr>
        <w:t>1. Pasó de relacional puro a relacional + digital.</w:t>
      </w:r>
      <w:r>
        <w:rPr>
          <w:color w:val="1A1A1A"/>
          <w:sz w:val="20"/>
          <w:lang w:val="es-CO"/>
        </w:rPr>
        <w:t xml:space="preserve"> En 2021, el cliente aceptaba "te llamo por WhatsApp" como canal principal. En 2024-2026, espera dashboard de tracking, ETAs dinámicos, y respuesta digital a RFQs en horas — sin perder la relación humana.</w:t>
      </w:r>
    </w:p>
    <w:p>
      <w:pPr>
        <w:pStyle w:val="Normal"/>
        <w:spacing w:before="20" w:after="60"/>
        <w:rPr>
          <w:lang w:val="es-CO"/>
        </w:rPr>
      </w:pPr>
      <w:r>
        <w:rPr>
          <w:b/>
          <w:color w:val="1A1A1A"/>
          <w:sz w:val="20"/>
          <w:lang w:val="es-CO"/>
        </w:rPr>
        <w:t>2. Pasó de leal a multi-sourcing.</w:t>
      </w:r>
      <w:r>
        <w:rPr>
          <w:color w:val="1A1A1A"/>
          <w:sz w:val="20"/>
          <w:lang w:val="es-CO"/>
        </w:rPr>
        <w:t xml:space="preserve"> El mismo cliente que en 2020 tenía un solo forwarder ahora tiene 2-3 para distribuir riesgo. Esto baja el switching cost y eleva la presión sobre precio + servicio.</w:t>
      </w:r>
    </w:p>
    <w:p>
      <w:pPr>
        <w:pStyle w:val="Normal"/>
        <w:spacing w:before="20" w:after="60"/>
        <w:rPr>
          <w:lang w:val="es-CO"/>
        </w:rPr>
      </w:pPr>
      <w:r>
        <w:rPr>
          <w:b/>
          <w:color w:val="1A1A1A"/>
          <w:sz w:val="20"/>
          <w:lang w:val="es-CO"/>
        </w:rPr>
        <w:t>3. Pasó de focalizado en costo a focalizado en visibilidad y compliance.</w:t>
      </w:r>
      <w:r>
        <w:rPr>
          <w:color w:val="1A1A1A"/>
          <w:sz w:val="20"/>
          <w:lang w:val="es-CO"/>
        </w:rPr>
        <w:t xml:space="preserve"> El compliance T-MEC + Carta Porte + reforma aduanera 2026 elevó la importancia del "no cometer errores" sobre el "ahorrar 5%".</w:t>
      </w:r>
    </w:p>
    <w:p>
      <w:pPr>
        <w:pStyle w:val="Normal"/>
        <w:spacing w:before="160" w:after="40"/>
        <w:rPr>
          <w:lang w:val="es-CO"/>
        </w:rPr>
      </w:pPr>
      <w:r>
        <w:rPr>
          <w:b/>
          <w:color w:val="6B7280"/>
          <w:sz w:val="22"/>
          <w:lang w:val="es-CO"/>
        </w:rPr>
        <w:t>Qué valoran hoy que antes no valoraban</w:t>
      </w:r>
    </w:p>
    <w:p>
      <w:pPr>
        <w:pStyle w:val="ListNumber"/>
        <w:numPr>
          <w:ilvl w:val="0"/>
          <w:numId w:val="4"/>
        </w:numPr>
        <w:spacing w:before="0" w:after="40"/>
        <w:contextualSpacing/>
        <w:rPr>
          <w:lang w:val="es-CO"/>
        </w:rPr>
      </w:pPr>
      <w:r>
        <w:rPr>
          <w:b/>
          <w:color w:val="1A1A1A"/>
          <w:sz w:val="20"/>
          <w:lang w:val="es-CO"/>
        </w:rPr>
        <w:t>Tracking en tiempo real.</w:t>
      </w:r>
      <w:r>
        <w:rPr>
          <w:color w:val="1A1A1A"/>
          <w:sz w:val="20"/>
          <w:lang w:val="es-CO"/>
        </w:rPr>
        <w:t xml:space="preserve"> Era opcional en 2020; es expectativa de tabla rasa en 2026.</w:t>
      </w:r>
    </w:p>
    <w:p>
      <w:pPr>
        <w:pStyle w:val="ListNumber"/>
        <w:numPr>
          <w:ilvl w:val="0"/>
          <w:numId w:val="4"/>
        </w:numPr>
        <w:spacing w:before="0" w:after="40"/>
        <w:contextualSpacing/>
        <w:rPr>
          <w:lang w:val="es-CO"/>
        </w:rPr>
      </w:pPr>
      <w:r>
        <w:rPr>
          <w:b/>
          <w:color w:val="1A1A1A"/>
          <w:sz w:val="20"/>
          <w:lang w:val="es-CO"/>
        </w:rPr>
        <w:t>Compliance documentation automatizada.</w:t>
      </w:r>
      <w:r>
        <w:rPr>
          <w:color w:val="1A1A1A"/>
          <w:sz w:val="20"/>
          <w:lang w:val="es-CO"/>
        </w:rPr>
        <w:t xml:space="preserve"> Carta Porte 3.1 + CFDI 4.0 + reforma aduanal exige operadores que NO cometan errores costosos.</w:t>
      </w:r>
    </w:p>
    <w:p>
      <w:pPr>
        <w:pStyle w:val="ListNumber"/>
        <w:numPr>
          <w:ilvl w:val="0"/>
          <w:numId w:val="4"/>
        </w:numPr>
        <w:spacing w:before="0" w:after="40"/>
        <w:contextualSpacing/>
        <w:rPr>
          <w:lang w:val="es-CO"/>
        </w:rPr>
      </w:pPr>
      <w:r>
        <w:rPr>
          <w:b/>
          <w:color w:val="1A1A1A"/>
          <w:sz w:val="20"/>
          <w:lang w:val="es-CO"/>
        </w:rPr>
        <w:t>Transparencia en precios.</w:t>
      </w:r>
      <w:r>
        <w:rPr>
          <w:color w:val="1A1A1A"/>
          <w:sz w:val="20"/>
          <w:lang w:val="es-CO"/>
        </w:rPr>
        <w:t xml:space="preserve"> Cotizadores online o respuesta digital en horas.</w:t>
      </w:r>
    </w:p>
    <w:p>
      <w:pPr>
        <w:pStyle w:val="ListNumber"/>
        <w:numPr>
          <w:ilvl w:val="0"/>
          <w:numId w:val="4"/>
        </w:numPr>
        <w:spacing w:before="0" w:after="40"/>
        <w:contextualSpacing/>
        <w:rPr>
          <w:lang w:val="es-CO"/>
        </w:rPr>
      </w:pPr>
      <w:r>
        <w:rPr>
          <w:b/>
          <w:color w:val="1A1A1A"/>
          <w:sz w:val="20"/>
          <w:lang w:val="es-CO"/>
        </w:rPr>
        <w:t>Sostenibilidad reportable.</w:t>
      </w:r>
      <w:r>
        <w:rPr>
          <w:color w:val="1A1A1A"/>
          <w:sz w:val="20"/>
          <w:lang w:val="es-CO"/>
        </w:rPr>
        <w:t xml:space="preserve"> Reportes de emisiones por envío para clientes con compromisos ESG.</w:t>
      </w:r>
    </w:p>
    <w:p>
      <w:pPr>
        <w:pStyle w:val="Normal"/>
        <w:spacing w:before="160" w:after="40"/>
        <w:rPr>
          <w:lang w:val="es-CO"/>
        </w:rPr>
      </w:pPr>
      <w:r>
        <w:rPr>
          <w:b/>
          <w:color w:val="6B7280"/>
          <w:sz w:val="22"/>
          <w:lang w:val="es-CO"/>
        </w:rPr>
        <w:t>Segmentos de mayor crecimiento</w:t>
      </w:r>
    </w:p>
    <w:p>
      <w:pPr>
        <w:pStyle w:val="ListBullet"/>
        <w:numPr>
          <w:ilvl w:val="0"/>
          <w:numId w:val="1"/>
        </w:numPr>
        <w:spacing w:before="0" w:after="40"/>
        <w:contextualSpacing/>
        <w:rPr>
          <w:lang w:val="es-CO"/>
        </w:rPr>
      </w:pPr>
      <w:r>
        <w:rPr>
          <w:b/>
          <w:color w:val="1A1A1A"/>
          <w:sz w:val="20"/>
          <w:lang w:val="es-CO"/>
        </w:rPr>
        <w:t>E-commerce cross-border B2C</w:t>
      </w:r>
      <w:r>
        <w:rPr>
          <w:color w:val="1A1A1A"/>
          <w:sz w:val="20"/>
          <w:lang w:val="es-CO"/>
        </w:rPr>
        <w:t xml:space="preserve"> (Amazon MX, Mercado Libre, Temu, Shein): crecimiento doble dígito anual.</w:t>
      </w:r>
    </w:p>
    <w:p>
      <w:pPr>
        <w:pStyle w:val="ListBullet"/>
        <w:numPr>
          <w:ilvl w:val="0"/>
          <w:numId w:val="1"/>
        </w:numPr>
        <w:spacing w:before="0" w:after="40"/>
        <w:contextualSpacing/>
        <w:rPr>
          <w:lang w:val="es-CO"/>
        </w:rPr>
      </w:pPr>
      <w:r>
        <w:rPr>
          <w:b/>
          <w:color w:val="1A1A1A"/>
          <w:sz w:val="20"/>
          <w:lang w:val="es-CO"/>
        </w:rPr>
        <w:t>PyME importadora con flujo chino</w:t>
      </w:r>
      <w:r>
        <w:rPr>
          <w:color w:val="1A1A1A"/>
          <w:sz w:val="20"/>
          <w:lang w:val="es-CO"/>
        </w:rPr>
        <w:t xml:space="preserve"> (despite el enfriamiento 2025): sigue siendo segmento importante.</w:t>
      </w:r>
    </w:p>
    <w:p>
      <w:pPr>
        <w:pStyle w:val="ListBullet"/>
        <w:numPr>
          <w:ilvl w:val="0"/>
          <w:numId w:val="1"/>
        </w:numPr>
        <w:spacing w:before="0" w:after="40"/>
        <w:contextualSpacing/>
        <w:rPr>
          <w:lang w:val="es-CO"/>
        </w:rPr>
      </w:pPr>
      <w:r>
        <w:rPr>
          <w:b/>
          <w:color w:val="1A1A1A"/>
          <w:sz w:val="20"/>
          <w:lang w:val="es-CO"/>
        </w:rPr>
        <w:t>Mediano corporativo (USD 5-50M facturación)</w:t>
      </w:r>
      <w:r>
        <w:rPr>
          <w:color w:val="1A1A1A"/>
          <w:sz w:val="20"/>
          <w:lang w:val="es-CO"/>
        </w:rPr>
        <w:t xml:space="preserve"> buscando alternativa a Solistica/DHL pero con sofisticación digital: el target de Nuvocargo.</w:t>
      </w:r>
    </w:p>
    <w:p>
      <w:pPr>
        <w:pStyle w:val="ListBullet"/>
        <w:numPr>
          <w:ilvl w:val="0"/>
          <w:numId w:val="1"/>
        </w:numPr>
        <w:spacing w:before="0" w:after="40"/>
        <w:contextualSpacing/>
        <w:rPr>
          <w:lang w:val="es-CO"/>
        </w:rPr>
      </w:pPr>
      <w:r>
        <w:rPr>
          <w:b/>
          <w:color w:val="1A1A1A"/>
          <w:sz w:val="20"/>
          <w:lang w:val="es-CO"/>
        </w:rPr>
        <w:t>Industrial nearshoring nuevo</w:t>
      </w:r>
      <w:r>
        <w:rPr>
          <w:color w:val="1A1A1A"/>
          <w:sz w:val="20"/>
          <w:lang w:val="es-CO"/>
        </w:rPr>
        <w:t xml:space="preserve"> (las 30+ empresas que aterrizaron en Tijuana en últimos 18 meses): mercado virgen por capturar.</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6. MARCO REGULATORIO</w:t>
      </w:r>
    </w:p>
    <w:p>
      <w:pPr>
        <w:pStyle w:val="Normal"/>
        <w:spacing w:before="160" w:after="40"/>
        <w:rPr>
          <w:lang w:val="es-CO"/>
        </w:rPr>
      </w:pPr>
      <w:r>
        <w:rPr>
          <w:b/>
          <w:color w:val="6B7280"/>
          <w:sz w:val="22"/>
          <w:lang w:val="es-CO"/>
        </w:rPr>
        <w:t>Entidad reguladora principal</w:t>
      </w:r>
    </w:p>
    <w:p>
      <w:pPr>
        <w:pStyle w:val="ListBullet"/>
        <w:numPr>
          <w:ilvl w:val="0"/>
          <w:numId w:val="1"/>
        </w:numPr>
        <w:spacing w:before="0" w:after="40"/>
        <w:contextualSpacing/>
        <w:rPr>
          <w:lang w:val="es-CO"/>
        </w:rPr>
      </w:pPr>
      <w:r>
        <w:rPr>
          <w:b/>
          <w:color w:val="1A1A1A"/>
          <w:sz w:val="20"/>
          <w:lang w:val="es-CO"/>
        </w:rPr>
        <w:t>ANAM — Agencia Nacional de Aduanas de México</w:t>
      </w:r>
      <w:r>
        <w:rPr>
          <w:color w:val="1A1A1A"/>
          <w:sz w:val="20"/>
          <w:lang w:val="es-CO"/>
        </w:rPr>
        <w:t xml:space="preserve"> (sustituye a la antigua AGA del SAT). Regula despacho aduanero, vigila operación de patentes, gestiona aduanas fronterizas, marítimas, aéreas e interiores.</w:t>
      </w:r>
    </w:p>
    <w:p>
      <w:pPr>
        <w:pStyle w:val="ListBullet"/>
        <w:numPr>
          <w:ilvl w:val="0"/>
          <w:numId w:val="1"/>
        </w:numPr>
        <w:spacing w:before="0" w:after="40"/>
        <w:contextualSpacing/>
        <w:rPr>
          <w:lang w:val="es-CO"/>
        </w:rPr>
      </w:pPr>
      <w:r>
        <w:rPr>
          <w:b/>
          <w:color w:val="1A1A1A"/>
          <w:sz w:val="20"/>
          <w:lang w:val="es-CO"/>
        </w:rPr>
        <w:t>SAT — Servicio de Administración Tributaria.</w:t>
      </w:r>
      <w:r>
        <w:rPr>
          <w:color w:val="1A1A1A"/>
          <w:sz w:val="20"/>
          <w:lang w:val="es-CO"/>
        </w:rPr>
        <w:t xml:space="preserve"> CFDI 4.0, Complemento Carta Porte, RFC, padrón de importadores/exportadores.</w:t>
      </w:r>
    </w:p>
    <w:p>
      <w:pPr>
        <w:pStyle w:val="ListBullet"/>
        <w:numPr>
          <w:ilvl w:val="0"/>
          <w:numId w:val="1"/>
        </w:numPr>
        <w:spacing w:before="0" w:after="40"/>
        <w:contextualSpacing/>
        <w:rPr>
          <w:lang w:val="es-CO"/>
        </w:rPr>
      </w:pPr>
      <w:r>
        <w:rPr>
          <w:b/>
          <w:color w:val="1A1A1A"/>
          <w:sz w:val="20"/>
          <w:lang w:val="es-CO"/>
        </w:rPr>
        <w:t>SICT — Secretaría de Infraestructura, Comunicaciones y Transportes.</w:t>
      </w:r>
      <w:r>
        <w:rPr>
          <w:color w:val="1A1A1A"/>
          <w:sz w:val="20"/>
          <w:lang w:val="es-CO"/>
        </w:rPr>
        <w:t xml:space="preserve"> Permisos de autotransporte federal, licencias federales de drivers.</w:t>
      </w:r>
    </w:p>
    <w:p>
      <w:pPr>
        <w:pStyle w:val="ListBullet"/>
        <w:numPr>
          <w:ilvl w:val="0"/>
          <w:numId w:val="1"/>
        </w:numPr>
        <w:spacing w:before="0" w:after="40"/>
        <w:contextualSpacing/>
        <w:rPr>
          <w:lang w:val="es-CO"/>
        </w:rPr>
      </w:pPr>
      <w:r>
        <w:rPr>
          <w:b/>
          <w:color w:val="1A1A1A"/>
          <w:sz w:val="20"/>
          <w:lang w:val="es-CO"/>
        </w:rPr>
        <w:t>CAAAREM.</w:t>
      </w:r>
      <w:r>
        <w:rPr>
          <w:color w:val="1A1A1A"/>
          <w:sz w:val="20"/>
          <w:lang w:val="es-CO"/>
        </w:rPr>
        <w:t xml:space="preserve"> Asociación gremial reguladora de facto del comportamiento profesional de agentes aduanales (99% representatividad).</w:t>
      </w:r>
    </w:p>
    <w:p>
      <w:pPr>
        <w:pStyle w:val="ListBullet"/>
        <w:numPr>
          <w:ilvl w:val="0"/>
          <w:numId w:val="1"/>
        </w:numPr>
        <w:spacing w:before="0" w:after="40"/>
        <w:contextualSpacing/>
        <w:rPr>
          <w:lang w:val="es-CO"/>
        </w:rPr>
      </w:pPr>
      <w:r>
        <w:rPr>
          <w:b/>
          <w:color w:val="1A1A1A"/>
          <w:sz w:val="20"/>
          <w:lang w:val="es-CO"/>
        </w:rPr>
        <w:t>FMCSA — Federal Motor Carrier Safety Administration (US).</w:t>
      </w:r>
      <w:r>
        <w:rPr>
          <w:color w:val="1A1A1A"/>
          <w:sz w:val="20"/>
          <w:lang w:val="es-CO"/>
        </w:rPr>
        <w:t xml:space="preserve"> Para flota operando en EE.UU. (Trixx USDOT 2045279 está regulado aquí).</w:t>
      </w:r>
    </w:p>
    <w:p>
      <w:pPr>
        <w:pStyle w:val="Normal"/>
        <w:spacing w:before="160" w:after="40"/>
        <w:rPr>
          <w:lang w:val="es-CO"/>
        </w:rPr>
      </w:pPr>
      <w:r>
        <w:rPr>
          <w:b/>
          <w:color w:val="6B7280"/>
          <w:sz w:val="22"/>
          <w:lang w:val="es-CO"/>
        </w:rPr>
        <w:t>Normativa vigente más relevante</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Norma / Ley</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Año</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Qué regula</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Impacto en el sector</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Ley Aduanera reformada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2025 (vigor 1-ene-2026)</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Patentes, responsabilidad solidaria, Consejo Aduanero</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Alto — afecta a TODOS los agentes; obliga modernización</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CFDI 4.0 + Carta Porte 3.1</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Julio 2024 vigente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Comprobante fiscal digital con complemento de transporte</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Alto — multas + cárcel por incumplimiento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T-MEC / USMCA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2020 (review 2026)</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Reglas de origen, certificación, comercio Norteamérica</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Crítico — define qué califica para tarifa preferente</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Reglas Generales de Comercio Exterior 2025</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Anual, vigente 2025</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Procedimiento de despacho, valoración, OEA/NEEC</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Alto — guía operativa diaria del despacho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Reglas IMMEX</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Vigentes con ajustes 2025-2026</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Manufactura para exportación con tratamiento aduanal</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Alto — afecta clientes maquiladora</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Decreto IEPS / Aranceles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Volátiles 2024-2026</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Impuestos especiales + aranceles ad valorem</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Alto — cambios frecuentes complican el día a día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Regulación FMCSA US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Vigente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Safety + insurance + drug testing para drivers cross-border</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Alto — operación US side depende</w:t>
            </w:r>
          </w:p>
        </w:tc>
      </w:tr>
    </w:tbl>
    <w:p>
      <w:pPr>
        <w:pStyle w:val="Normal"/>
        <w:rPr>
          <w:lang w:val="es-CO"/>
        </w:rPr>
      </w:pPr>
      <w:r>
        <w:rPr>
          <w:lang w:val="es-CO"/>
        </w:rPr>
      </w:r>
    </w:p>
    <w:p>
      <w:pPr>
        <w:pStyle w:val="Normal"/>
        <w:spacing w:before="160" w:after="40"/>
        <w:rPr>
          <w:lang w:val="es-CO"/>
        </w:rPr>
      </w:pPr>
      <w:r>
        <w:rPr>
          <w:b/>
          <w:color w:val="6B7280"/>
          <w:sz w:val="22"/>
          <w:lang w:val="es-CO"/>
        </w:rPr>
        <w:t>Cambios regulatorios en curso o anticipados</w:t>
      </w:r>
    </w:p>
    <w:p>
      <w:pPr>
        <w:pStyle w:val="Normal"/>
        <w:spacing w:before="20" w:after="60"/>
        <w:rPr>
          <w:lang w:val="es-CO"/>
        </w:rPr>
      </w:pPr>
      <w:r>
        <w:rPr>
          <w:b/>
          <w:color w:val="1A1A1A"/>
          <w:sz w:val="20"/>
          <w:lang w:val="es-CO"/>
        </w:rPr>
        <w:t>1. USMCA Review 2026 (decisión 1-jul-2026):</w:t>
      </w:r>
      <w:r>
        <w:rPr>
          <w:color w:val="1A1A1A"/>
          <w:sz w:val="20"/>
          <w:lang w:val="es-CO"/>
        </w:rPr>
        <w:t xml:space="preserve"> continuación as-is por 16 años más, renegociación parcial, o sunset countdown.</w:t>
      </w:r>
    </w:p>
    <w:p>
      <w:pPr>
        <w:pStyle w:val="Normal"/>
        <w:spacing w:before="20" w:after="60"/>
        <w:rPr>
          <w:lang w:val="es-CO"/>
        </w:rPr>
      </w:pPr>
      <w:r>
        <w:rPr>
          <w:b/>
          <w:color w:val="1A1A1A"/>
          <w:sz w:val="20"/>
          <w:lang w:val="es-CO"/>
        </w:rPr>
        <w:t>2. Implementación efectiva de la Reforma Ley Aduanera (a partir 1-ene-2026):</w:t>
      </w:r>
      <w:r>
        <w:rPr>
          <w:color w:val="1A1A1A"/>
          <w:sz w:val="20"/>
          <w:lang w:val="es-CO"/>
        </w:rPr>
        <w:t xml:space="preserve"> apertura de Consejo Aduanero, primer ciclo de certificación de patentes, primer incremento de duties para importaciones no-preferenciales.</w:t>
      </w:r>
    </w:p>
    <w:p>
      <w:pPr>
        <w:pStyle w:val="Normal"/>
        <w:spacing w:before="20" w:after="60"/>
        <w:rPr>
          <w:lang w:val="es-CO"/>
        </w:rPr>
      </w:pPr>
      <w:r>
        <w:rPr>
          <w:b/>
          <w:color w:val="1A1A1A"/>
          <w:sz w:val="20"/>
          <w:lang w:val="es-CO"/>
        </w:rPr>
        <w:t>3. Posible Carta Porte 3.2 o 4.0:</w:t>
      </w:r>
      <w:r>
        <w:rPr>
          <w:color w:val="1A1A1A"/>
          <w:sz w:val="20"/>
          <w:lang w:val="es-CO"/>
        </w:rPr>
        <w:t xml:space="preserve"> la versión 3.1 está vigente pero hay rumores en CAAAREM y CANACAR de una nueva iteración para 2026-2027 con campos adicionales.</w:t>
      </w:r>
    </w:p>
    <w:p>
      <w:pPr>
        <w:pStyle w:val="Normal"/>
        <w:spacing w:before="20" w:after="60"/>
        <w:rPr>
          <w:lang w:val="es-CO"/>
        </w:rPr>
      </w:pPr>
      <w:r>
        <w:rPr>
          <w:b/>
          <w:color w:val="1A1A1A"/>
          <w:sz w:val="20"/>
          <w:lang w:val="es-CO"/>
        </w:rPr>
        <w:t>4. NEEC / OEA — Operador Económico Autorizado.</w:t>
      </w:r>
      <w:r>
        <w:rPr>
          <w:color w:val="1A1A1A"/>
          <w:sz w:val="20"/>
          <w:lang w:val="es-CO"/>
        </w:rPr>
        <w:t xml:space="preserve"> Programa SAT/ANAM equivalente a C-TPAT en US. Empresas certificadas obtienen despacho expedito. La adopción está creciendo pero requiere inversión inicial significativa.</w:t>
      </w:r>
    </w:p>
    <w:p>
      <w:pPr>
        <w:pStyle w:val="Normal"/>
        <w:spacing w:before="160" w:after="40"/>
        <w:rPr>
          <w:lang w:val="es-CO"/>
        </w:rPr>
      </w:pPr>
      <w:r>
        <w:rPr>
          <w:b/>
          <w:color w:val="6B7280"/>
          <w:sz w:val="22"/>
          <w:lang w:val="es-CO"/>
        </w:rPr>
        <w:t>Riesgos de compliance relevantes para empresas del sector</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Errores en clasificación arancelaria</w:t>
      </w:r>
      <w:r>
        <w:rPr>
          <w:color w:val="1A1A1A"/>
          <w:sz w:val="20"/>
          <w:lang w:val="es-CO"/>
        </w:rPr>
        <w:t xml:space="preserve"> → multas + retención de mercancía + bajo el nuevo régimen, responsabilidad solidaria del agente aduanal.</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Incumplimientos de Carta Porte 3.1</w:t>
      </w:r>
      <w:r>
        <w:rPr>
          <w:color w:val="1A1A1A"/>
          <w:sz w:val="20"/>
          <w:lang w:val="es-CO"/>
        </w:rPr>
        <w:t xml:space="preserve"> → multas y potencialmente contrabando presunto.</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Operadores sin licencia federal apropiada</w:t>
      </w:r>
      <w:r>
        <w:rPr>
          <w:color w:val="1A1A1A"/>
          <w:sz w:val="20"/>
          <w:lang w:val="es-CO"/>
        </w:rPr>
        <w:t xml:space="preserve"> → suspensión + multas a la empresa.</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Falla en mantenimiento de patente aduanal</w:t>
      </w:r>
      <w:r>
        <w:rPr>
          <w:color w:val="1A1A1A"/>
          <w:sz w:val="20"/>
          <w:lang w:val="es-CO"/>
        </w:rPr>
        <w:t xml:space="preserve"> → bajo nuevo régimen, no renovación si no se cumplen certificaciones periódicas.</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Failure to qualify USMCA</w:t>
      </w:r>
      <w:r>
        <w:rPr>
          <w:color w:val="1A1A1A"/>
          <w:sz w:val="20"/>
          <w:lang w:val="es-CO"/>
        </w:rPr>
        <w:t xml:space="preserve"> → arancel general en vez de preferente, daño directo al cliente.</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7. IMPACTO DE LA IA EN EL SECTOR</w:t>
      </w:r>
    </w:p>
    <w:p>
      <w:pPr>
        <w:pStyle w:val="Normal"/>
        <w:spacing w:before="160" w:after="40"/>
        <w:rPr>
          <w:lang w:val="es-CO"/>
        </w:rPr>
      </w:pPr>
      <w:r>
        <w:rPr>
          <w:b/>
          <w:color w:val="6B7280"/>
          <w:sz w:val="22"/>
          <w:lang w:val="es-CO"/>
        </w:rPr>
        <w:t>Estado actual de adopción</w:t>
      </w:r>
    </w:p>
    <w:p>
      <w:pPr>
        <w:pStyle w:val="Normal"/>
        <w:spacing w:before="20" w:after="60"/>
        <w:rPr>
          <w:lang w:val="es-CO"/>
        </w:rPr>
      </w:pPr>
      <w:r>
        <w:rPr>
          <w:b/>
          <w:color w:val="1A1A1A"/>
          <w:sz w:val="20"/>
          <w:lang w:val="es-CO"/>
        </w:rPr>
        <w:t>Adopción muy temprana</w:t>
      </w:r>
      <w:r>
        <w:rPr>
          <w:color w:val="1A1A1A"/>
          <w:sz w:val="20"/>
          <w:lang w:val="es-CO"/>
        </w:rPr>
        <w:t xml:space="preserve"> — la mayoría de empresas del sector en México están en nivel 1-2/5 de madurez digital. Existen 5-10 plataformas mexicanas de IA aduanera activamente vendiendo (AduanApp, Taxer, Moco AI, Experta, Camtom) pero su penetración real en agencias aduanales está por debajo del 10%. La ventana de </w:t>
      </w:r>
      <w:r>
        <w:rPr>
          <w:b/>
          <w:color w:val="1A1A1A"/>
          <w:sz w:val="20"/>
          <w:lang w:val="es-CO"/>
        </w:rPr>
        <w:t>early-adopter advantage</w:t>
      </w:r>
      <w:r>
        <w:rPr>
          <w:color w:val="1A1A1A"/>
          <w:sz w:val="20"/>
          <w:lang w:val="es-CO"/>
        </w:rPr>
        <w:t xml:space="preserve"> está abierta y se cerrará en 18-30 meses.</w:t>
      </w:r>
    </w:p>
    <w:p>
      <w:pPr>
        <w:pStyle w:val="Normal"/>
        <w:spacing w:before="160" w:after="40"/>
        <w:rPr>
          <w:lang w:val="es-CO"/>
        </w:rPr>
      </w:pPr>
      <w:r>
        <w:rPr>
          <w:b/>
          <w:color w:val="6B7280"/>
          <w:sz w:val="22"/>
          <w:lang w:val="es-CO"/>
        </w:rPr>
        <w:t>Casos de uso ya implementados (con nombres reales)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Caso de uso</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Herramienta / empresa</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País</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Resultado reportado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Clasificación arancelaria automatizada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AduanApp</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México</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7-13 segundos por clasificación; 95% precisión</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Reducción de tiempos de flujo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Taxer</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México</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56% reducción en tiempos de flujo de trabajo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Plataforma de visibility US-MX</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Nuvocargo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México-USA</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Reduce 30-50% inquiries de tracking; ROI no público</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Brokerage automatizado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Flexport</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Global</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Reducción 25-40% tiempos de cotización (cifra global, no MX-específica)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OCR de documentos aduanales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Moco AI / Camtom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México</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Reducción 60-80% tiempo de captura (rangos reportados por proveedores)</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Predicción de duty / valuation</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Various US TMS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USA, MX</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 xml:space="preserve">⚠️ </w:t>
            </w:r>
            <w:r>
              <w:rPr>
                <w:rFonts w:eastAsia="ＭＳ 明朝" w:cs=""/>
                <w:color w:val="1A1A1A"/>
                <w:kern w:val="0"/>
                <w:sz w:val="18"/>
                <w:szCs w:val="22"/>
                <w:lang w:val="es-CO" w:eastAsia="en-US" w:bidi="ar-SA"/>
              </w:rPr>
              <w:t>Reducción de revisiones de aduana up to 20% (Department of Commerce US studies)</w:t>
            </w:r>
          </w:p>
        </w:tc>
      </w:tr>
    </w:tbl>
    <w:p>
      <w:pPr>
        <w:pStyle w:val="Normal"/>
        <w:rPr>
          <w:lang w:val="es-CO"/>
        </w:rPr>
      </w:pPr>
      <w:r>
        <w:rPr>
          <w:lang w:val="es-CO"/>
        </w:rPr>
      </w:r>
    </w:p>
    <w:p>
      <w:pPr>
        <w:pStyle w:val="Normal"/>
        <w:spacing w:before="160" w:after="40"/>
        <w:rPr>
          <w:lang w:val="es-CO"/>
        </w:rPr>
      </w:pPr>
      <w:r>
        <w:rPr>
          <w:b/>
          <w:color w:val="6B7280"/>
          <w:sz w:val="22"/>
          <w:lang w:val="es-CO"/>
        </w:rPr>
        <w:t>Herramientas de IA dominantes en el sector</w:t>
      </w:r>
    </w:p>
    <w:p>
      <w:pPr>
        <w:pStyle w:val="ListBullet"/>
        <w:numPr>
          <w:ilvl w:val="0"/>
          <w:numId w:val="1"/>
        </w:numPr>
        <w:spacing w:before="0" w:after="40"/>
        <w:contextualSpacing/>
        <w:rPr>
          <w:lang w:val="es-CO"/>
        </w:rPr>
      </w:pPr>
      <w:r>
        <w:rPr>
          <w:b/>
          <w:color w:val="1A1A1A"/>
          <w:sz w:val="20"/>
          <w:lang w:val="es-CO"/>
        </w:rPr>
        <w:t>AduanApp</w:t>
      </w:r>
      <w:r>
        <w:rPr>
          <w:color w:val="1A1A1A"/>
          <w:sz w:val="20"/>
          <w:lang w:val="es-CO"/>
        </w:rPr>
        <w:t xml:space="preserve"> — clasificación arancelaria mexicana (#1 player local).</w:t>
      </w:r>
    </w:p>
    <w:p>
      <w:pPr>
        <w:pStyle w:val="ListBullet"/>
        <w:numPr>
          <w:ilvl w:val="0"/>
          <w:numId w:val="1"/>
        </w:numPr>
        <w:spacing w:before="0" w:after="40"/>
        <w:contextualSpacing/>
        <w:rPr>
          <w:lang w:val="es-CO"/>
        </w:rPr>
      </w:pPr>
      <w:r>
        <w:rPr>
          <w:b/>
          <w:color w:val="1A1A1A"/>
          <w:sz w:val="20"/>
          <w:lang w:val="es-CO"/>
        </w:rPr>
        <w:t>Taxer</w:t>
      </w:r>
      <w:r>
        <w:rPr>
          <w:color w:val="1A1A1A"/>
          <w:sz w:val="20"/>
          <w:lang w:val="es-CO"/>
        </w:rPr>
        <w:t xml:space="preserve"> — automatización de flujos aduaneros mexicanos.</w:t>
      </w:r>
    </w:p>
    <w:p>
      <w:pPr>
        <w:pStyle w:val="ListBullet"/>
        <w:numPr>
          <w:ilvl w:val="0"/>
          <w:numId w:val="1"/>
        </w:numPr>
        <w:spacing w:before="0" w:after="40"/>
        <w:contextualSpacing/>
        <w:rPr>
          <w:lang w:val="es-CO"/>
        </w:rPr>
      </w:pPr>
      <w:r>
        <w:rPr>
          <w:b/>
          <w:color w:val="1A1A1A"/>
          <w:sz w:val="20"/>
          <w:lang w:val="es-CO"/>
        </w:rPr>
        <w:t>Moco AI</w:t>
      </w:r>
      <w:r>
        <w:rPr>
          <w:color w:val="1A1A1A"/>
          <w:sz w:val="20"/>
          <w:lang w:val="es-CO"/>
        </w:rPr>
        <w:t xml:space="preserve"> — clasificación + asistente aduanero.</w:t>
      </w:r>
    </w:p>
    <w:p>
      <w:pPr>
        <w:pStyle w:val="ListBullet"/>
        <w:numPr>
          <w:ilvl w:val="0"/>
          <w:numId w:val="1"/>
        </w:numPr>
        <w:spacing w:before="0" w:after="40"/>
        <w:contextualSpacing/>
        <w:rPr>
          <w:lang w:val="es-CO"/>
        </w:rPr>
      </w:pPr>
      <w:r>
        <w:rPr>
          <w:b/>
          <w:color w:val="1A1A1A"/>
          <w:sz w:val="20"/>
          <w:lang w:val="es-CO"/>
        </w:rPr>
        <w:t>Camtom</w:t>
      </w:r>
      <w:r>
        <w:rPr>
          <w:color w:val="1A1A1A"/>
          <w:sz w:val="20"/>
          <w:lang w:val="es-CO"/>
        </w:rPr>
        <w:t xml:space="preserve"> — clasificación arancelaria + comercio internacional.</w:t>
      </w:r>
    </w:p>
    <w:p>
      <w:pPr>
        <w:pStyle w:val="ListBullet"/>
        <w:numPr>
          <w:ilvl w:val="0"/>
          <w:numId w:val="1"/>
        </w:numPr>
        <w:spacing w:before="0" w:after="40"/>
        <w:contextualSpacing/>
        <w:rPr>
          <w:lang w:val="es-CO"/>
        </w:rPr>
      </w:pPr>
      <w:r>
        <w:rPr>
          <w:b/>
          <w:color w:val="1A1A1A"/>
          <w:sz w:val="20"/>
          <w:lang w:val="es-CO"/>
        </w:rPr>
        <w:t>Experta</w:t>
      </w:r>
      <w:r>
        <w:rPr>
          <w:color w:val="1A1A1A"/>
          <w:sz w:val="20"/>
          <w:lang w:val="es-CO"/>
        </w:rPr>
        <w:t xml:space="preserve"> — clasificación arancelaria.</w:t>
      </w:r>
    </w:p>
    <w:p>
      <w:pPr>
        <w:pStyle w:val="ListBullet"/>
        <w:numPr>
          <w:ilvl w:val="0"/>
          <w:numId w:val="1"/>
        </w:numPr>
        <w:spacing w:before="0" w:after="40"/>
        <w:contextualSpacing/>
        <w:rPr>
          <w:lang w:val="es-CO"/>
        </w:rPr>
      </w:pPr>
      <w:r>
        <w:rPr>
          <w:b/>
          <w:color w:val="1A1A1A"/>
          <w:sz w:val="20"/>
          <w:lang w:val="es-CO"/>
        </w:rPr>
        <w:t>Nuvocargo Platform</w:t>
      </w:r>
      <w:r>
        <w:rPr>
          <w:color w:val="1A1A1A"/>
          <w:sz w:val="20"/>
          <w:lang w:val="es-CO"/>
        </w:rPr>
        <w:t xml:space="preserve"> — visibility + brokerage para US-MX cross-border.</w:t>
      </w:r>
    </w:p>
    <w:p>
      <w:pPr>
        <w:pStyle w:val="ListBullet"/>
        <w:numPr>
          <w:ilvl w:val="0"/>
          <w:numId w:val="1"/>
        </w:numPr>
        <w:spacing w:before="0" w:after="40"/>
        <w:contextualSpacing/>
        <w:rPr>
          <w:lang w:val="es-CO"/>
        </w:rPr>
      </w:pPr>
      <w:r>
        <w:rPr>
          <w:b/>
          <w:color w:val="1A1A1A"/>
          <w:sz w:val="20"/>
          <w:lang w:val="es-CO"/>
        </w:rPr>
        <w:t>Flexport Platform</w:t>
      </w:r>
      <w:r>
        <w:rPr>
          <w:color w:val="1A1A1A"/>
          <w:sz w:val="20"/>
          <w:lang w:val="es-CO"/>
        </w:rPr>
        <w:t xml:space="preserve"> — forwarding digital global.</w:t>
      </w:r>
    </w:p>
    <w:p>
      <w:pPr>
        <w:pStyle w:val="ListBullet"/>
        <w:numPr>
          <w:ilvl w:val="0"/>
          <w:numId w:val="1"/>
        </w:numPr>
        <w:spacing w:before="0" w:after="40"/>
        <w:contextualSpacing/>
        <w:rPr>
          <w:lang w:val="es-CO"/>
        </w:rPr>
      </w:pPr>
      <w:r>
        <w:rPr>
          <w:b/>
          <w:color w:val="1A1A1A"/>
          <w:sz w:val="20"/>
          <w:lang w:val="es-CO"/>
        </w:rPr>
        <w:t>Project44 / FourKites</w:t>
      </w:r>
      <w:r>
        <w:rPr>
          <w:color w:val="1A1A1A"/>
          <w:sz w:val="20"/>
          <w:lang w:val="es-CO"/>
        </w:rPr>
        <w:t xml:space="preserve"> — visibility multimodal global (penetración baja en MX).</w:t>
      </w:r>
    </w:p>
    <w:p>
      <w:pPr>
        <w:pStyle w:val="Normal"/>
        <w:spacing w:before="160" w:after="40"/>
        <w:rPr>
          <w:lang w:val="es-CO"/>
        </w:rPr>
      </w:pPr>
      <w:r>
        <w:rPr>
          <w:b/>
          <w:color w:val="6B7280"/>
          <w:sz w:val="22"/>
          <w:lang w:val="es-CO"/>
        </w:rPr>
        <w:t>Barreras de adopción en México</w:t>
      </w:r>
    </w:p>
    <w:p>
      <w:pPr>
        <w:pStyle w:val="ListNumber"/>
        <w:numPr>
          <w:ilvl w:val="0"/>
          <w:numId w:val="4"/>
        </w:numPr>
        <w:spacing w:before="0" w:after="40"/>
        <w:contextualSpacing/>
        <w:rPr>
          <w:lang w:val="es-CO"/>
        </w:rPr>
      </w:pPr>
      <w:r>
        <w:rPr>
          <w:b/>
          <w:color w:val="1A1A1A"/>
          <w:sz w:val="20"/>
          <w:lang w:val="es-CO"/>
        </w:rPr>
        <w:t>Infraestructura tecnológica histórica baja.</w:t>
      </w:r>
      <w:r>
        <w:rPr>
          <w:color w:val="1A1A1A"/>
          <w:sz w:val="20"/>
          <w:lang w:val="es-CO"/>
        </w:rPr>
        <w:t xml:space="preserve"> La mayoría de agencias aduanales operan en ERPs heredados o Excel; integración con APIs nuevas es costosa.</w:t>
      </w:r>
    </w:p>
    <w:p>
      <w:pPr>
        <w:pStyle w:val="ListNumber"/>
        <w:numPr>
          <w:ilvl w:val="0"/>
          <w:numId w:val="4"/>
        </w:numPr>
        <w:spacing w:before="0" w:after="40"/>
        <w:contextualSpacing/>
        <w:rPr>
          <w:lang w:val="es-CO"/>
        </w:rPr>
      </w:pPr>
      <w:r>
        <w:rPr>
          <w:b/>
          <w:color w:val="1A1A1A"/>
          <w:sz w:val="20"/>
          <w:lang w:val="es-CO"/>
        </w:rPr>
        <w:t>Talento técnico escaso.</w:t>
      </w:r>
      <w:r>
        <w:rPr>
          <w:color w:val="1A1A1A"/>
          <w:sz w:val="20"/>
          <w:lang w:val="es-CO"/>
        </w:rPr>
        <w:t xml:space="preserve"> Combinación de conocimiento aduanal + tech es perfil escaso. Las plataformas de IA tienden a ser usadas en interfaz sin entender lo que hay debajo.</w:t>
      </w:r>
    </w:p>
    <w:p>
      <w:pPr>
        <w:pStyle w:val="ListNumber"/>
        <w:numPr>
          <w:ilvl w:val="0"/>
          <w:numId w:val="4"/>
        </w:numPr>
        <w:spacing w:before="0" w:after="40"/>
        <w:contextualSpacing/>
        <w:rPr>
          <w:lang w:val="es-CO"/>
        </w:rPr>
      </w:pPr>
      <w:r>
        <w:rPr>
          <w:b/>
          <w:color w:val="1A1A1A"/>
          <w:sz w:val="20"/>
          <w:lang w:val="es-CO"/>
        </w:rPr>
        <w:t>Resistencia cultural.</w:t>
      </w:r>
      <w:r>
        <w:rPr>
          <w:color w:val="1A1A1A"/>
          <w:sz w:val="20"/>
          <w:lang w:val="es-CO"/>
        </w:rPr>
        <w:t xml:space="preserve"> El despacho aduanal es industria de relaciones de décadas. La cultura "yo conozco al jefe de aduana" es difícil de digitalizar.</w:t>
      </w:r>
    </w:p>
    <w:p>
      <w:pPr>
        <w:pStyle w:val="ListNumber"/>
        <w:numPr>
          <w:ilvl w:val="0"/>
          <w:numId w:val="4"/>
        </w:numPr>
        <w:spacing w:before="0" w:after="40"/>
        <w:contextualSpacing/>
        <w:rPr>
          <w:lang w:val="es-CO"/>
        </w:rPr>
      </w:pPr>
      <w:r>
        <w:rPr>
          <w:b/>
          <w:color w:val="1A1A1A"/>
          <w:sz w:val="20"/>
          <w:lang w:val="es-CO"/>
        </w:rPr>
        <w:t>Costo percibido inicial.</w:t>
      </w:r>
      <w:r>
        <w:rPr>
          <w:color w:val="1A1A1A"/>
          <w:sz w:val="20"/>
          <w:lang w:val="es-CO"/>
        </w:rPr>
        <w:t xml:space="preserve"> Aunque el TCO baja con IA, el capex inicial sigue siendo barrera para PyMEs.</w:t>
      </w:r>
    </w:p>
    <w:p>
      <w:pPr>
        <w:pStyle w:val="ListNumber"/>
        <w:numPr>
          <w:ilvl w:val="0"/>
          <w:numId w:val="4"/>
        </w:numPr>
        <w:spacing w:before="0" w:after="40"/>
        <w:contextualSpacing/>
        <w:rPr>
          <w:lang w:val="es-CO"/>
        </w:rPr>
      </w:pPr>
      <w:r>
        <w:rPr>
          <w:b/>
          <w:color w:val="1A1A1A"/>
          <w:sz w:val="20"/>
          <w:lang w:val="es-CO"/>
        </w:rPr>
        <w:t>Regulación cambiante crea incertidumbre.</w:t>
      </w:r>
      <w:r>
        <w:rPr>
          <w:color w:val="1A1A1A"/>
          <w:sz w:val="20"/>
          <w:lang w:val="es-CO"/>
        </w:rPr>
        <w:t xml:space="preserve"> ¿Vale la pena implementar IA para un proceso que va a cambiar en 2026 por la reforma? Sí — pero el argumento requiere convicción.</w:t>
      </w:r>
    </w:p>
    <w:p>
      <w:pPr>
        <w:pStyle w:val="Normal"/>
        <w:spacing w:before="20" w:after="60"/>
        <w:rPr>
          <w:lang w:val="es-CO"/>
        </w:rPr>
      </w:pPr>
      <w:r>
        <w:rPr>
          <w:color w:val="1A1A1A"/>
          <w:sz w:val="20"/>
          <w:lang w:val="es-CO"/>
        </w:rPr>
        <w:t xml:space="preserve">&gt; 🔍 </w:t>
      </w:r>
      <w:r>
        <w:rPr>
          <w:b/>
          <w:color w:val="1A1A1A"/>
          <w:sz w:val="20"/>
          <w:lang w:val="es-CO"/>
        </w:rPr>
        <w:t>Análisis para Trixx:</w:t>
      </w:r>
      <w:r>
        <w:rPr>
          <w:color w:val="1A1A1A"/>
          <w:sz w:val="20"/>
          <w:lang w:val="es-CO"/>
        </w:rPr>
        <w:t xml:space="preserve"> La barrera #3 (resistencia cultural + relaciones) es exactamente lo que va a frenar a Trixx si NO actúa. Es también lo que va a permitir que tech-enabled forwarders (Nuvocargo) tomen su lonche en 18-24 meses. </w:t>
      </w:r>
      <w:r>
        <w:rPr>
          <w:b/>
          <w:color w:val="1A1A1A"/>
          <w:sz w:val="20"/>
          <w:lang w:val="es-CO"/>
        </w:rPr>
        <w:t>La narrativa de "automatizar SIN perder el toque humano" es la única que funciona aquí</w:t>
      </w:r>
      <w:r>
        <w:rPr>
          <w:color w:val="1A1A1A"/>
          <w:sz w:val="20"/>
          <w:lang w:val="es-CO"/>
        </w:rPr>
        <w:t xml:space="preserve"> — no "reemplazar humanos por IA".</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8. OPORTUNIDADES Y AMENAZAS DEL ENTORNO (PESTEL)</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2"/>
        <w:gridCol w:w="3022"/>
        <w:gridCol w:w="3022"/>
      </w:tblGrid>
      <w:tr>
        <w:trPr/>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Factor</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Oportunidades</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Amenazas</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Político</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T-MEC review puede consolidar reglas de origen y favorecer operadores compliance-fwd</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Inestabilidad arancelaria US 2025-2026 reduce predictibilidad; tensión MX-USA en política migratoria afecta cruces</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Económico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Nearshoring + 30+ empresas nuevas en Tijuana = mercado virgen; USD 92B mercado actual creciendo a USD 141B en 2034</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PIB del sector estancado en 2025 (+0.02%); volatilidad MXN-USD complica pricing</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Social</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Escasez de drivers eleva poder negociador de operadores establecidos; cultura "hecho en Tijuana" como ventaja</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Rotación 30-40% anual en drivers genera costo operativo + reputacional; cultura familiar limita profesionalización</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Tecnológico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Early-adopter window de IA aduanal 18-30 meses abierta; LLMs commoditizados bajan costo de adopción</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Tech-enabled forwarders (Nuvocargo, Flexport) con USD 100M+ funding pueden absorber clientes mid-market</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Ecológico</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Cumplimiento ESG creciente entre clientes; oportunidad de diferenciar con métricas de emisiones por envío</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Regulación de emisiones US (CARB en California afecta drayage CA-MX) eleva costo de flota</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Legal</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Reforma Ley Aduanera 2026 favorece a quien adopte tech de compliance temprano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Responsabilidad solidaria del agente aumenta exposición legal; multas Carta Porte $850-$53,650 MXN</w:t>
            </w:r>
          </w:p>
        </w:tc>
      </w:tr>
    </w:tbl>
    <w:p>
      <w:pPr>
        <w:pStyle w:val="Normal"/>
        <w:rPr>
          <w:lang w:val="es-CO"/>
        </w:rPr>
      </w:pPr>
      <w:r>
        <w:rPr>
          <w:lang w:val="es-CO"/>
        </w:rPr>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9. MADUREZ DIGITAL DEL SECTOR</w:t>
      </w:r>
    </w:p>
    <w:p>
      <w:pPr>
        <w:pStyle w:val="Normal"/>
        <w:spacing w:before="80" w:after="40"/>
        <w:rPr>
          <w:lang w:val="es-CO"/>
        </w:rPr>
      </w:pPr>
      <w:r>
        <w:rPr>
          <w:b/>
          <w:color w:val="0C1A2E"/>
          <w:sz w:val="20"/>
          <w:lang w:val="es-CO"/>
        </w:rPr>
        <w:t>Calificación general del sector: 2 / 5</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2"/>
        <w:gridCol w:w="3022"/>
        <w:gridCol w:w="3022"/>
      </w:tblGrid>
      <w:tr>
        <w:trPr/>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Nivel</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Descripción</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Posición típica del sector</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1</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Operaciones manuales, sin sistemas integrados</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~15% de agencias / forwarders MX (micro PyMEs)</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Sistemas básicos (ERP/CRM básico), baja digitalización</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~55% del sector — moda del cluster ⭐</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3</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Digitalización parcial, algunos procesos automatizados, datos disponibles pero no explotados</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 del sector</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4</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Alta integración de sistemas, datos centralizados, experimentación con IA</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~8% del sector (mid-corporativo + tech-enabled)</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5</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IA como core del negocio, decisiones en tiempo real</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 del sector (Nuvocargo, Flexport-MX, AduanApp como herramienta)</w:t>
            </w:r>
          </w:p>
        </w:tc>
      </w:tr>
    </w:tbl>
    <w:p>
      <w:pPr>
        <w:pStyle w:val="Normal"/>
        <w:rPr>
          <w:lang w:val="es-CO"/>
        </w:rPr>
      </w:pPr>
      <w:r>
        <w:rPr>
          <w:lang w:val="es-CO"/>
        </w:rPr>
      </w:r>
    </w:p>
    <w:p>
      <w:pPr>
        <w:pStyle w:val="Normal"/>
        <w:spacing w:before="160" w:after="40"/>
        <w:rPr>
          <w:lang w:val="es-CO"/>
        </w:rPr>
      </w:pPr>
      <w:r>
        <w:rPr>
          <w:b/>
          <w:color w:val="6B7280"/>
          <w:sz w:val="22"/>
          <w:lang w:val="es-CO"/>
        </w:rPr>
        <w:t>Justificación</w:t>
      </w:r>
    </w:p>
    <w:p>
      <w:pPr>
        <w:pStyle w:val="ListBullet"/>
        <w:numPr>
          <w:ilvl w:val="0"/>
          <w:numId w:val="1"/>
        </w:numPr>
        <w:spacing w:before="0" w:after="40"/>
        <w:contextualSpacing/>
        <w:rPr>
          <w:lang w:val="es-CO"/>
        </w:rPr>
      </w:pPr>
      <w:r>
        <w:rPr>
          <w:color w:val="1A1A1A"/>
          <w:sz w:val="20"/>
          <w:lang w:val="es-CO"/>
        </w:rPr>
        <w:t xml:space="preserve">La moda del sector es </w:t>
      </w:r>
      <w:r>
        <w:rPr>
          <w:b/>
          <w:color w:val="1A1A1A"/>
          <w:sz w:val="20"/>
          <w:lang w:val="es-CO"/>
        </w:rPr>
        <w:t>nivel 2/5</w:t>
      </w:r>
      <w:r>
        <w:rPr>
          <w:color w:val="1A1A1A"/>
          <w:sz w:val="20"/>
          <w:lang w:val="es-CO"/>
        </w:rPr>
        <w:t xml:space="preserve"> porque la mayoría de operadores tiene presencia digital básica (sitio web, ERP heredado, WhatsApp como canal) sin integración real entre sistemas.</w:t>
      </w:r>
    </w:p>
    <w:p>
      <w:pPr>
        <w:pStyle w:val="ListBullet"/>
        <w:numPr>
          <w:ilvl w:val="0"/>
          <w:numId w:val="1"/>
        </w:numPr>
        <w:spacing w:before="0" w:after="40"/>
        <w:contextualSpacing/>
        <w:rPr>
          <w:lang w:val="es-CO"/>
        </w:rPr>
      </w:pPr>
      <w:r>
        <w:rPr>
          <w:color w:val="1A1A1A"/>
          <w:sz w:val="20"/>
          <w:lang w:val="es-CO"/>
        </w:rPr>
        <w:t>Solo el tope (~10%) ha llegado a nivel 4-5; son los tech-enabled forwarders financiados con venture capital + algunas adopciones tempranas de IA en agencias específicas.</w:t>
      </w:r>
    </w:p>
    <w:p>
      <w:pPr>
        <w:pStyle w:val="ListBullet"/>
        <w:numPr>
          <w:ilvl w:val="0"/>
          <w:numId w:val="1"/>
        </w:numPr>
        <w:spacing w:before="0" w:after="40"/>
        <w:contextualSpacing/>
        <w:rPr>
          <w:lang w:val="es-CO"/>
        </w:rPr>
      </w:pPr>
      <w:r>
        <w:rPr>
          <w:color w:val="1A1A1A"/>
          <w:sz w:val="20"/>
          <w:lang w:val="es-CO"/>
        </w:rPr>
        <w:t>La distancia entre nivel 2 (la moda) y nivel 4 es donde Nexostrat puede ofrecer máximo valor con Quick Wins de IA específicos.</w:t>
      </w:r>
    </w:p>
    <w:p>
      <w:pPr>
        <w:pStyle w:val="Normal"/>
        <w:spacing w:before="160" w:after="40"/>
        <w:rPr>
          <w:lang w:val="es-CO"/>
        </w:rPr>
      </w:pPr>
      <w:r>
        <w:rPr>
          <w:b/>
          <w:color w:val="6B7280"/>
          <w:sz w:val="22"/>
          <w:lang w:val="es-CO"/>
        </w:rPr>
        <w:t>Qué hace que avance o retroceda</w:t>
      </w:r>
    </w:p>
    <w:p>
      <w:pPr>
        <w:pStyle w:val="Normal"/>
        <w:spacing w:before="80" w:after="40"/>
        <w:rPr>
          <w:lang w:val="es-CO"/>
        </w:rPr>
      </w:pPr>
      <w:r>
        <w:rPr>
          <w:b/>
          <w:color w:val="0C1A2E"/>
          <w:sz w:val="20"/>
          <w:lang w:val="es-CO"/>
        </w:rPr>
        <w:t>Acelera:</w:t>
      </w:r>
    </w:p>
    <w:p>
      <w:pPr>
        <w:pStyle w:val="ListBullet"/>
        <w:numPr>
          <w:ilvl w:val="0"/>
          <w:numId w:val="1"/>
        </w:numPr>
        <w:spacing w:before="0" w:after="40"/>
        <w:contextualSpacing/>
        <w:rPr>
          <w:lang w:val="es-CO"/>
        </w:rPr>
      </w:pPr>
      <w:r>
        <w:rPr>
          <w:color w:val="1A1A1A"/>
          <w:sz w:val="20"/>
          <w:lang w:val="es-CO"/>
        </w:rPr>
        <w:t>Adopción cliente final de visibility (push de retail → llega al B2B).</w:t>
      </w:r>
    </w:p>
    <w:p>
      <w:pPr>
        <w:pStyle w:val="ListBullet"/>
        <w:numPr>
          <w:ilvl w:val="0"/>
          <w:numId w:val="1"/>
        </w:numPr>
        <w:spacing w:before="0" w:after="40"/>
        <w:contextualSpacing/>
        <w:rPr>
          <w:lang w:val="es-CO"/>
        </w:rPr>
      </w:pPr>
      <w:r>
        <w:rPr>
          <w:color w:val="1A1A1A"/>
          <w:sz w:val="20"/>
          <w:lang w:val="es-CO"/>
        </w:rPr>
        <w:t>Commoditización de LLMs (bajó costo de implementación 5-10x en últimos 2 años).</w:t>
      </w:r>
    </w:p>
    <w:p>
      <w:pPr>
        <w:pStyle w:val="ListBullet"/>
        <w:numPr>
          <w:ilvl w:val="0"/>
          <w:numId w:val="1"/>
        </w:numPr>
        <w:spacing w:before="0" w:after="40"/>
        <w:contextualSpacing/>
        <w:rPr>
          <w:lang w:val="es-CO"/>
        </w:rPr>
      </w:pPr>
      <w:r>
        <w:rPr>
          <w:color w:val="1A1A1A"/>
          <w:sz w:val="20"/>
          <w:lang w:val="es-CO"/>
        </w:rPr>
        <w:t>Reforma Ley Aduanera fuerza modernización del compliance.</w:t>
      </w:r>
    </w:p>
    <w:p>
      <w:pPr>
        <w:pStyle w:val="ListBullet"/>
        <w:numPr>
          <w:ilvl w:val="0"/>
          <w:numId w:val="1"/>
        </w:numPr>
        <w:spacing w:before="0" w:after="40"/>
        <w:contextualSpacing/>
        <w:rPr>
          <w:lang w:val="es-CO"/>
        </w:rPr>
      </w:pPr>
      <w:r>
        <w:rPr>
          <w:color w:val="1A1A1A"/>
          <w:sz w:val="20"/>
          <w:lang w:val="es-CO"/>
        </w:rPr>
        <w:t>Disponibilidad de IA mexicana (AduanApp, Taxer, Moco) baja barrera de "tener que importar tech".</w:t>
      </w:r>
    </w:p>
    <w:p>
      <w:pPr>
        <w:pStyle w:val="Normal"/>
        <w:spacing w:before="80" w:after="40"/>
        <w:rPr>
          <w:lang w:val="es-CO"/>
        </w:rPr>
      </w:pPr>
      <w:r>
        <w:rPr>
          <w:b/>
          <w:color w:val="0C1A2E"/>
          <w:sz w:val="20"/>
          <w:lang w:val="es-CO"/>
        </w:rPr>
        <w:t>Retrasa:</w:t>
      </w:r>
    </w:p>
    <w:p>
      <w:pPr>
        <w:pStyle w:val="ListBullet"/>
        <w:numPr>
          <w:ilvl w:val="0"/>
          <w:numId w:val="1"/>
        </w:numPr>
        <w:spacing w:before="0" w:after="40"/>
        <w:contextualSpacing/>
        <w:rPr>
          <w:lang w:val="es-CO"/>
        </w:rPr>
      </w:pPr>
      <w:r>
        <w:rPr>
          <w:color w:val="1A1A1A"/>
          <w:sz w:val="20"/>
          <w:lang w:val="es-CO"/>
        </w:rPr>
        <w:t>Cultura relacional + familiar del sector logístico mexicano.</w:t>
      </w:r>
    </w:p>
    <w:p>
      <w:pPr>
        <w:pStyle w:val="ListBullet"/>
        <w:numPr>
          <w:ilvl w:val="0"/>
          <w:numId w:val="1"/>
        </w:numPr>
        <w:spacing w:before="0" w:after="40"/>
        <w:contextualSpacing/>
        <w:rPr>
          <w:lang w:val="es-CO"/>
        </w:rPr>
      </w:pPr>
      <w:r>
        <w:rPr>
          <w:color w:val="1A1A1A"/>
          <w:sz w:val="20"/>
          <w:lang w:val="es-CO"/>
        </w:rPr>
        <w:t>Talento técnico escaso (driver de adopción más limitante que el dinero).</w:t>
      </w:r>
    </w:p>
    <w:p>
      <w:pPr>
        <w:pStyle w:val="ListBullet"/>
        <w:numPr>
          <w:ilvl w:val="0"/>
          <w:numId w:val="1"/>
        </w:numPr>
        <w:spacing w:before="0" w:after="40"/>
        <w:contextualSpacing/>
        <w:rPr>
          <w:lang w:val="es-CO"/>
        </w:rPr>
      </w:pPr>
      <w:r>
        <w:rPr>
          <w:color w:val="1A1A1A"/>
          <w:sz w:val="20"/>
          <w:lang w:val="es-CO"/>
        </w:rPr>
        <w:t>ROI percibido como "futuro" más que "presente".</w:t>
      </w:r>
    </w:p>
    <w:p>
      <w:pPr>
        <w:pStyle w:val="ListBullet"/>
        <w:numPr>
          <w:ilvl w:val="0"/>
          <w:numId w:val="1"/>
        </w:numPr>
        <w:spacing w:before="0" w:after="40"/>
        <w:contextualSpacing/>
        <w:rPr>
          <w:lang w:val="es-CO"/>
        </w:rPr>
      </w:pPr>
      <w:r>
        <w:rPr>
          <w:color w:val="1A1A1A"/>
          <w:sz w:val="20"/>
          <w:lang w:val="es-CO"/>
        </w:rPr>
        <w:t>Inestabilidad regulatoria post-2025 que hace que dueños posterguen inversión.</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10. SEÑALES DE OPORTUNIDAD PARA CONSULTORÍA DE IA</w:t>
      </w:r>
    </w:p>
    <w:p>
      <w:pPr>
        <w:pStyle w:val="Normal"/>
        <w:spacing w:before="160" w:after="40"/>
        <w:rPr>
          <w:lang w:val="es-CO"/>
        </w:rPr>
      </w:pPr>
      <w:r>
        <w:rPr>
          <w:b/>
          <w:color w:val="6B7280"/>
          <w:sz w:val="22"/>
          <w:lang w:val="es-CO"/>
        </w:rPr>
        <w:t>Procesos repetitivos y costosos típicos del sector</w:t>
      </w:r>
    </w:p>
    <w:p>
      <w:pPr>
        <w:pStyle w:val="ListNumber"/>
        <w:numPr>
          <w:ilvl w:val="0"/>
          <w:numId w:val="4"/>
        </w:numPr>
        <w:spacing w:before="0" w:after="40"/>
        <w:contextualSpacing/>
        <w:rPr>
          <w:lang w:val="es-CO"/>
        </w:rPr>
      </w:pPr>
      <w:r>
        <w:rPr>
          <w:b/>
          <w:color w:val="1A1A1A"/>
          <w:sz w:val="20"/>
          <w:lang w:val="es-CO"/>
        </w:rPr>
        <w:t>Clasificación arancelaria de fracciones TIGIE/HS</w:t>
      </w:r>
      <w:r>
        <w:rPr>
          <w:color w:val="1A1A1A"/>
          <w:sz w:val="20"/>
          <w:lang w:val="es-CO"/>
        </w:rPr>
        <w:t xml:space="preserve"> — el cuello de botella histórico. Cada operación consume 15-90 minutos de un clasificador experto. IA lo lleva a 7-13 segundos.</w:t>
      </w:r>
    </w:p>
    <w:p>
      <w:pPr>
        <w:pStyle w:val="ListNumber"/>
        <w:numPr>
          <w:ilvl w:val="0"/>
          <w:numId w:val="4"/>
        </w:numPr>
        <w:spacing w:before="0" w:after="40"/>
        <w:contextualSpacing/>
        <w:rPr>
          <w:lang w:val="es-CO"/>
        </w:rPr>
      </w:pPr>
      <w:r>
        <w:rPr>
          <w:b/>
          <w:color w:val="1A1A1A"/>
          <w:sz w:val="20"/>
          <w:lang w:val="es-CO"/>
        </w:rPr>
        <w:t>Captura manual de pedimentos, BOLs, packing lists, cartas porte</w:t>
      </w:r>
      <w:r>
        <w:rPr>
          <w:color w:val="1A1A1A"/>
          <w:sz w:val="20"/>
          <w:lang w:val="es-CO"/>
        </w:rPr>
        <w:t xml:space="preserve"> — OCR + NER reduce 60-80% del tiempo. Beneficio adicional: detección de inconsistencias antes de enviar a aduanas.</w:t>
      </w:r>
    </w:p>
    <w:p>
      <w:pPr>
        <w:pStyle w:val="ListNumber"/>
        <w:numPr>
          <w:ilvl w:val="0"/>
          <w:numId w:val="4"/>
        </w:numPr>
        <w:spacing w:before="0" w:after="40"/>
        <w:contextualSpacing/>
        <w:rPr>
          <w:lang w:val="es-CO"/>
        </w:rPr>
      </w:pPr>
      <w:r>
        <w:rPr>
          <w:b/>
          <w:color w:val="1A1A1A"/>
          <w:sz w:val="20"/>
          <w:lang w:val="es-CO"/>
        </w:rPr>
        <w:t>Atención a inquiries de tracking ("¿dónde está mi envío?")</w:t>
      </w:r>
      <w:r>
        <w:rPr>
          <w:color w:val="1A1A1A"/>
          <w:sz w:val="20"/>
          <w:lang w:val="es-CO"/>
        </w:rPr>
        <w:t xml:space="preserve"> — entre 20-40% del tiempo de operaciones. Portales de tracking + alertas push lo reducen a 5-15%.</w:t>
      </w:r>
    </w:p>
    <w:p>
      <w:pPr>
        <w:pStyle w:val="ListNumber"/>
        <w:numPr>
          <w:ilvl w:val="0"/>
          <w:numId w:val="4"/>
        </w:numPr>
        <w:spacing w:before="0" w:after="40"/>
        <w:contextualSpacing/>
        <w:rPr>
          <w:lang w:val="es-CO"/>
        </w:rPr>
      </w:pPr>
      <w:r>
        <w:rPr>
          <w:b/>
          <w:color w:val="1A1A1A"/>
          <w:sz w:val="20"/>
          <w:lang w:val="es-CO"/>
        </w:rPr>
        <w:t>Cotización manual de RFQs recurrentes</w:t>
      </w:r>
      <w:r>
        <w:rPr>
          <w:color w:val="1A1A1A"/>
          <w:sz w:val="20"/>
          <w:lang w:val="es-CO"/>
        </w:rPr>
        <w:t xml:space="preserve"> — un operador puede tardar 30 min a 2 horas por cotización. Rate engines + APIs reducen a minutos.</w:t>
      </w:r>
    </w:p>
    <w:p>
      <w:pPr>
        <w:pStyle w:val="ListNumber"/>
        <w:numPr>
          <w:ilvl w:val="0"/>
          <w:numId w:val="4"/>
        </w:numPr>
        <w:spacing w:before="0" w:after="40"/>
        <w:contextualSpacing/>
        <w:rPr>
          <w:lang w:val="es-CO"/>
        </w:rPr>
      </w:pPr>
      <w:r>
        <w:rPr>
          <w:b/>
          <w:color w:val="1A1A1A"/>
          <w:sz w:val="20"/>
          <w:lang w:val="es-CO"/>
        </w:rPr>
        <w:t>Onboarding de nuevos clientes y captura de datos</w:t>
      </w:r>
      <w:r>
        <w:rPr>
          <w:color w:val="1A1A1A"/>
          <w:sz w:val="20"/>
          <w:lang w:val="es-CO"/>
        </w:rPr>
        <w:t xml:space="preserve"> — formularios manuales + verificación de RFC + creación en sistema. Automatizable con IA + OCR + validación SAT API.</w:t>
      </w:r>
    </w:p>
    <w:p>
      <w:pPr>
        <w:pStyle w:val="ListNumber"/>
        <w:numPr>
          <w:ilvl w:val="0"/>
          <w:numId w:val="4"/>
        </w:numPr>
        <w:spacing w:before="0" w:after="40"/>
        <w:contextualSpacing/>
        <w:rPr>
          <w:lang w:val="es-CO"/>
        </w:rPr>
      </w:pPr>
      <w:r>
        <w:rPr>
          <w:b/>
          <w:color w:val="1A1A1A"/>
          <w:sz w:val="20"/>
          <w:lang w:val="es-CO"/>
        </w:rPr>
        <w:t>Compliance check de Carta Porte / CFDI antes de timbrar</w:t>
      </w:r>
      <w:r>
        <w:rPr>
          <w:color w:val="1A1A1A"/>
          <w:sz w:val="20"/>
          <w:lang w:val="es-CO"/>
        </w:rPr>
        <w:t xml:space="preserve"> — verificación visual de campos críticos. IA puede detectar errores con 99%+ precisión.</w:t>
      </w:r>
    </w:p>
    <w:p>
      <w:pPr>
        <w:pStyle w:val="Normal"/>
        <w:spacing w:before="160" w:after="40"/>
        <w:rPr>
          <w:lang w:val="es-CO"/>
        </w:rPr>
      </w:pPr>
      <w:r>
        <w:rPr>
          <w:b/>
          <w:color w:val="6B7280"/>
          <w:sz w:val="22"/>
          <w:lang w:val="es-CO"/>
        </w:rPr>
        <w:t>Quick Wins más replicables (válidos para cualquier prospecto del sector)</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Quick Win</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Proceso que reemplaza</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Herramienta sugerida</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Impacto esperado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QW-Sector 1: Clasificación arancelaria asistida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Operador manual clasificando 15-90 min por op</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AduanApp / Camtom / Moco AI o LLM custom sobre TIGIE</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80-95% reducción de tiempo; 30-50% reducción de errores</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QW-Sector 2: WhatsApp Business + bot inteligente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Atención humana 24/7 sin estructura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WhatsApp Business API + LLM con RAG sobre FAQ + derivación humana</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Captura 24/7; 40-60% reducción de carga del equipo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QW-Sector 3: OCR documental aduanal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Captura manual de pedimentos/BOLs/cartas porte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OCR + NER + reglas SAT (custom o vía proveedor especializado)</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60-80% reducción de tiempo + prevención de multas</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QW-Sector 4: Portal cliente con tracking + ETA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Llamadas/WhatsApps "¿dónde está mi envío?"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White-label tracking SaaS o custom + integración GPS/APIs navieras</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30-50% reducción de inquiries; mejora retention</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QW-Sector 5: Compliance pre-check Carta Porte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Verificación humana antes de timbrar CFDI</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Reglas de validación + LLM revisor + alertas</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Prevención de 90%+ de multas por error formal</w:t>
            </w:r>
          </w:p>
        </w:tc>
      </w:tr>
    </w:tbl>
    <w:p>
      <w:pPr>
        <w:pStyle w:val="Normal"/>
        <w:rPr>
          <w:lang w:val="es-CO"/>
        </w:rPr>
      </w:pPr>
      <w:r>
        <w:rPr>
          <w:lang w:val="es-CO"/>
        </w:rPr>
      </w:r>
    </w:p>
    <w:p>
      <w:pPr>
        <w:pStyle w:val="Normal"/>
        <w:spacing w:before="160" w:after="40"/>
        <w:rPr>
          <w:lang w:val="es-CO"/>
        </w:rPr>
      </w:pPr>
      <w:r>
        <w:rPr>
          <w:b/>
          <w:color w:val="6B7280"/>
          <w:sz w:val="22"/>
          <w:lang w:val="es-CO"/>
        </w:rPr>
        <w:t>Casos de éxito de IA en el sector referenciables</w:t>
      </w:r>
    </w:p>
    <w:p>
      <w:pPr>
        <w:pStyle w:val="ListBullet"/>
        <w:numPr>
          <w:ilvl w:val="0"/>
          <w:numId w:val="1"/>
        </w:numPr>
        <w:spacing w:before="0" w:after="40"/>
        <w:contextualSpacing/>
        <w:rPr>
          <w:lang w:val="es-CO"/>
        </w:rPr>
      </w:pPr>
      <w:r>
        <w:rPr>
          <w:b/>
          <w:color w:val="1A1A1A"/>
          <w:sz w:val="20"/>
          <w:lang w:val="es-CO"/>
        </w:rPr>
        <w:t>AduanApp en clientes anónimos:</w:t>
      </w:r>
      <w:r>
        <w:rPr>
          <w:color w:val="1A1A1A"/>
          <w:sz w:val="20"/>
          <w:lang w:val="es-CO"/>
        </w:rPr>
        <w:t xml:space="preserve"> </w:t>
      </w:r>
      <w:r>
        <w:rPr>
          <w:b/>
          <w:color w:val="1A1A1A"/>
          <w:sz w:val="20"/>
          <w:lang w:val="es-CO"/>
        </w:rPr>
        <w:t>95% precisión en clasificación arancelaria</w:t>
      </w:r>
      <w:r>
        <w:rPr>
          <w:color w:val="1A1A1A"/>
          <w:sz w:val="20"/>
          <w:lang w:val="es-CO"/>
        </w:rPr>
        <w:t xml:space="preserve"> con tiempos de 7-13 segundos por operación (fuente: aduaeasy.com, neuronbusinessmedia.mx).</w:t>
      </w:r>
    </w:p>
    <w:p>
      <w:pPr>
        <w:pStyle w:val="ListBullet"/>
        <w:numPr>
          <w:ilvl w:val="0"/>
          <w:numId w:val="1"/>
        </w:numPr>
        <w:spacing w:before="0" w:after="40"/>
        <w:contextualSpacing/>
        <w:rPr>
          <w:lang w:val="es-CO"/>
        </w:rPr>
      </w:pPr>
      <w:r>
        <w:rPr>
          <w:b/>
          <w:color w:val="1A1A1A"/>
          <w:sz w:val="20"/>
          <w:lang w:val="es-CO"/>
        </w:rPr>
        <w:t>Taxer:</w:t>
      </w:r>
      <w:r>
        <w:rPr>
          <w:color w:val="1A1A1A"/>
          <w:sz w:val="20"/>
          <w:lang w:val="es-CO"/>
        </w:rPr>
        <w:t xml:space="preserve"> </w:t>
      </w:r>
      <w:r>
        <w:rPr>
          <w:b/>
          <w:color w:val="1A1A1A"/>
          <w:sz w:val="20"/>
          <w:lang w:val="es-CO"/>
        </w:rPr>
        <w:t>56% reducción en tiempos de flujo</w:t>
      </w:r>
      <w:r>
        <w:rPr>
          <w:color w:val="1A1A1A"/>
          <w:sz w:val="20"/>
          <w:lang w:val="es-CO"/>
        </w:rPr>
        <w:t xml:space="preserve"> (fuente: caso público compartido por la propia plataforma).</w:t>
      </w:r>
    </w:p>
    <w:p>
      <w:pPr>
        <w:pStyle w:val="ListBullet"/>
        <w:numPr>
          <w:ilvl w:val="0"/>
          <w:numId w:val="1"/>
        </w:numPr>
        <w:spacing w:before="0" w:after="40"/>
        <w:contextualSpacing/>
        <w:rPr>
          <w:lang w:val="es-CO"/>
        </w:rPr>
      </w:pPr>
      <w:r>
        <w:rPr>
          <w:b/>
          <w:color w:val="1A1A1A"/>
          <w:sz w:val="20"/>
          <w:lang w:val="es-CO"/>
        </w:rPr>
        <w:t>AAADAM (Asociación de Agentes Aduanales de Aduanas Metropolitanas)</w:t>
      </w:r>
      <w:r>
        <w:rPr>
          <w:color w:val="1A1A1A"/>
          <w:sz w:val="20"/>
          <w:lang w:val="es-CO"/>
        </w:rPr>
        <w:t xml:space="preserve"> — primer concurso de proveedores de clasificación arancelaria NO HUMANA, noviembre 2024. Señal de que la industria reconoce el cambio.</w:t>
      </w:r>
    </w:p>
    <w:p>
      <w:pPr>
        <w:pStyle w:val="ListBullet"/>
        <w:numPr>
          <w:ilvl w:val="0"/>
          <w:numId w:val="1"/>
        </w:numPr>
        <w:spacing w:before="0" w:after="40"/>
        <w:contextualSpacing/>
        <w:rPr>
          <w:lang w:val="es-CO"/>
        </w:rPr>
      </w:pPr>
      <w:r>
        <w:rPr>
          <w:b/>
          <w:color w:val="1A1A1A"/>
          <w:sz w:val="20"/>
          <w:lang w:val="es-CO"/>
        </w:rPr>
        <w:t>Nuvocargo expansion 2024:</w:t>
      </w:r>
      <w:r>
        <w:rPr>
          <w:color w:val="1A1A1A"/>
          <w:sz w:val="20"/>
          <w:lang w:val="es-CO"/>
        </w:rPr>
        <w:t xml:space="preserve"> después de Series B de USD 36.5M, expandió de 1 cruce principal a TODOS los cruces principales US-MX en menos de un año. Indica que la tracción del modelo tech-enabled en el corredor es real y escalable.</w:t>
      </w:r>
    </w:p>
    <w:p>
      <w:pPr>
        <w:pStyle w:val="Normal"/>
        <w:spacing w:before="160" w:after="40"/>
        <w:rPr>
          <w:lang w:val="es-CO"/>
        </w:rPr>
      </w:pPr>
      <w:r>
        <w:rPr>
          <w:b/>
          <w:color w:val="6B7280"/>
          <w:sz w:val="22"/>
          <w:lang w:val="es-CO"/>
        </w:rPr>
        <w:t>Perfil del decisor típico en este sector</w:t>
      </w:r>
    </w:p>
    <w:p>
      <w:pPr>
        <w:pStyle w:val="Normal"/>
        <w:spacing w:before="80" w:after="40"/>
        <w:rPr>
          <w:lang w:val="es-CO"/>
        </w:rPr>
      </w:pPr>
      <w:r>
        <w:rPr>
          <w:b/>
          <w:color w:val="0C1A2E"/>
          <w:sz w:val="20"/>
          <w:lang w:val="es-CO"/>
        </w:rPr>
        <w:t>Hay dos arquetipos principales:</w:t>
      </w:r>
    </w:p>
    <w:p>
      <w:pPr>
        <w:pStyle w:val="Normal"/>
        <w:spacing w:before="80" w:after="40"/>
        <w:rPr>
          <w:lang w:val="es-CO"/>
        </w:rPr>
      </w:pPr>
      <w:r>
        <w:rPr>
          <w:b/>
          <w:color w:val="0C1A2E"/>
          <w:sz w:val="20"/>
          <w:lang w:val="es-CO"/>
        </w:rPr>
        <w:t>Arquetipo A: Dueño-operador de PyME logística (40-60 años, perfil más común en Tijuana).</w:t>
      </w:r>
    </w:p>
    <w:p>
      <w:pPr>
        <w:pStyle w:val="ListBullet"/>
        <w:numPr>
          <w:ilvl w:val="0"/>
          <w:numId w:val="1"/>
        </w:numPr>
        <w:spacing w:before="0" w:after="40"/>
        <w:contextualSpacing/>
        <w:rPr>
          <w:lang w:val="es-CO"/>
        </w:rPr>
      </w:pPr>
      <w:r>
        <w:rPr>
          <w:color w:val="1A1A1A"/>
          <w:sz w:val="20"/>
          <w:lang w:val="es-CO"/>
        </w:rPr>
        <w:t>Cargo: Director General / Owner.</w:t>
      </w:r>
    </w:p>
    <w:p>
      <w:pPr>
        <w:pStyle w:val="ListBullet"/>
        <w:numPr>
          <w:ilvl w:val="0"/>
          <w:numId w:val="1"/>
        </w:numPr>
        <w:spacing w:before="0" w:after="40"/>
        <w:contextualSpacing/>
        <w:rPr>
          <w:lang w:val="es-CO"/>
        </w:rPr>
      </w:pPr>
      <w:r>
        <w:rPr>
          <w:color w:val="1A1A1A"/>
          <w:sz w:val="20"/>
          <w:lang w:val="es-CO"/>
        </w:rPr>
        <w:t xml:space="preserve">Conocimiento técnico: </w:t>
      </w:r>
      <w:r>
        <w:rPr>
          <w:b/>
          <w:color w:val="1A1A1A"/>
          <w:sz w:val="20"/>
          <w:lang w:val="es-CO"/>
        </w:rPr>
        <w:t>bajo a medio</w:t>
      </w:r>
      <w:r>
        <w:rPr>
          <w:color w:val="1A1A1A"/>
          <w:sz w:val="20"/>
          <w:lang w:val="es-CO"/>
        </w:rPr>
        <w:t xml:space="preserve"> en IA; alto en aduanal/operativo.</w:t>
      </w:r>
    </w:p>
    <w:p>
      <w:pPr>
        <w:pStyle w:val="ListBullet"/>
        <w:numPr>
          <w:ilvl w:val="0"/>
          <w:numId w:val="1"/>
        </w:numPr>
        <w:spacing w:before="0" w:after="40"/>
        <w:contextualSpacing/>
        <w:rPr>
          <w:lang w:val="es-CO"/>
        </w:rPr>
      </w:pPr>
      <w:r>
        <w:rPr>
          <w:color w:val="1A1A1A"/>
          <w:sz w:val="20"/>
          <w:lang w:val="es-CO"/>
        </w:rPr>
        <w:t>Principales preocupaciones: continuidad operativa, cash flow, no perder clientes a competidores.</w:t>
      </w:r>
    </w:p>
    <w:p>
      <w:pPr>
        <w:pStyle w:val="ListBullet"/>
        <w:numPr>
          <w:ilvl w:val="0"/>
          <w:numId w:val="1"/>
        </w:numPr>
        <w:spacing w:before="0" w:after="40"/>
        <w:contextualSpacing/>
        <w:rPr>
          <w:lang w:val="es-CO"/>
        </w:rPr>
      </w:pPr>
      <w:r>
        <w:rPr>
          <w:color w:val="1A1A1A"/>
          <w:sz w:val="20"/>
          <w:lang w:val="es-CO"/>
        </w:rPr>
        <w:t xml:space="preserve">Cómo compra consultoría: </w:t>
      </w:r>
      <w:r>
        <w:rPr>
          <w:b/>
          <w:color w:val="1A1A1A"/>
          <w:sz w:val="20"/>
          <w:lang w:val="es-CO"/>
        </w:rPr>
        <w:t>referencia personal &gt; frialdad outbound</w:t>
      </w:r>
      <w:r>
        <w:rPr>
          <w:color w:val="1A1A1A"/>
          <w:sz w:val="20"/>
          <w:lang w:val="es-CO"/>
        </w:rPr>
        <w:t>. Confía en quien le habla en su idioma operativo, no en jerga tech.</w:t>
      </w:r>
    </w:p>
    <w:p>
      <w:pPr>
        <w:pStyle w:val="ListBullet"/>
        <w:numPr>
          <w:ilvl w:val="0"/>
          <w:numId w:val="1"/>
        </w:numPr>
        <w:spacing w:before="0" w:after="40"/>
        <w:contextualSpacing/>
        <w:rPr>
          <w:lang w:val="es-CO"/>
        </w:rPr>
      </w:pPr>
      <w:r>
        <w:rPr>
          <w:color w:val="1A1A1A"/>
          <w:sz w:val="20"/>
          <w:lang w:val="es-CO"/>
        </w:rPr>
        <w:t>Tiempo de ciclo de compra: 4-12 semanas.</w:t>
      </w:r>
    </w:p>
    <w:p>
      <w:pPr>
        <w:pStyle w:val="ListBullet"/>
        <w:numPr>
          <w:ilvl w:val="0"/>
          <w:numId w:val="1"/>
        </w:numPr>
        <w:spacing w:before="0" w:after="40"/>
        <w:contextualSpacing/>
        <w:rPr>
          <w:lang w:val="es-CO"/>
        </w:rPr>
      </w:pPr>
      <w:r>
        <w:rPr>
          <w:color w:val="1A1A1A"/>
          <w:sz w:val="20"/>
          <w:lang w:val="es-CO"/>
        </w:rPr>
        <w:t>Presupuesto disponible: USD 5K-50K por proyecto inicial; retainer USD 2-8K/mes si demuestra valor.</w:t>
      </w:r>
    </w:p>
    <w:p>
      <w:pPr>
        <w:pStyle w:val="Normal"/>
        <w:spacing w:before="80" w:after="40"/>
        <w:rPr>
          <w:lang w:val="es-CO"/>
        </w:rPr>
      </w:pPr>
      <w:r>
        <w:rPr>
          <w:b/>
          <w:color w:val="0C1A2E"/>
          <w:sz w:val="20"/>
          <w:lang w:val="es-CO"/>
        </w:rPr>
        <w:t>Arquetipo B: VP/Director de Operaciones de mid-corporativo (35-50 años).</w:t>
      </w:r>
    </w:p>
    <w:p>
      <w:pPr>
        <w:pStyle w:val="ListBullet"/>
        <w:numPr>
          <w:ilvl w:val="0"/>
          <w:numId w:val="1"/>
        </w:numPr>
        <w:spacing w:before="0" w:after="40"/>
        <w:contextualSpacing/>
        <w:rPr>
          <w:lang w:val="es-CO"/>
        </w:rPr>
      </w:pPr>
      <w:r>
        <w:rPr>
          <w:color w:val="1A1A1A"/>
          <w:sz w:val="20"/>
          <w:lang w:val="es-CO"/>
        </w:rPr>
        <w:t>Cargo: VP Operations / Director de Logística / Director de Comercio Exterior.</w:t>
      </w:r>
    </w:p>
    <w:p>
      <w:pPr>
        <w:pStyle w:val="ListBullet"/>
        <w:numPr>
          <w:ilvl w:val="0"/>
          <w:numId w:val="1"/>
        </w:numPr>
        <w:spacing w:before="0" w:after="40"/>
        <w:contextualSpacing/>
        <w:rPr>
          <w:lang w:val="es-CO"/>
        </w:rPr>
      </w:pPr>
      <w:r>
        <w:rPr>
          <w:color w:val="1A1A1A"/>
          <w:sz w:val="20"/>
          <w:lang w:val="es-CO"/>
        </w:rPr>
        <w:t xml:space="preserve">Conocimiento técnico: </w:t>
      </w:r>
      <w:r>
        <w:rPr>
          <w:b/>
          <w:color w:val="1A1A1A"/>
          <w:sz w:val="20"/>
          <w:lang w:val="es-CO"/>
        </w:rPr>
        <w:t>medio a alto</w:t>
      </w:r>
      <w:r>
        <w:rPr>
          <w:color w:val="1A1A1A"/>
          <w:sz w:val="20"/>
          <w:lang w:val="es-CO"/>
        </w:rPr>
        <w:t xml:space="preserve"> en IA; alto en logística.</w:t>
      </w:r>
    </w:p>
    <w:p>
      <w:pPr>
        <w:pStyle w:val="ListBullet"/>
        <w:numPr>
          <w:ilvl w:val="0"/>
          <w:numId w:val="1"/>
        </w:numPr>
        <w:spacing w:before="0" w:after="40"/>
        <w:contextualSpacing/>
        <w:rPr>
          <w:lang w:val="es-CO"/>
        </w:rPr>
      </w:pPr>
      <w:r>
        <w:rPr>
          <w:color w:val="1A1A1A"/>
          <w:sz w:val="20"/>
          <w:lang w:val="es-CO"/>
        </w:rPr>
        <w:t>Principales preocupaciones: cumplir KPIs operativos, compliance, escalabilidad.</w:t>
      </w:r>
    </w:p>
    <w:p>
      <w:pPr>
        <w:pStyle w:val="ListBullet"/>
        <w:numPr>
          <w:ilvl w:val="0"/>
          <w:numId w:val="1"/>
        </w:numPr>
        <w:spacing w:before="0" w:after="40"/>
        <w:contextualSpacing/>
        <w:rPr>
          <w:lang w:val="es-CO"/>
        </w:rPr>
      </w:pPr>
      <w:r>
        <w:rPr>
          <w:color w:val="1A1A1A"/>
          <w:sz w:val="20"/>
          <w:lang w:val="es-CO"/>
        </w:rPr>
        <w:t xml:space="preserve">Cómo compra consultoría: </w:t>
      </w:r>
      <w:r>
        <w:rPr>
          <w:b/>
          <w:color w:val="1A1A1A"/>
          <w:sz w:val="20"/>
          <w:lang w:val="es-CO"/>
        </w:rPr>
        <w:t>RFQ estructurado + referencias + PoC</w:t>
      </w:r>
      <w:r>
        <w:rPr>
          <w:color w:val="1A1A1A"/>
          <w:sz w:val="20"/>
          <w:lang w:val="es-CO"/>
        </w:rPr>
        <w:t>.</w:t>
      </w:r>
    </w:p>
    <w:p>
      <w:pPr>
        <w:pStyle w:val="ListBullet"/>
        <w:numPr>
          <w:ilvl w:val="0"/>
          <w:numId w:val="1"/>
        </w:numPr>
        <w:spacing w:before="0" w:after="40"/>
        <w:contextualSpacing/>
        <w:rPr>
          <w:lang w:val="es-CO"/>
        </w:rPr>
      </w:pPr>
      <w:r>
        <w:rPr>
          <w:color w:val="1A1A1A"/>
          <w:sz w:val="20"/>
          <w:lang w:val="es-CO"/>
        </w:rPr>
        <w:t>Tiempo de ciclo de compra: 3-9 meses.</w:t>
      </w:r>
    </w:p>
    <w:p>
      <w:pPr>
        <w:pStyle w:val="ListBullet"/>
        <w:numPr>
          <w:ilvl w:val="0"/>
          <w:numId w:val="1"/>
        </w:numPr>
        <w:spacing w:before="0" w:after="40"/>
        <w:contextualSpacing/>
        <w:rPr>
          <w:lang w:val="es-CO"/>
        </w:rPr>
      </w:pPr>
      <w:r>
        <w:rPr>
          <w:color w:val="1A1A1A"/>
          <w:sz w:val="20"/>
          <w:lang w:val="es-CO"/>
        </w:rPr>
        <w:t>Presupuesto disponible: USD 50K-300K por proyecto; retainer USD 10-30K/mes.</w:t>
      </w:r>
    </w:p>
    <w:p>
      <w:pPr>
        <w:pStyle w:val="Normal"/>
        <w:spacing w:before="20" w:after="60"/>
        <w:rPr>
          <w:lang w:val="es-CO"/>
        </w:rPr>
      </w:pPr>
      <w:r>
        <w:rPr>
          <w:color w:val="1A1A1A"/>
          <w:sz w:val="20"/>
          <w:lang w:val="es-CO"/>
        </w:rPr>
        <w:t xml:space="preserve">&gt; 🔍 </w:t>
      </w:r>
      <w:r>
        <w:rPr>
          <w:b/>
          <w:color w:val="1A1A1A"/>
          <w:sz w:val="20"/>
          <w:lang w:val="es-CO"/>
        </w:rPr>
        <w:t>Análisis:</w:t>
      </w:r>
      <w:r>
        <w:rPr>
          <w:color w:val="1A1A1A"/>
          <w:sz w:val="20"/>
          <w:lang w:val="es-CO"/>
        </w:rPr>
        <w:t xml:space="preserve"> El cliente Trixx es claramente Arquetipo A (dueño-operador en Tijuana). Nexostrat debe presentarse en el lenguaje operativo del dueño, no en jerga tech corporate.</w:t>
      </w:r>
    </w:p>
    <w:p>
      <w:pPr>
        <w:pStyle w:val="Normal"/>
        <w:spacing w:before="160" w:after="40"/>
        <w:rPr>
          <w:lang w:val="es-CO"/>
        </w:rPr>
      </w:pPr>
      <w:r>
        <w:rPr>
          <w:b/>
          <w:color w:val="6B7280"/>
          <w:sz w:val="22"/>
          <w:lang w:val="es-CO"/>
        </w:rPr>
        <w:t>Señales de alerta (empresas del sector donde la venta será difícil)</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Empresa con menos de 5 años de operación:</w:t>
      </w:r>
      <w:r>
        <w:rPr>
          <w:color w:val="1A1A1A"/>
          <w:sz w:val="20"/>
          <w:lang w:val="es-CO"/>
        </w:rPr>
        <w:t xml:space="preserve"> probablemente no tiene volumen para justificar inversión en IA + cultura no consolidada para adoptar.</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Patente aduanal en proceso de cancelación o sin renovar:</w:t>
      </w:r>
      <w:r>
        <w:rPr>
          <w:color w:val="1A1A1A"/>
          <w:sz w:val="20"/>
          <w:lang w:val="es-CO"/>
        </w:rPr>
        <w:t xml:space="preserve"> litigio o sanción regulatoria → no compran proyectos nuevos.</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Dueño con perfil 100% comercial sin involvement operativo:</w:t>
      </w:r>
      <w:r>
        <w:rPr>
          <w:color w:val="1A1A1A"/>
          <w:sz w:val="20"/>
          <w:lang w:val="es-CO"/>
        </w:rPr>
        <w:t xml:space="preserve"> decisiones de tech requieren involvement del operativo; el dueño puramente comercial pospone.</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Empresa con TI in-house grande y soberbio:</w:t>
      </w:r>
      <w:r>
        <w:rPr>
          <w:color w:val="1A1A1A"/>
          <w:sz w:val="20"/>
          <w:lang w:val="es-CO"/>
        </w:rPr>
        <w:t xml:space="preserve"> "ya tenemos eso adentro" — resistencia política a consultoría externa.</w:t>
      </w:r>
    </w:p>
    <w:p>
      <w:pPr>
        <w:pStyle w:val="ListBullet"/>
        <w:numPr>
          <w:ilvl w:val="0"/>
          <w:numId w:val="1"/>
        </w:numPr>
        <w:spacing w:before="0" w:after="40"/>
        <w:contextualSpacing/>
        <w:rPr>
          <w:lang w:val="es-CO"/>
        </w:rPr>
      </w:pPr>
      <w:r>
        <w:rPr>
          <w:color w:val="1A1A1A"/>
          <w:sz w:val="20"/>
          <w:lang w:val="es-CO"/>
        </w:rPr>
        <w:t xml:space="preserve">⚠️ </w:t>
      </w:r>
      <w:r>
        <w:rPr>
          <w:b/>
          <w:color w:val="1A1A1A"/>
          <w:sz w:val="20"/>
          <w:lang w:val="es-CO"/>
        </w:rPr>
        <w:t>PyME con flujo de caja apretado en 6 meses:</w:t>
      </w:r>
      <w:r>
        <w:rPr>
          <w:color w:val="1A1A1A"/>
          <w:sz w:val="20"/>
          <w:lang w:val="es-CO"/>
        </w:rPr>
        <w:t xml:space="preserve"> la decisión se posterga indefinidamente.</w:t>
      </w:r>
    </w:p>
    <w:p>
      <w:pPr>
        <w:pStyle w:val="Normal"/>
        <w:spacing w:before="40" w:after="40"/>
        <w:rPr>
          <w:lang w:val="es-CO"/>
        </w:rPr>
      </w:pPr>
      <w:r>
        <w:rPr>
          <w:lang w:val="es-CO"/>
        </w:rPr>
      </w:r>
    </w:p>
    <w:p>
      <w:pPr>
        <w:pStyle w:val="Normal"/>
        <w:pBdr>
          <w:bottom w:val="single" w:sz="4" w:space="1" w:color="0EA5E9"/>
        </w:pBdr>
        <w:spacing w:before="280" w:after="60"/>
        <w:rPr>
          <w:lang w:val="es-CO"/>
        </w:rPr>
      </w:pPr>
      <w:r>
        <w:rPr>
          <w:b/>
          <w:color w:val="0EA5E9"/>
          <w:sz w:val="28"/>
          <w:lang w:val="es-CO"/>
        </w:rPr>
        <w:t>FUENTES CONSULTADAS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Fuente</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URL</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Fecha consulta</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b/>
                <w:color w:val="FFFFFF"/>
                <w:kern w:val="0"/>
                <w:sz w:val="18"/>
                <w:szCs w:val="22"/>
                <w:lang w:val="es-CO" w:eastAsia="en-US" w:bidi="ar-SA"/>
              </w:rPr>
              <w:t>Información obtenida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INEGI EAT 2024</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inegi.org.mx/contenidos/saladeprensa/boletines/2025/eat/EAT2024_CP.pdf</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PIB sectorial, volumen tonelaje</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Revista TyT (Transporte y Turismo)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tyt.com.mx</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Cifras PIB 2024-2025, panorama crecimiento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Nación Transporte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naciontransporte.com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4% PIB nacional autotransporte</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Autocosmos México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noticias.autocosmos.com.mx</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430M toneladas, 4% PIB nacional</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ANTP (Asociación Nacional Transporte Privado)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antp.org.mx/archivos/indicadores/abril2024/</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Indicadores ANTP abril 2024</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T21</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t21.com.mx</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Distintivo CANACAR, autotransporte especializado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The Logistics World</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thelogisticsworld.com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Tijuana, nearshoring, Contecon Manzanillo, retos PyME</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Mexico Business News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mexicobusiness.news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Supply chains, USMCA tariffs, nearshoring</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Cello Square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cello-square.com/en/marketupdates/view-2213.do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USMCA 2026 timing + aranceles</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Trade.gov</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trade.gov/market-intelligence/mexico-customs-law-reform</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Reforma Ley Aduanera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RethinkTrade USMCA 2026</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rethinktrade.org/trackingusmca2026/</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Cronograma review</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White &amp; Case LLP</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whitecase.com/insight-our-thinking/latin-america-focus-2025/usmca-review-mexican-industry</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Impacto industria mexicana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Atlantic Council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atlanticcouncil.org/in-depth-research-reports/issue-brief/using-the-usmca-review-to-strengthen-regional-integration/</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Integración regional</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CSIS USMCA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csis.org/analysis/usmca-review-2026</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Análisis estratégico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BBVA Educación Financiera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bbva.mx/educacion-financiera/empresa/oportunidades-de-nearshoring-y-smartshoring.html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Nearshoring + smartshoring</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Proyectos México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proyectosmexico.gob.mx/en/library/nearshoring-in-mexico/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Nearshoring gobierno MX</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El Financiero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elfinanciero.com.mx/economia/2024/03/15/mexico-la-ruta-que-china-usa-para-llegar-al-mercado-de-eu/</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China-MX-USA ruta</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La Jornada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jornada.com.mx</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Importaciones chinas en México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El Imparcial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elimparcial.com/dinero/2026/05/18/las-importaciones-desde-taiwan/</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Taiwán +400%</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Data México (Secretaría de Economía)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economia.gob.mx/datamexico/es/profile/country/china-chn</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Comercio bilateral MX-China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Embamex SRE (Embajada MX en China)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embamex.sre.gob.mx/china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Relación económica</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SAT — Carta Porte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sat.gob.mx/consultas/68823/complemento-carta-porte-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Marco oficial Carta Porte</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Fiscal Cloud</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fiscalcloud.mx</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Carta Porte 3.1 obligaciones</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Aspel / Siigo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siigo.com/mx/blog/obligaciones-fiscales/complemento-carta-porte/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Multas + obligaciones</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PwC México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pwc.com/mx/es/impuestos/novedades-fiscales/decreto-reforma-diversas-disposiciones-ley-aduanera.html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Reforma aduanera 2025</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Grant Thornton MX</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grantthornton.mx/AlertasGT/alerta39.2025/</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Detalle reforma Ley Aduanera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KPMG México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kpmg.com/mx/es/tendencias/2025/11/flash-reformas-a-la-ley-aduanera.html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Reformas aduanera</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Justia México Blog</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mexico.justia.com/blog/reforma-a-la-ley-aduanera-los-cambios-propuestos-al-sistema-aduanero-en-mexico/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Cambios sistema aduanero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CAAAREM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caaarem.mx</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Confederación agentes aduanales, 99% representatividad</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CAAAREM Directorio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caaarem.mx/directorio.html</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Patentes activas</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Revista Aduanas CAAAREM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caaarem.mx/assets/pdf/Revista-Aduanas-2024.pdf</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Edición Q3 2024</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ANAM</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anam.gob.mx</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Aduana Tijuana + agentes aduanales</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Asociación Agentes Aduanales Tijuana y Tecate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agentesaduanales.org.mx</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Asociación local</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AduaEasy</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aduaeasy.com/blog/puede-la-ia-transformar-las-aduanas-de-m%C3%A9xico-sin-perder-el-toque-humano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IA en aduanas MX</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AduanApp</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neuronbusinessmedia.mx/aduanapp-digitalizando-las-aduanas-mexicanas-con-inteligencia-y-velocidad/</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Métricas AduanApp 7-13s/95%</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AMITI</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amiti.org.mx/en/11311/los-avances-tecnologicos-no-esperan-a-nadie-las-agencias-aduanales-se-reinventan-en-la-era-de-la-inteligencia-artificial/</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Agencias aduanales + IA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Camtom Blog</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camtomx.com/en/blog/el-papel-de-la-inteligencia-artificial-en-la-clasificacion-arancelaria-y-el-comercio-internacional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IA en clasificación</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T21 Concurso Clasificación</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t21.com.mx/proveedores-usan-inteligencia-artificial-en-competencia-de-clasificacion-arancelaria/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Primer concurso AAADAM nov 2024</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Moco AI</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moco.mx/blog/agentes-aduanales-en-mexico-2025/</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Agentes aduanales 2025</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Estrategia Aduanera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estrategiaaduanera.mx/inteligencia-artificial-y-la-clasificacion-arancelaria/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IA y clasificación</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Nuvocargo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nuvocargo.com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Plataforma AI freight US-MX</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Contrary Research Nuvocargo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research.contrary.com/company/nuvocargo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Funding rounds + business breakdown</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TechCrunch</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techcrunch.com/2021/12/10/nuvocargo-raises-20-5m-at-a-180m-valuation-to-bolster-trade-between-the-us-and-mexico/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Funding history</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FreightWaves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freightwaves.com/news/nuvocargo-raises-20-5m-to-boost-trade-between-us-and-mexico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Cobertura Nuvocargo</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McKinsey (Logistics Disruptors)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mckinsey.com/industries/logistics/our-insights/logistics-disruptors-a-shared-digital-platform-for-us-mexico-logistics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Entrevista Nuvocargo founder</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Tetakawi Insights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insights.tetakawi.com/mexico-tariffs-2026-what-manufacturers-actually-need-to-know</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Aranceles 2026 manufactura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Crown XT</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crownxt.com/nearshoring-drayage-cross-border-logistics/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Nearshoring + drayage</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Trixx company report</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pipeline/clients/trixx-logistics/01_company_analysis/runs/2026-05-18_mode-a/final_report.md</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2026-05-18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CO" w:eastAsia="en-US" w:bidi="ar-SA"/>
              </w:rPr>
            </w:pPr>
            <w:r>
              <w:rPr>
                <w:rFonts w:eastAsia="ＭＳ 明朝" w:cs=""/>
                <w:color w:val="1A1A1A"/>
                <w:kern w:val="0"/>
                <w:sz w:val="18"/>
                <w:szCs w:val="22"/>
                <w:lang w:val="es-CO" w:eastAsia="en-US" w:bidi="ar-SA"/>
              </w:rPr>
              <w:t>Input específico de la compañía</w:t>
            </w:r>
          </w:p>
        </w:tc>
      </w:tr>
    </w:tbl>
    <w:p>
      <w:pPr>
        <w:pStyle w:val="Normal"/>
        <w:rPr>
          <w:lang w:val="es-CO"/>
        </w:rPr>
      </w:pPr>
      <w:r>
        <w:rPr>
          <w:lang w:val="es-CO"/>
        </w:rPr>
      </w:r>
    </w:p>
    <w:p>
      <w:pPr>
        <w:pStyle w:val="Normal"/>
        <w:spacing w:before="40" w:after="40"/>
        <w:rPr>
          <w:lang w:val="es-CO"/>
        </w:rPr>
      </w:pPr>
      <w:r>
        <w:rPr>
          <w:lang w:val="es-CO"/>
        </w:rPr>
      </w:r>
    </w:p>
    <w:p>
      <w:pPr>
        <w:pStyle w:val="Normal"/>
        <w:spacing w:before="20" w:after="60"/>
        <w:rPr>
          <w:lang w:val="es-CO"/>
        </w:rPr>
      </w:pPr>
      <w:r>
        <w:rPr>
          <w:color w:val="1A1A1A"/>
          <w:sz w:val="20"/>
          <w:lang w:val="es-CO"/>
        </w:rPr>
        <w:t>Reporte generado por skill industry-analyst v1 — Nexostrat</w:t>
      </w:r>
    </w:p>
    <w:p>
      <w:pPr>
        <w:pStyle w:val="Normal"/>
        <w:spacing w:before="20" w:after="60"/>
        <w:rPr>
          <w:lang w:val="es-CO"/>
        </w:rPr>
      </w:pPr>
      <w:r>
        <w:rPr>
          <w:color w:val="1A1A1A"/>
          <w:sz w:val="20"/>
          <w:lang w:val="es-CO"/>
        </w:rPr>
        <w:t>Para uso interno exclusivo. Reutilizable para todos los prospectos del sector logística cross-border MX-USA + agencia aduanal hasta ~diciembre 2026.</w:t>
      </w:r>
    </w:p>
    <w:p>
      <w:pPr>
        <w:pStyle w:val="Normal"/>
        <w:spacing w:before="20" w:after="60"/>
        <w:rPr>
          <w:lang w:val="es-CO"/>
        </w:rPr>
      </w:pPr>
      <w:r>
        <w:rPr>
          <w:color w:val="1A1A1A"/>
          <w:sz w:val="20"/>
          <w:lang w:val="es-CO"/>
        </w:rPr>
        <w:t>Fecha: 2026-05-18</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587" w:right="1587" w:gutter="0" w:header="720" w:top="1417" w:footer="720" w:bottom="1417"/>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Calibri" w:hAnsi="Calibri"/>
        <w:color w:val="6B7280"/>
        <w:sz w:val="18"/>
      </w:rPr>
      <w:t xml:space="preserve">nexostrat.com  ·  Pág.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EA5E9"/>
      </w:pBdr>
      <w:jc w:val="left"/>
      <w:rPr/>
    </w:pPr>
    <w:r>
      <w:rPr>
        <w:rFonts w:ascii="Calibri" w:hAnsi="Calibri"/>
        <w:b/>
        <w:color w:val="0C1A2E"/>
        <w:sz w:val="22"/>
      </w:rPr>
      <w:t>NEXOSTRAT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21</Pages>
  <Words>5199</Words>
  <Characters>33373</Characters>
  <CharactersWithSpaces>37856</CharactersWithSpaces>
  <Paragraphs>655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2026-05-19T07:37:27Z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