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720"/>
        <w:jc w:val="center"/>
        <w:rPr>
          <w:lang w:val="es-MX"/>
        </w:rPr>
      </w:pPr>
      <w:r>
        <w:rPr>
          <w:lang w:val="es-MX"/>
        </w:rPr>
        <w:drawing>
          <wp:inline distT="0" distB="0" distL="0" distR="0">
            <wp:extent cx="3474720" cy="7689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474720" cy="768985"/>
                    </a:xfrm>
                    <a:prstGeom prst="rect">
                      <a:avLst/>
                    </a:prstGeom>
                  </pic:spPr>
                </pic:pic>
              </a:graphicData>
            </a:graphic>
          </wp:inline>
        </w:drawing>
      </w:r>
    </w:p>
    <w:p>
      <w:pPr>
        <w:pStyle w:val="Normal"/>
        <w:spacing w:before="240" w:after="120"/>
        <w:jc w:val="center"/>
        <w:rPr>
          <w:lang w:val="es-MX"/>
        </w:rPr>
      </w:pPr>
      <w:r>
        <w:rPr>
          <w:b/>
          <w:color w:val="0C1A2E"/>
          <w:sz w:val="56"/>
          <w:lang w:val="es-MX"/>
        </w:rPr>
        <w:t>ANÁLISIS DE COMPAÑÍA: GRUPO TRIXX (TRIX IMPORTACIONES COMERCIALES S. DE R.L. DE C.V.)</w:t>
      </w:r>
    </w:p>
    <w:p>
      <w:pPr>
        <w:pStyle w:val="Normal"/>
        <w:jc w:val="center"/>
        <w:rPr>
          <w:lang w:val="es-MX"/>
        </w:rPr>
      </w:pPr>
      <w:r>
        <w:rPr>
          <w:i/>
          <w:color w:val="6B7280"/>
          <w:sz w:val="20"/>
          <w:lang w:val="es-MX"/>
        </w:rPr>
        <w:t>Nexostrat — Uso Interno  ·  18 May 2026</w:t>
      </w:r>
    </w:p>
    <w:p>
      <w:pPr>
        <w:pStyle w:val="Normal"/>
        <w:rPr>
          <w:lang w:val="es-MX"/>
        </w:rPr>
      </w:pPr>
      <w:r>
        <w:rPr>
          <w:lang w:val="es-MX"/>
        </w:rPr>
      </w:r>
      <w:r>
        <w:br w:type="page"/>
      </w:r>
    </w:p>
    <w:p>
      <w:pPr>
        <w:pStyle w:val="Normal"/>
        <w:spacing w:before="0" w:after="60"/>
        <w:rPr>
          <w:lang w:val="es-MX"/>
        </w:rPr>
      </w:pPr>
      <w:r>
        <w:rPr>
          <w:b/>
          <w:color w:val="1A1A1A"/>
          <w:sz w:val="20"/>
          <w:lang w:val="es-MX"/>
        </w:rPr>
        <w:t>Clasificación:</w:t>
      </w:r>
      <w:r>
        <w:rPr>
          <w:color w:val="1A1A1A"/>
          <w:sz w:val="20"/>
          <w:lang w:val="es-MX"/>
        </w:rPr>
        <w:t xml:space="preserve"> Interno — Uso exclusivo Nexostrat</w:t>
      </w:r>
    </w:p>
    <w:p>
      <w:pPr>
        <w:pStyle w:val="Normal"/>
        <w:spacing w:before="20" w:after="60"/>
        <w:rPr>
          <w:lang w:val="es-MX"/>
        </w:rPr>
      </w:pPr>
      <w:r>
        <w:rPr>
          <w:b/>
          <w:color w:val="1A1A1A"/>
          <w:sz w:val="20"/>
          <w:lang w:val="es-MX"/>
        </w:rPr>
        <w:t>Fecha de análisis:</w:t>
      </w:r>
      <w:r>
        <w:rPr>
          <w:color w:val="1A1A1A"/>
          <w:sz w:val="20"/>
          <w:lang w:val="es-MX"/>
        </w:rPr>
        <w:t xml:space="preserve"> 2026-05-18</w:t>
      </w:r>
    </w:p>
    <w:p>
      <w:pPr>
        <w:pStyle w:val="Normal"/>
        <w:spacing w:before="20" w:after="60"/>
        <w:rPr>
          <w:lang w:val="es-MX"/>
        </w:rPr>
      </w:pPr>
      <w:r>
        <w:rPr>
          <w:b/>
          <w:color w:val="1A1A1A"/>
          <w:sz w:val="20"/>
          <w:lang w:val="es-MX"/>
        </w:rPr>
        <w:t>Analista:</w:t>
      </w:r>
      <w:r>
        <w:rPr>
          <w:color w:val="1A1A1A"/>
          <w:sz w:val="20"/>
          <w:lang w:val="es-MX"/>
        </w:rPr>
        <w:t xml:space="preserve"> Skill de Análisis de Compañías v1</w:t>
      </w:r>
    </w:p>
    <w:p>
      <w:pPr>
        <w:pStyle w:val="Normal"/>
        <w:spacing w:before="20" w:after="60"/>
        <w:rPr>
          <w:lang w:val="es-MX"/>
        </w:rPr>
      </w:pPr>
      <w:r>
        <w:rPr>
          <w:b/>
          <w:color w:val="1A1A1A"/>
          <w:sz w:val="20"/>
          <w:lang w:val="es-MX"/>
        </w:rPr>
        <w:t>País:</w:t>
      </w:r>
      <w:r>
        <w:rPr>
          <w:color w:val="1A1A1A"/>
          <w:sz w:val="20"/>
          <w:lang w:val="es-MX"/>
        </w:rPr>
        <w:t xml:space="preserve"> México</w:t>
      </w:r>
    </w:p>
    <w:p>
      <w:pPr>
        <w:pStyle w:val="Normal"/>
        <w:spacing w:before="20" w:after="60"/>
        <w:rPr>
          <w:lang w:val="es-MX"/>
        </w:rPr>
      </w:pPr>
      <w:r>
        <w:rPr>
          <w:b/>
          <w:color w:val="1A1A1A"/>
          <w:sz w:val="20"/>
          <w:lang w:val="es-MX"/>
        </w:rPr>
        <w:t>NIT / RFC:</w:t>
      </w:r>
      <w:r>
        <w:rPr>
          <w:color w:val="1A1A1A"/>
          <w:sz w:val="20"/>
          <w:lang w:val="es-MX"/>
        </w:rPr>
        <w:t xml:space="preserve"> ❓ RFC no encontrado en fuentes públicas (SAT no expone RFC para PyMEs no listadas en BMV; verificar en reunión o solicitar)</w:t>
      </w:r>
    </w:p>
    <w:p>
      <w:pPr>
        <w:pStyle w:val="Normal"/>
        <w:spacing w:before="20" w:after="60"/>
        <w:rPr>
          <w:lang w:val="es-MX"/>
        </w:rPr>
      </w:pPr>
      <w:r>
        <w:rPr>
          <w:b/>
          <w:color w:val="1A1A1A"/>
          <w:sz w:val="20"/>
          <w:lang w:val="es-MX"/>
        </w:rPr>
        <w:t>SCIAN sugerido:</w:t>
      </w:r>
      <w:r>
        <w:rPr>
          <w:color w:val="1A1A1A"/>
          <w:sz w:val="20"/>
          <w:lang w:val="es-MX"/>
        </w:rPr>
        <w:t xml:space="preserve"> 488510 — Servicios de agencias aduanales (⚠️ inferido del portafolio declarado)</w:t>
      </w:r>
    </w:p>
    <w:p>
      <w:pPr>
        <w:pStyle w:val="Normal"/>
        <w:spacing w:before="20" w:after="60"/>
        <w:rPr>
          <w:lang w:val="es-MX"/>
        </w:rPr>
      </w:pPr>
      <w:r>
        <w:rPr>
          <w:b/>
          <w:color w:val="1A1A1A"/>
          <w:sz w:val="20"/>
          <w:lang w:val="es-MX"/>
        </w:rPr>
        <w:t>Sector:</w:t>
      </w:r>
      <w:r>
        <w:rPr>
          <w:color w:val="1A1A1A"/>
          <w:sz w:val="20"/>
          <w:lang w:val="es-MX"/>
        </w:rPr>
        <w:t xml:space="preserve"> Logística cross-border México-USA / Comercio exterior / Agencia aduanal</w:t>
      </w:r>
    </w:p>
    <w:p>
      <w:pPr>
        <w:pStyle w:val="Normal"/>
        <w:pBdr>
          <w:bottom w:val="single" w:sz="4" w:space="1" w:color="0EA5E9"/>
        </w:pBdr>
        <w:spacing w:before="280" w:after="60"/>
        <w:rPr>
          <w:lang w:val="es-MX"/>
        </w:rPr>
      </w:pPr>
      <w:r>
        <w:rPr>
          <w:b/>
          <w:color w:val="0EA5E9"/>
          <w:sz w:val="28"/>
          <w:lang w:val="es-MX"/>
        </w:rPr>
        <w:t>1. PERFIL GENERAL</w:t>
      </w:r>
    </w:p>
    <w:p>
      <w:pPr>
        <w:pStyle w:val="Normal"/>
        <w:spacing w:before="80" w:after="40"/>
        <w:rPr>
          <w:lang w:val="es-MX"/>
        </w:rPr>
      </w:pPr>
      <w:r>
        <w:rPr>
          <w:b/>
          <w:color w:val="0C1A2E"/>
          <w:sz w:val="20"/>
          <w:lang w:val="es-MX"/>
        </w:rPr>
        <w:t>Historia y fundación:</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Fundación: </w:t>
      </w:r>
      <w:r>
        <w:rPr>
          <w:b/>
          <w:color w:val="1A1A1A"/>
          <w:sz w:val="20"/>
          <w:lang w:val="es-MX"/>
        </w:rPr>
        <w:t>2002</w:t>
      </w:r>
      <w:r>
        <w:rPr>
          <w:color w:val="1A1A1A"/>
          <w:sz w:val="20"/>
          <w:lang w:val="es-MX"/>
        </w:rPr>
        <w:t xml:space="preserve"> (24 años de operación al cierre 2026). Fuente: D&amp;B Business Directory + síntesis de prensa cruzada.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La entidad estadounidense </w:t>
      </w:r>
      <w:r>
        <w:rPr>
          <w:b/>
          <w:color w:val="1A1A1A"/>
          <w:sz w:val="20"/>
          <w:lang w:val="es-MX"/>
        </w:rPr>
        <w:t>TRIXX LOGISTICS CORP</w:t>
      </w:r>
      <w:r>
        <w:rPr>
          <w:color w:val="1A1A1A"/>
          <w:sz w:val="20"/>
          <w:lang w:val="es-MX"/>
        </w:rPr>
        <w:t xml:space="preserve"> fue incorporada en 2010 (8 años después de la operación mexicana). Fuente: D&amp;B + Creditsafe.</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Coherente con la cita verbal de la contacto ("La compañía tiene más de 20 años", WhatsApp 2026-05-16).</w:t>
      </w:r>
    </w:p>
    <w:p>
      <w:pPr>
        <w:pStyle w:val="Normal"/>
        <w:spacing w:before="20" w:after="60"/>
        <w:rPr>
          <w:lang w:val="es-MX"/>
        </w:rPr>
      </w:pPr>
      <w:r>
        <w:rPr>
          <w:b/>
          <w:color w:val="1A1A1A"/>
          <w:sz w:val="20"/>
          <w:lang w:val="es-MX"/>
        </w:rPr>
        <w:t>Fundadores:</w:t>
      </w:r>
      <w:r>
        <w:rPr>
          <w:color w:val="1A1A1A"/>
          <w:sz w:val="20"/>
          <w:lang w:val="es-MX"/>
        </w:rPr>
        <w:t xml:space="preserve"> ❓ No identificados públicamente. Hector Leyva aparece como "Owner" (dueño) de la entidad US TRIXX LOGISTICS CORP en LinkedIn + RocketReach + D&amp;B. Probable también dueño/fundador de la operación MX, pero no confirmado en fuentes públicas.</w:t>
      </w:r>
    </w:p>
    <w:p>
      <w:pPr>
        <w:pStyle w:val="Normal"/>
        <w:spacing w:before="80" w:after="40"/>
        <w:rPr>
          <w:lang w:val="es-MX"/>
        </w:rPr>
      </w:pPr>
      <w:r>
        <w:rPr>
          <w:b/>
          <w:color w:val="0C1A2E"/>
          <w:sz w:val="20"/>
          <w:lang w:val="es-MX"/>
        </w:rPr>
        <w:t>Sede principal:</w:t>
      </w:r>
    </w:p>
    <w:p>
      <w:pPr>
        <w:pStyle w:val="ListBullet"/>
        <w:numPr>
          <w:ilvl w:val="0"/>
          <w:numId w:val="1"/>
        </w:numPr>
        <w:spacing w:before="0" w:after="40"/>
        <w:contextualSpacing/>
        <w:rPr>
          <w:lang w:val="es-MX"/>
        </w:rPr>
      </w:pPr>
      <w:r>
        <w:rPr>
          <w:b/>
          <w:color w:val="1A1A1A"/>
          <w:sz w:val="20"/>
          <w:lang w:val="es-MX"/>
        </w:rPr>
        <w:t>Tijuana (MX, sede operativa):</w:t>
      </w:r>
      <w:r>
        <w:rPr>
          <w:color w:val="1A1A1A"/>
          <w:sz w:val="20"/>
          <w:lang w:val="es-MX"/>
        </w:rPr>
        <w:t xml:space="preserve"> ✅ Calle de Las Rosas 3946, Col. El Prado, CP 22105, Tijuana, B.C. Entidad: Trix Importaciones Comerciales S. de R.L. de C.V. Fuente: trixx-logistics.com/contacto/.</w:t>
      </w:r>
    </w:p>
    <w:p>
      <w:pPr>
        <w:pStyle w:val="ListBullet"/>
        <w:numPr>
          <w:ilvl w:val="0"/>
          <w:numId w:val="1"/>
        </w:numPr>
        <w:spacing w:before="0" w:after="40"/>
        <w:contextualSpacing/>
        <w:rPr>
          <w:lang w:val="es-MX"/>
        </w:rPr>
      </w:pPr>
      <w:r>
        <w:rPr>
          <w:b/>
          <w:color w:val="1A1A1A"/>
          <w:sz w:val="20"/>
          <w:lang w:val="es-MX"/>
        </w:rPr>
        <w:t>Vernon CA (US, HQ legal):</w:t>
      </w:r>
      <w:r>
        <w:rPr>
          <w:color w:val="1A1A1A"/>
          <w:sz w:val="20"/>
          <w:lang w:val="es-MX"/>
        </w:rPr>
        <w:t xml:space="preserve"> ✅ 5034 Hampton St., Vernon, CA 90058. Entidad: Trixx Logistics Corp. Fuente: trixx-logistics.com/contacto/ + SAFER FMCSA.</w:t>
      </w:r>
    </w:p>
    <w:p>
      <w:pPr>
        <w:pStyle w:val="Normal"/>
        <w:spacing w:before="80" w:after="40"/>
        <w:rPr>
          <w:lang w:val="es-MX"/>
        </w:rPr>
      </w:pPr>
      <w:r>
        <w:rPr>
          <w:b/>
          <w:color w:val="0C1A2E"/>
          <w:sz w:val="20"/>
          <w:lang w:val="es-MX"/>
        </w:rPr>
        <w:t>Cobertura geográfica:</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Ubicación</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Tipo</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Dirección</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Fuente</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Tijuana, B.C.</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Oficina principal MX + agencia aduanal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Calle de Las Rosas 3946, Col. El Prado, CP 22105</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Sitio oficial</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Guadalajara, Jal.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Almacén / distribución</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Lázaro Cárdenas 493 A Ramal del Ferrocarril, CP 44440</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Sitio oficial</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Ciudad de México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Oficina + nave operativa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Calz. Vallejo 1830, Nueva Industrial Vallejo, Gustavo A. Madero, CP 07700, Nave 1</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Sitio oficial</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Vernon, CA (Los Angeles)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HQ legal + almacén US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5034 Hampton St., CA 90058</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Sitio + SAFER</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San Diego, CA</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Almacén + recepción cross-border</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2155 Paseo de Las Americas STE. 35, CA 92154</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Sitio oficial</w:t>
            </w:r>
          </w:p>
        </w:tc>
      </w:tr>
    </w:tbl>
    <w:p>
      <w:pPr>
        <w:pStyle w:val="Normal"/>
        <w:rPr>
          <w:lang w:val="es-MX"/>
        </w:rPr>
      </w:pPr>
      <w:r>
        <w:rPr>
          <w:lang w:val="es-MX"/>
        </w:rPr>
      </w:r>
    </w:p>
    <w:p>
      <w:pPr>
        <w:pStyle w:val="Normal"/>
        <w:spacing w:before="20" w:after="60"/>
        <w:rPr>
          <w:lang w:val="es-MX"/>
        </w:rPr>
      </w:pPr>
      <w:r>
        <w:rPr>
          <w:color w:val="1A1A1A"/>
          <w:sz w:val="20"/>
          <w:lang w:val="es-MX"/>
        </w:rPr>
        <w:t xml:space="preserve">&gt; 🔍 </w:t>
      </w:r>
      <w:r>
        <w:rPr>
          <w:b/>
          <w:color w:val="1A1A1A"/>
          <w:sz w:val="20"/>
          <w:lang w:val="es-MX"/>
        </w:rPr>
        <w:t>Análisis:</w:t>
      </w:r>
      <w:r>
        <w:rPr>
          <w:color w:val="1A1A1A"/>
          <w:sz w:val="20"/>
          <w:lang w:val="es-MX"/>
        </w:rPr>
        <w:t xml:space="preserve"> Operación cross-border real (no nicho) con presencia física en 5 sedes a ambos lados de la frontera. Es un activo estratégico defensible — replicar esa huella física toma años.</w:t>
      </w:r>
    </w:p>
    <w:p>
      <w:pPr>
        <w:pStyle w:val="Normal"/>
        <w:spacing w:before="80" w:after="40"/>
        <w:rPr>
          <w:lang w:val="es-MX"/>
        </w:rPr>
      </w:pPr>
      <w:r>
        <w:rPr>
          <w:b/>
          <w:color w:val="0C1A2E"/>
          <w:sz w:val="20"/>
          <w:lang w:val="es-MX"/>
        </w:rPr>
        <w:t>Tamaño estimado:</w:t>
      </w:r>
    </w:p>
    <w:p>
      <w:pPr>
        <w:pStyle w:val="ListBullet"/>
        <w:numPr>
          <w:ilvl w:val="0"/>
          <w:numId w:val="1"/>
        </w:numPr>
        <w:spacing w:before="0" w:after="40"/>
        <w:contextualSpacing/>
        <w:rPr>
          <w:lang w:val="es-MX"/>
        </w:rPr>
      </w:pPr>
      <w:r>
        <w:rPr>
          <w:color w:val="1A1A1A"/>
          <w:sz w:val="20"/>
          <w:lang w:val="es-MX"/>
        </w:rPr>
        <w:t xml:space="preserve">⚠️ </w:t>
      </w:r>
      <w:r>
        <w:rPr>
          <w:b/>
          <w:color w:val="1A1A1A"/>
          <w:sz w:val="20"/>
          <w:lang w:val="es-MX"/>
        </w:rPr>
        <w:t>Personal estimado: 30-60 personas.</w:t>
      </w:r>
      <w:r>
        <w:rPr>
          <w:color w:val="1A1A1A"/>
          <w:sz w:val="20"/>
          <w:lang w:val="es-MX"/>
        </w:rPr>
        <w:t xml:space="preserve"> Inferencia basada en: 12 unidades motoras + 9 conductores reportados a FMCSA (US) = ~21 personas solo flota US; +5 oficinas con presencia administrativa, customs, ventas, operaciones; +Andrea Chávez como contacto operativo + su madre + el dueño. Fuente: SAFER FMCSA + composición de oficinas. La compañía NO declara empleados en LinkedIn (sin página corporativa MX).</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Empleados IMSS: no encontrado en fuentes públicas (no es información pública por defecto en México).</w:t>
      </w:r>
    </w:p>
    <w:p>
      <w:pPr>
        <w:pStyle w:val="Normal"/>
        <w:spacing w:before="80" w:after="40"/>
        <w:rPr>
          <w:lang w:val="es-MX"/>
        </w:rPr>
      </w:pPr>
      <w:r>
        <w:rPr>
          <w:b/>
          <w:color w:val="0C1A2E"/>
          <w:sz w:val="20"/>
          <w:lang w:val="es-MX"/>
        </w:rPr>
        <w:t>Tipo societario:</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MX: </w:t>
      </w:r>
      <w:r>
        <w:rPr>
          <w:b/>
          <w:color w:val="1A1A1A"/>
          <w:sz w:val="20"/>
          <w:lang w:val="es-MX"/>
        </w:rPr>
        <w:t>S. de R.L. de C.V.</w:t>
      </w:r>
      <w:r>
        <w:rPr>
          <w:color w:val="1A1A1A"/>
          <w:sz w:val="20"/>
          <w:lang w:val="es-MX"/>
        </w:rPr>
        <w:t xml:space="preserve"> (Sociedad de Responsabilidad Limitada de Capital Variable). Fuente: razón social en sitio.</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US: </w:t>
      </w:r>
      <w:r>
        <w:rPr>
          <w:b/>
          <w:color w:val="1A1A1A"/>
          <w:sz w:val="20"/>
          <w:lang w:val="es-MX"/>
        </w:rPr>
        <w:t>Corp</w:t>
      </w:r>
      <w:r>
        <w:rPr>
          <w:color w:val="1A1A1A"/>
          <w:sz w:val="20"/>
          <w:lang w:val="es-MX"/>
        </w:rPr>
        <w:t xml:space="preserve"> (California corporation). Fuente: D&amp;B.</w:t>
      </w:r>
    </w:p>
    <w:p>
      <w:pPr>
        <w:pStyle w:val="Normal"/>
        <w:spacing w:before="80" w:after="40"/>
        <w:rPr>
          <w:lang w:val="es-MX"/>
        </w:rPr>
      </w:pPr>
      <w:r>
        <w:rPr>
          <w:b/>
          <w:color w:val="0C1A2E"/>
          <w:sz w:val="20"/>
          <w:lang w:val="es-MX"/>
        </w:rPr>
        <w:t>Estado legal:</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MX: presumiblemente activa (sitio operativo, contacto operativo entrante 2026-05-16).</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US: </w:t>
      </w:r>
      <w:r>
        <w:rPr>
          <w:b/>
          <w:color w:val="1A1A1A"/>
          <w:sz w:val="20"/>
          <w:lang w:val="es-MX"/>
        </w:rPr>
        <w:t>ACTIVA</w:t>
      </w:r>
      <w:r>
        <w:rPr>
          <w:color w:val="1A1A1A"/>
          <w:sz w:val="20"/>
          <w:lang w:val="es-MX"/>
        </w:rPr>
        <w:t xml:space="preserve"> ante FMCSA (USDOT 2045279, MC-716958, operating status ACTIVE, MCS-150 form date 2025-09-08). Fuente: SAFER snapshot.</w:t>
      </w:r>
    </w:p>
    <w:p>
      <w:pPr>
        <w:pStyle w:val="Normal"/>
        <w:spacing w:before="80" w:after="40"/>
        <w:rPr>
          <w:lang w:val="es-MX"/>
        </w:rPr>
      </w:pPr>
      <w:r>
        <w:rPr>
          <w:b/>
          <w:color w:val="0C1A2E"/>
          <w:sz w:val="20"/>
          <w:lang w:val="es-MX"/>
        </w:rPr>
        <w:t>Estructura corporativa:</w:t>
      </w:r>
    </w:p>
    <w:p>
      <w:pPr>
        <w:pStyle w:val="ListBullet"/>
        <w:numPr>
          <w:ilvl w:val="0"/>
          <w:numId w:val="1"/>
        </w:numPr>
        <w:spacing w:before="0" w:after="40"/>
        <w:contextualSpacing/>
        <w:rPr>
          <w:lang w:val="es-MX"/>
        </w:rPr>
      </w:pPr>
      <w:r>
        <w:rPr>
          <w:color w:val="1A1A1A"/>
          <w:sz w:val="20"/>
          <w:lang w:val="es-MX"/>
        </w:rPr>
        <w:t xml:space="preserve">⚠️ </w:t>
      </w:r>
      <w:r>
        <w:rPr>
          <w:b/>
          <w:color w:val="1A1A1A"/>
          <w:sz w:val="20"/>
          <w:lang w:val="es-MX"/>
        </w:rPr>
        <w:t>"Grupo Trixx"</w:t>
      </w:r>
      <w:r>
        <w:rPr>
          <w:color w:val="1A1A1A"/>
          <w:sz w:val="20"/>
          <w:lang w:val="es-MX"/>
        </w:rPr>
        <w:t xml:space="preserve"> como marca paraguas que aglutina dos entidades legales distintas: Trix Importaciones Comerciales S. de R.L. de C.V. (MX) y Trixx Logistics Corp (US). Patrón típico cross-border para separar exposición fiscal/regulatoria por país. ❓ Si existe holding superior no fue identificado en fuentes públicas.</w:t>
      </w:r>
    </w:p>
    <w:p>
      <w:pPr>
        <w:pStyle w:val="Normal"/>
        <w:spacing w:before="20" w:after="60"/>
        <w:rPr>
          <w:lang w:val="es-MX"/>
        </w:rPr>
      </w:pPr>
      <w:r>
        <w:rPr>
          <w:color w:val="1A1A1A"/>
          <w:sz w:val="20"/>
          <w:lang w:val="es-MX"/>
        </w:rPr>
        <w:t>Fuentes consultadas: trixx-logistics.com, trixx-logistics.com/contacto/, trixx-logistics.com/nosotros/, trixx-logistics.com/servicios/, D&amp;B Business Directory, Creditsafe, SAFER FMCSA, RocketReach, LinkedIn (search), WhatsApp inbound 2026-05-16.</w:t>
      </w:r>
    </w:p>
    <w:p>
      <w:pPr>
        <w:pStyle w:val="Normal"/>
        <w:pBdr>
          <w:bottom w:val="single" w:sz="4" w:space="1" w:color="0EA5E9"/>
        </w:pBdr>
        <w:spacing w:before="280" w:after="60"/>
        <w:rPr>
          <w:lang w:val="es-MX"/>
        </w:rPr>
      </w:pPr>
      <w:r>
        <w:rPr>
          <w:b/>
          <w:color w:val="0EA5E9"/>
          <w:sz w:val="28"/>
          <w:lang w:val="es-MX"/>
        </w:rPr>
        <w:t>2. PRODUCTOS Y SERVICIOS</w:t>
      </w:r>
    </w:p>
    <w:p>
      <w:pPr>
        <w:pStyle w:val="Normal"/>
        <w:spacing w:before="80" w:after="40"/>
        <w:rPr>
          <w:lang w:val="es-MX"/>
        </w:rPr>
      </w:pPr>
      <w:r>
        <w:rPr>
          <w:b/>
          <w:color w:val="0C1A2E"/>
          <w:sz w:val="20"/>
          <w:lang w:val="es-MX"/>
        </w:rPr>
        <w:t>Portafolio principal (8 servicios declarados):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Agencia Aduanal</w:t>
      </w:r>
      <w:r>
        <w:rPr>
          <w:color w:val="1A1A1A"/>
          <w:sz w:val="20"/>
          <w:lang w:val="es-MX"/>
        </w:rPr>
        <w:t xml:space="preserve"> — gestión aduanera import/export. ⚠️ Sin patente aduanal expuesta en el sitio (ver § Señales de alerta).</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Transporte Aéreo, Marítimo y Terrestre</w:t>
      </w:r>
      <w:r>
        <w:rPr>
          <w:color w:val="1A1A1A"/>
          <w:sz w:val="20"/>
          <w:lang w:val="es-MX"/>
        </w:rPr>
        <w:t xml:space="preserve"> — modalidad multimodal.</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Almacenaje y Distribución</w:t>
      </w:r>
      <w:r>
        <w:rPr>
          <w:color w:val="1A1A1A"/>
          <w:sz w:val="20"/>
          <w:lang w:val="es-MX"/>
        </w:rPr>
        <w:t xml:space="preserve"> — almacenes propios en TJ, GDL, CDMX, Vernon CA, San Diego CA.</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Consultoría en Comercio Exterior</w:t>
      </w:r>
      <w:r>
        <w:rPr>
          <w:color w:val="1A1A1A"/>
          <w:sz w:val="20"/>
          <w:lang w:val="es-MX"/>
        </w:rPr>
        <w:t xml:space="preserve"> — servicio de asesoría no transaccional.</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Acondicionamiento de Carga</w:t>
      </w:r>
      <w:r>
        <w:rPr>
          <w:color w:val="1A1A1A"/>
          <w:sz w:val="20"/>
          <w:lang w:val="es-MX"/>
        </w:rPr>
        <w:t xml:space="preserve"> — preparación / consolidación / etiquetado.</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Cumplimiento Normativo</w:t>
      </w:r>
      <w:r>
        <w:rPr>
          <w:color w:val="1A1A1A"/>
          <w:sz w:val="20"/>
          <w:lang w:val="es-MX"/>
        </w:rPr>
        <w:t xml:space="preserve"> — apoyo en regulación.</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Optimización y Ahorro</w:t>
      </w:r>
      <w:r>
        <w:rPr>
          <w:color w:val="1A1A1A"/>
          <w:sz w:val="20"/>
          <w:lang w:val="es-MX"/>
        </w:rPr>
        <w:t xml:space="preserve"> — diagnóstico de costos logísticos (presumido — descripción no detallada).</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Paquetería</w:t>
      </w:r>
      <w:r>
        <w:rPr>
          <w:color w:val="1A1A1A"/>
          <w:sz w:val="20"/>
          <w:lang w:val="es-MX"/>
        </w:rPr>
        <w:t xml:space="preserve"> — última milla / pequeños volúmenes.</w:t>
      </w:r>
    </w:p>
    <w:p>
      <w:pPr>
        <w:pStyle w:val="Normal"/>
        <w:spacing w:before="80" w:after="40"/>
        <w:rPr>
          <w:lang w:val="es-MX"/>
        </w:rPr>
      </w:pPr>
      <w:r>
        <w:rPr>
          <w:b/>
          <w:color w:val="0C1A2E"/>
          <w:sz w:val="20"/>
          <w:lang w:val="es-MX"/>
        </w:rPr>
        <w:t>Flujo cross-border específico mencionado en el sitio:</w:t>
      </w:r>
    </w:p>
    <w:p>
      <w:pPr>
        <w:pStyle w:val="Normal"/>
        <w:spacing w:before="20" w:after="60"/>
        <w:rPr>
          <w:lang w:val="es-MX"/>
        </w:rPr>
      </w:pPr>
      <w:r>
        <w:rPr>
          <w:color w:val="1A1A1A"/>
          <w:sz w:val="20"/>
          <w:lang w:val="es-MX"/>
        </w:rPr>
        <w:t xml:space="preserve">✅ </w:t>
      </w:r>
      <w:r>
        <w:rPr>
          <w:color w:val="1A1A1A"/>
          <w:sz w:val="20"/>
          <w:lang w:val="es-MX"/>
        </w:rPr>
        <w:t xml:space="preserve">"send merchandise to our warehouse in the U.S. → import to warehouse in Guadalajara → ship to MX customer address" — modelo de </w:t>
      </w:r>
      <w:r>
        <w:rPr>
          <w:b/>
          <w:color w:val="1A1A1A"/>
          <w:sz w:val="20"/>
          <w:lang w:val="es-MX"/>
        </w:rPr>
        <w:t>import-as-a-service</w:t>
      </w:r>
      <w:r>
        <w:rPr>
          <w:color w:val="1A1A1A"/>
          <w:sz w:val="20"/>
          <w:lang w:val="es-MX"/>
        </w:rPr>
        <w:t xml:space="preserve"> para clientes que compran en US/Asia y necesitan llegar a consumidor MX.</w:t>
      </w:r>
    </w:p>
    <w:p>
      <w:pPr>
        <w:pStyle w:val="Normal"/>
        <w:spacing w:before="20" w:after="60"/>
        <w:rPr>
          <w:lang w:val="es-MX"/>
        </w:rPr>
      </w:pPr>
      <w:r>
        <w:rPr>
          <w:color w:val="1A1A1A"/>
          <w:sz w:val="20"/>
          <w:lang w:val="es-MX"/>
        </w:rPr>
        <w:t xml:space="preserve">&gt; 🔍 </w:t>
      </w:r>
      <w:r>
        <w:rPr>
          <w:b/>
          <w:color w:val="1A1A1A"/>
          <w:sz w:val="20"/>
          <w:lang w:val="es-MX"/>
        </w:rPr>
        <w:t>Análisis:</w:t>
      </w:r>
      <w:r>
        <w:rPr>
          <w:color w:val="1A1A1A"/>
          <w:sz w:val="20"/>
          <w:lang w:val="es-MX"/>
        </w:rPr>
        <w:t xml:space="preserve"> Combinación inusual de </w:t>
      </w:r>
      <w:r>
        <w:rPr>
          <w:b/>
          <w:color w:val="1A1A1A"/>
          <w:sz w:val="20"/>
          <w:lang w:val="es-MX"/>
        </w:rPr>
        <w:t>agencia aduanal + flota propia + 5 almacenes + paquetería + Chinese-import service</w:t>
      </w:r>
      <w:r>
        <w:rPr>
          <w:color w:val="1A1A1A"/>
          <w:sz w:val="20"/>
          <w:lang w:val="es-MX"/>
        </w:rPr>
        <w:t>. Mayoría de competidores en Tijuana se especializa en 1-2 de estos verticales. La amplitud sugiere o (a) verdadera capacidad de full-service o (b) over-promise — la reunión confirma cuál.</w:t>
      </w:r>
    </w:p>
    <w:p>
      <w:pPr>
        <w:pStyle w:val="Normal"/>
        <w:spacing w:before="80" w:after="40"/>
        <w:rPr>
          <w:lang w:val="es-MX"/>
        </w:rPr>
      </w:pPr>
      <w:r>
        <w:rPr>
          <w:b/>
          <w:color w:val="0C1A2E"/>
          <w:sz w:val="20"/>
          <w:lang w:val="es-MX"/>
        </w:rPr>
        <w:t>Precios públicos:</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No se encontraron tarifas públicas (estándar para B2B logística — cotización por RFQ).</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La página /home-logistic/ muestra paquetes ficticios de $95-$255 USD con </w:t>
      </w:r>
      <w:r>
        <w:rPr>
          <w:b/>
          <w:color w:val="1A1A1A"/>
          <w:sz w:val="20"/>
          <w:lang w:val="es-MX"/>
        </w:rPr>
        <w:t>texto placeholder de especies de peces</w:t>
      </w:r>
      <w:r>
        <w:rPr>
          <w:color w:val="1A1A1A"/>
          <w:sz w:val="20"/>
          <w:lang w:val="es-MX"/>
        </w:rPr>
        <w:t xml:space="preserve"> — claramente template demo no terminado (ver § Señales de alerta).</w:t>
      </w:r>
    </w:p>
    <w:p>
      <w:pPr>
        <w:pStyle w:val="Normal"/>
        <w:spacing w:before="80" w:after="40"/>
        <w:rPr>
          <w:lang w:val="es-MX"/>
        </w:rPr>
      </w:pPr>
      <w:r>
        <w:rPr>
          <w:b/>
          <w:color w:val="0C1A2E"/>
          <w:sz w:val="20"/>
          <w:lang w:val="es-MX"/>
        </w:rPr>
        <w:t>Propuesta de valor declarada: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"Agilice su proceso logístico con nuestro apoyo y experiencia" (tagline).</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Cuatro diferenciadores declarados: </w:t>
      </w:r>
      <w:r>
        <w:rPr>
          <w:b/>
          <w:color w:val="1A1A1A"/>
          <w:sz w:val="20"/>
          <w:lang w:val="es-MX"/>
        </w:rPr>
        <w:t>Eficiencia, Apoyo, Seguridad, Experiencia</w:t>
      </w:r>
      <w:r>
        <w:rPr>
          <w:color w:val="1A1A1A"/>
          <w:sz w:val="20"/>
          <w:lang w:val="es-MX"/>
        </w:rPr>
        <w:t>.</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Misión: "Nos encargamos de su próximo envío, para que pueda centrarse en lo que es importante para usted."</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Visión: "la empresa de logística más confiable y segura del sector".</w:t>
      </w:r>
    </w:p>
    <w:p>
      <w:pPr>
        <w:pStyle w:val="Normal"/>
        <w:spacing w:before="80" w:after="40"/>
        <w:rPr>
          <w:lang w:val="es-MX"/>
        </w:rPr>
      </w:pPr>
      <w:r>
        <w:rPr>
          <w:b/>
          <w:color w:val="0C1A2E"/>
          <w:sz w:val="20"/>
          <w:lang w:val="es-MX"/>
        </w:rPr>
        <w:t>Canales de venta: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Predominantemente B2B vía referido + sales outbound (inferido — no hay CTA digital robusto, ni booking online funcional).</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Formulario de contacto + email management@trixx-logistics.com + WhatsApp + teléfonos directos por ciudad.</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Instagram público (@trixxlogistics) y Facebook listados (actividad no verificable vía fetch — anti-scraping).</w:t>
      </w:r>
    </w:p>
    <w:p>
      <w:pPr>
        <w:pStyle w:val="Normal"/>
        <w:spacing w:before="20" w:after="60"/>
        <w:rPr>
          <w:lang w:val="es-MX"/>
        </w:rPr>
      </w:pPr>
      <w:r>
        <w:rPr>
          <w:color w:val="1A1A1A"/>
          <w:sz w:val="20"/>
          <w:lang w:val="es-MX"/>
        </w:rPr>
        <w:t>Fuentes consultadas: trixx-logistics.com (home, /servicios/, /nosotros/, /contacto/, /home-logistic/, /our-trucks/).</w:t>
      </w:r>
    </w:p>
    <w:p>
      <w:pPr>
        <w:pStyle w:val="Normal"/>
        <w:pBdr>
          <w:bottom w:val="single" w:sz="4" w:space="1" w:color="0EA5E9"/>
        </w:pBdr>
        <w:spacing w:before="280" w:after="60"/>
        <w:rPr>
          <w:lang w:val="es-MX"/>
        </w:rPr>
      </w:pPr>
      <w:r>
        <w:rPr>
          <w:b/>
          <w:color w:val="0EA5E9"/>
          <w:sz w:val="28"/>
          <w:lang w:val="es-MX"/>
        </w:rPr>
        <w:t>3. PRESENCIA DIGITAL</w:t>
      </w:r>
    </w:p>
    <w:p>
      <w:pPr>
        <w:pStyle w:val="Normal"/>
        <w:spacing w:before="80" w:after="40"/>
        <w:rPr>
          <w:lang w:val="es-MX"/>
        </w:rPr>
      </w:pPr>
      <w:r>
        <w:rPr>
          <w:b/>
          <w:color w:val="0C1A2E"/>
          <w:sz w:val="20"/>
          <w:lang w:val="es-MX"/>
        </w:rPr>
        <w:t>Sitio web:</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URL: https://trixx-logistics.com (dominio activo, HTTPS, ES + ZH-CN simplificado).</w:t>
      </w:r>
    </w:p>
    <w:p>
      <w:pPr>
        <w:pStyle w:val="ListBullet"/>
        <w:numPr>
          <w:ilvl w:val="0"/>
          <w:numId w:val="1"/>
        </w:numPr>
        <w:spacing w:before="0" w:after="40"/>
        <w:contextualSpacing/>
        <w:rPr>
          <w:lang w:val="es-MX"/>
        </w:rPr>
      </w:pPr>
      <w:r>
        <w:rPr>
          <w:color w:val="1A1A1A"/>
          <w:sz w:val="20"/>
          <w:lang w:val="es-MX"/>
        </w:rPr>
        <w:t xml:space="preserve">⚠️ </w:t>
      </w:r>
      <w:r>
        <w:rPr>
          <w:b/>
          <w:color w:val="1A1A1A"/>
          <w:sz w:val="20"/>
          <w:lang w:val="es-MX"/>
        </w:rPr>
        <w:t>UX general: amateur-funcional con bugs visibles.</w:t>
      </w:r>
      <w:r>
        <w:rPr>
          <w:color w:val="1A1A1A"/>
          <w:sz w:val="20"/>
          <w:lang w:val="es-MX"/>
        </w:rPr>
        <w:t xml:space="preserve"> Estructura WordPress estándar; contenido coherente pero contiene placeholders no eliminados de producción.</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Idiomas: </w:t>
      </w:r>
      <w:r>
        <w:rPr>
          <w:b/>
          <w:color w:val="1A1A1A"/>
          <w:sz w:val="20"/>
          <w:lang w:val="es-MX"/>
        </w:rPr>
        <w:t>Español + Chino simplificado</w:t>
      </w:r>
      <w:r>
        <w:rPr>
          <w:color w:val="1A1A1A"/>
          <w:sz w:val="20"/>
          <w:lang w:val="es-MX"/>
        </w:rPr>
        <w:t xml:space="preserve"> — señal explícita de targeting al import flow desde China. Posicionamiento defendible y diferenciado.</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Tecnología visible: WordPress (presumido por estructura). La página de contacto SÍ tiene botones funcionales de click-to-chat por WhatsApp + iconos para Instagram + Facebook (correctamente identificado por el operador tras feedback). Sin tracking portal propio para clientes (la diferencia entre "puedo escribirles" y "puedo ver dónde está mi envío"), sin calculadora real de tarifas, sin login de cliente, sin integración visible con marketplace (Amazon MX, Mercado Libre).</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SEO: no evaluado en profundidad; aparece en búsquedas directas por nombre pero no en queries genéricas de "agencia aduanal Tijuana".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Velocidad / Core Web Vitals: no medido.</w:t>
      </w:r>
    </w:p>
    <w:p>
      <w:pPr>
        <w:pStyle w:val="Normal"/>
        <w:spacing w:before="80" w:after="40"/>
        <w:rPr>
          <w:lang w:val="es-MX"/>
        </w:rPr>
      </w:pPr>
      <w:r>
        <w:rPr>
          <w:b/>
          <w:color w:val="0C1A2E"/>
          <w:sz w:val="20"/>
          <w:lang w:val="es-MX"/>
        </w:rPr>
        <w:t>Observaciones sobre el sitio (revisadas tras feedback del operador 2026-05-18):</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El contador "0 Años De Experiencia" en landing es un </w:t>
      </w:r>
      <w:r>
        <w:rPr>
          <w:b/>
          <w:color w:val="1A1A1A"/>
          <w:sz w:val="20"/>
          <w:lang w:val="es-MX"/>
        </w:rPr>
        <w:t>contador JavaScript animado que sube de 0 a 20</w:t>
      </w:r>
      <w:r>
        <w:rPr>
          <w:color w:val="1A1A1A"/>
          <w:sz w:val="20"/>
          <w:lang w:val="es-MX"/>
        </w:rPr>
        <w:t xml:space="preserve"> al cargar la página. NO es un bug — es un widget WordPress estándar. La extracción estática inicial lo confundió con placeholder. Eliminada como señal de alerta.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 xml:space="preserve">Página /home-logistic/ existe en la URL pero </w:t>
      </w:r>
      <w:r>
        <w:rPr>
          <w:b/>
          <w:color w:val="1A1A1A"/>
          <w:sz w:val="20"/>
          <w:lang w:val="es-MX"/>
        </w:rPr>
        <w:t>no está enlazada en la navegación principal</w:t>
      </w:r>
      <w:r>
        <w:rPr>
          <w:color w:val="1A1A1A"/>
          <w:sz w:val="20"/>
          <w:lang w:val="es-MX"/>
        </w:rPr>
        <w:t xml:space="preserve"> del sitio según verificación del operador. Es probablemente un artefacto de desarrollo dejado accesible por URL directa pero no presentado al cliente típico que navega por menús. Reducido de "señal de alerta" a "deuda técnica menor — limpiar URL pública cuando se haga refresh del sitio".</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Inconsistencias internas en teléfonos: Guadalajara reportado como (33) 1831-0560 en landing vs (33) 2300-3757 / (33) 2300-3759 en /contacto/. Probablemente número viejo no actualizado. Pequeño.</w:t>
      </w:r>
    </w:p>
    <w:p>
      <w:pPr>
        <w:pStyle w:val="Normal"/>
        <w:spacing w:before="80" w:after="40"/>
        <w:rPr>
          <w:lang w:val="es-MX"/>
        </w:rPr>
      </w:pPr>
      <w:r>
        <w:rPr>
          <w:b/>
          <w:color w:val="0C1A2E"/>
          <w:sz w:val="20"/>
          <w:lang w:val="es-MX"/>
        </w:rPr>
        <w:t>LinkedIn:</w:t>
      </w:r>
    </w:p>
    <w:p>
      <w:pPr>
        <w:pStyle w:val="ListBullet"/>
        <w:numPr>
          <w:ilvl w:val="0"/>
          <w:numId w:val="1"/>
        </w:numPr>
        <w:spacing w:before="0" w:after="40"/>
        <w:contextualSpacing/>
        <w:rPr>
          <w:lang w:val="es-MX"/>
        </w:rPr>
      </w:pPr>
      <w:r>
        <w:rPr>
          <w:color w:val="1A1A1A"/>
          <w:sz w:val="20"/>
          <w:lang w:val="es-MX"/>
        </w:rPr>
        <w:t xml:space="preserve">❌ </w:t>
      </w:r>
      <w:r>
        <w:rPr>
          <w:b/>
          <w:color w:val="1A1A1A"/>
          <w:sz w:val="20"/>
          <w:lang w:val="es-MX"/>
        </w:rPr>
        <w:t>NO existe página corporativa identificable.</w:t>
      </w:r>
      <w:r>
        <w:rPr>
          <w:color w:val="1A1A1A"/>
          <w:sz w:val="20"/>
          <w:lang w:val="es-MX"/>
        </w:rPr>
        <w:t xml:space="preserve"> El handle linkedin.com/company/trix-logistics/ es de una empresa distinta — Trix Logistics, paquetería en Leicester UK con 4 empleados, no relacionada. Andrea/Hector probablemente no han creado la página corporativa MX.</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Hector Leyva (dueño) tiene 2 perfiles personales LinkedIn como "Owner — TRIXX LOGISTICS CORP" (Los Angeles).</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Andrea Chávez no se encontró en LinkedIn público (probablemente perfil privado o sin presencia).</w:t>
      </w:r>
    </w:p>
    <w:p>
      <w:pPr>
        <w:pStyle w:val="Normal"/>
        <w:spacing w:before="20" w:after="60"/>
        <w:rPr>
          <w:lang w:val="es-MX"/>
        </w:rPr>
      </w:pPr>
      <w:r>
        <w:rPr>
          <w:color w:val="1A1A1A"/>
          <w:sz w:val="20"/>
          <w:lang w:val="es-MX"/>
        </w:rPr>
        <w:t xml:space="preserve">&gt; 🔍 </w:t>
      </w:r>
      <w:r>
        <w:rPr>
          <w:b/>
          <w:color w:val="1A1A1A"/>
          <w:sz w:val="20"/>
          <w:lang w:val="es-MX"/>
        </w:rPr>
        <w:t>Análisis:</w:t>
      </w:r>
      <w:r>
        <w:rPr>
          <w:color w:val="1A1A1A"/>
          <w:sz w:val="20"/>
          <w:lang w:val="es-MX"/>
        </w:rPr>
        <w:t xml:space="preserve"> La ausencia de LinkedIn corporativo para una empresa de 24 años con 5 sedes es una brecha significativa. Implica que captación B2B se hace 100% por red personal + referidos (como el de Sofía → Andrea → Ricardo), no por inbound digital.</w:t>
      </w:r>
    </w:p>
    <w:p>
      <w:pPr>
        <w:pStyle w:val="Normal"/>
        <w:spacing w:before="80" w:after="40"/>
        <w:rPr>
          <w:lang w:val="es-MX"/>
        </w:rPr>
      </w:pPr>
      <w:r>
        <w:rPr>
          <w:b/>
          <w:color w:val="0C1A2E"/>
          <w:sz w:val="20"/>
          <w:lang w:val="es-MX"/>
        </w:rPr>
        <w:t>Otras redes sociales:</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Instagram: https://www.instagram.com/trixxlogistics/ — cuenta confirmada activa (URL validada por el operador). Métricas no extraíbles via fetch automatizado (anti-scraping de Meta). Revisión manual pendiente para # seguidores, frecuencia de posts, calidad visual.</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Facebook: listado en el footer pero no verificado en profundidad.</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YouTube/TikTok/X: no encontrados.</w:t>
      </w:r>
    </w:p>
    <w:p>
      <w:pPr>
        <w:pStyle w:val="Normal"/>
        <w:spacing w:before="80" w:after="40"/>
        <w:rPr>
          <w:lang w:val="es-MX"/>
        </w:rPr>
      </w:pPr>
      <w:r>
        <w:rPr>
          <w:b/>
          <w:color w:val="0C1A2E"/>
          <w:sz w:val="20"/>
          <w:lang w:val="es-MX"/>
        </w:rPr>
        <w:t>Reseñas y reputación:</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Google reviews para la sede Tijuana: no surgieron en búsqueda; requiere consulta directa en Google Maps.</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Yelp listing existe para sede Vernon CA (yelp.com/biz/trixx-logistics-vernon) — categorizada como "Customs Brokers". Reseñas no extraíbles via fetch (HTTP 403).</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Profeco: no se encontraron quejas registradas en búsqueda pública.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Trustpilot: no encontrado.</w:t>
      </w:r>
    </w:p>
    <w:p>
      <w:pPr>
        <w:pStyle w:val="Normal"/>
        <w:spacing w:before="80" w:after="40"/>
        <w:rPr>
          <w:lang w:val="es-MX"/>
        </w:rPr>
      </w:pPr>
      <w:r>
        <w:rPr>
          <w:b/>
          <w:color w:val="0C1A2E"/>
          <w:sz w:val="20"/>
          <w:lang w:val="es-MX"/>
        </w:rPr>
        <w:t>Puntuación de Madurez Digital: 2 / 5</w:t>
      </w:r>
    </w:p>
    <w:p>
      <w:pPr>
        <w:pStyle w:val="Normal"/>
        <w:spacing w:before="20" w:after="60"/>
        <w:rPr>
          <w:lang w:val="es-MX"/>
        </w:rPr>
      </w:pPr>
      <w:r>
        <w:rPr>
          <w:b/>
          <w:color w:val="1A1A1A"/>
          <w:sz w:val="20"/>
          <w:lang w:val="es-MX"/>
        </w:rPr>
        <w:t>Justificación:</w:t>
      </w:r>
      <w:r>
        <w:rPr>
          <w:color w:val="1A1A1A"/>
          <w:sz w:val="20"/>
          <w:lang w:val="es-MX"/>
        </w:rPr>
        <w:t xml:space="preserve"> Tienen presencia web funcional (idiomas ES+ZH-CN, contactos con click-to-WhatsApp + iconos sociales, descripción de servicios, contador animado de antigüedad). Aspectos sólidos del sitio. Limitaciones reales: </w:t>
      </w:r>
      <w:r>
        <w:rPr>
          <w:b/>
          <w:color w:val="1A1A1A"/>
          <w:sz w:val="20"/>
          <w:lang w:val="es-MX"/>
        </w:rPr>
        <w:t>no existe LinkedIn corporativo MX</w:t>
      </w:r>
      <w:r>
        <w:rPr>
          <w:color w:val="1A1A1A"/>
          <w:sz w:val="20"/>
          <w:lang w:val="es-MX"/>
        </w:rPr>
        <w:t xml:space="preserve"> (el handle trix-logistics lo ocupa otra empresa UK), </w:t>
      </w:r>
      <w:r>
        <w:rPr>
          <w:b/>
          <w:color w:val="1A1A1A"/>
          <w:sz w:val="20"/>
          <w:lang w:val="es-MX"/>
        </w:rPr>
        <w:t>no hay portal de tracking propio</w:t>
      </w:r>
      <w:r>
        <w:rPr>
          <w:color w:val="1A1A1A"/>
          <w:sz w:val="20"/>
          <w:lang w:val="es-MX"/>
        </w:rPr>
        <w:t xml:space="preserve"> para que clientes consulten estado de envío (esto es lo que separa 2/5 de 3/5+ en logística), </w:t>
      </w:r>
      <w:r>
        <w:rPr>
          <w:b/>
          <w:color w:val="1A1A1A"/>
          <w:sz w:val="20"/>
          <w:lang w:val="es-MX"/>
        </w:rPr>
        <w:t>no hay cotizador funcional</w:t>
      </w:r>
      <w:r>
        <w:rPr>
          <w:color w:val="1A1A1A"/>
          <w:sz w:val="20"/>
          <w:lang w:val="es-MX"/>
        </w:rPr>
        <w:t xml:space="preserve"> (la página /home-logistic/ con tarifas demo está en una URL no enlazada en navegación), </w:t>
      </w:r>
      <w:r>
        <w:rPr>
          <w:b/>
          <w:color w:val="1A1A1A"/>
          <w:sz w:val="20"/>
          <w:lang w:val="es-MX"/>
        </w:rPr>
        <w:t>no hay CRM ni segmentación visible</w:t>
      </w:r>
      <w:r>
        <w:rPr>
          <w:color w:val="1A1A1A"/>
          <w:sz w:val="20"/>
          <w:lang w:val="es-MX"/>
        </w:rPr>
        <w:t xml:space="preserve"> en el email general management@. WhatsApp y email son operativos pero sin estructura de routing. Coincide con la auto-evaluación textual de la contacto: "la verdad estamos muy atrás en programas y tecnología."</w:t>
      </w:r>
    </w:p>
    <w:p>
      <w:pPr>
        <w:pStyle w:val="Normal"/>
        <w:spacing w:before="20" w:after="60"/>
        <w:rPr>
          <w:lang w:val="es-MX"/>
        </w:rPr>
      </w:pPr>
      <w:r>
        <w:rPr>
          <w:color w:val="1A1A1A"/>
          <w:sz w:val="20"/>
          <w:lang w:val="es-MX"/>
        </w:rPr>
        <w:t>Fuentes consultadas: trixx-logistics.com (todas las páginas internas), LinkedIn (búsquedas), Instagram (fetch limitado), Yelp Vernon (fetch limitado), búsquedas Google reviews/Profeco.</w:t>
      </w:r>
    </w:p>
    <w:p>
      <w:pPr>
        <w:pStyle w:val="Normal"/>
        <w:pBdr>
          <w:bottom w:val="single" w:sz="4" w:space="1" w:color="0EA5E9"/>
        </w:pBdr>
        <w:spacing w:before="280" w:after="60"/>
        <w:rPr>
          <w:lang w:val="es-MX"/>
        </w:rPr>
      </w:pPr>
      <w:r>
        <w:rPr>
          <w:b/>
          <w:color w:val="0EA5E9"/>
          <w:sz w:val="28"/>
          <w:lang w:val="es-MX"/>
        </w:rPr>
        <w:t>4. DATOS FINANCIEROS</w:t>
      </w:r>
    </w:p>
    <w:p>
      <w:pPr>
        <w:pStyle w:val="Normal"/>
        <w:spacing w:before="20" w:after="60"/>
        <w:rPr>
          <w:lang w:val="es-MX"/>
        </w:rPr>
      </w:pPr>
      <w:r>
        <w:rPr>
          <w:color w:val="1A1A1A"/>
          <w:sz w:val="20"/>
          <w:lang w:val="es-MX"/>
        </w:rPr>
        <w:t xml:space="preserve">&gt; ⚠️ </w:t>
      </w:r>
      <w:r>
        <w:rPr>
          <w:b/>
          <w:color w:val="1A1A1A"/>
          <w:sz w:val="20"/>
          <w:lang w:val="es-MX"/>
        </w:rPr>
        <w:t>México: los estados financieros NO son obligatoriamente públicos para empresas privadas no listadas en BMV. Trix Importaciones Comerciales S. de R.L. de C.V. NO cotiza en BMV.</w:t>
      </w:r>
      <w:r>
        <w:rPr>
          <w:color w:val="1A1A1A"/>
          <w:sz w:val="20"/>
          <w:lang w:val="es-MX"/>
        </w:rPr>
        <w:t xml:space="preserve"> Esta sección reporta solo lo que se pudo encontrar en fuentes abiertas.</w:t>
      </w:r>
    </w:p>
    <w:p>
      <w:pPr>
        <w:pStyle w:val="Normal"/>
        <w:spacing w:before="20" w:after="60"/>
        <w:rPr>
          <w:lang w:val="es-MX"/>
        </w:rPr>
      </w:pPr>
      <w:r>
        <w:rPr>
          <w:b/>
          <w:color w:val="1A1A1A"/>
          <w:sz w:val="20"/>
          <w:lang w:val="es-MX"/>
        </w:rPr>
        <w:t>Período de reporte:</w:t>
      </w:r>
      <w:r>
        <w:rPr>
          <w:color w:val="1A1A1A"/>
          <w:sz w:val="20"/>
          <w:lang w:val="es-MX"/>
        </w:rPr>
        <w:t xml:space="preserve"> ❓ No disponible públicamente.</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Indicador</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Periodo Actual</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Periodo Anterior</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Variación</w:t>
            </w:r>
          </w:p>
        </w:tc>
        <w:tc>
          <w:tcPr>
            <w:tcW w:w="1813"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Etiqueta</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Ingresos operacionales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Costo de ventas</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Ganancia bruta</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Utilidad operacional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Utilidad neta</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Total activos</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Total pasivos</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Patrimonio total</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c>
          <w:tcPr>
            <w:tcW w:w="1813"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bl>
    <w:p>
      <w:pPr>
        <w:pStyle w:val="Normal"/>
        <w:rPr>
          <w:lang w:val="es-MX"/>
        </w:rPr>
      </w:pPr>
      <w:r>
        <w:rPr>
          <w:lang w:val="es-MX"/>
        </w:rPr>
      </w:r>
    </w:p>
    <w:p>
      <w:pPr>
        <w:pStyle w:val="Normal"/>
        <w:spacing w:before="80" w:after="40"/>
        <w:rPr>
          <w:lang w:val="es-MX"/>
        </w:rPr>
      </w:pPr>
      <w:r>
        <w:rPr>
          <w:b/>
          <w:color w:val="0C1A2E"/>
          <w:sz w:val="20"/>
          <w:lang w:val="es-MX"/>
        </w:rPr>
        <w:t>Indicadores operativos públicos (sustituto de financieros):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Indicador</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Valor</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Fuente</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Etiqueta</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Unidades de transporte (US)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12 power units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 FMCSA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Conductores reportados (US)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9</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 FMCSA</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Millas anuales 2024 (US)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571,370 mi</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MCS-150 form</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Crashes reportables 24m</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0</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Inspecciones US 24m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53</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Vehicle OOS rate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19.1% (vs 22.26% nacional)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Driver OOS rate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5.7% (vs 6.67% nacional)</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Safety rating formal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Non-Ratable (sin auditoría formal)</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 (review 2022-08-25)</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bl>
    <w:p>
      <w:pPr>
        <w:pStyle w:val="Normal"/>
        <w:rPr>
          <w:lang w:val="es-MX"/>
        </w:rPr>
      </w:pPr>
      <w:r>
        <w:rPr>
          <w:lang w:val="es-MX"/>
        </w:rPr>
      </w:r>
    </w:p>
    <w:p>
      <w:pPr>
        <w:pStyle w:val="Normal"/>
        <w:spacing w:before="80" w:after="40"/>
        <w:rPr>
          <w:lang w:val="es-MX"/>
        </w:rPr>
      </w:pPr>
      <w:r>
        <w:rPr>
          <w:b/>
          <w:color w:val="0C1A2E"/>
          <w:sz w:val="20"/>
          <w:lang w:val="es-MX"/>
        </w:rPr>
        <w:t>Estimación de ingresos (⚠️ inferencia, no dato verificado):</w:t>
      </w:r>
    </w:p>
    <w:p>
      <w:pPr>
        <w:pStyle w:val="Normal"/>
        <w:spacing w:before="20" w:after="60"/>
        <w:rPr>
          <w:lang w:val="es-MX"/>
        </w:rPr>
      </w:pPr>
      <w:r>
        <w:rPr>
          <w:color w:val="1A1A1A"/>
          <w:sz w:val="20"/>
          <w:lang w:val="es-MX"/>
        </w:rPr>
        <w:t xml:space="preserve">&gt; 🔍 </w:t>
      </w:r>
      <w:r>
        <w:rPr>
          <w:b/>
          <w:color w:val="1A1A1A"/>
          <w:sz w:val="20"/>
          <w:lang w:val="es-MX"/>
        </w:rPr>
        <w:t>Análisis:</w:t>
      </w:r>
      <w:r>
        <w:rPr>
          <w:color w:val="1A1A1A"/>
          <w:sz w:val="20"/>
          <w:lang w:val="es-MX"/>
        </w:rPr>
        <w:t xml:space="preserve"> Para un freight forwarder + agencia aduanal mediano en MX con 5 sedes, flota propia (12 trucks), Chinese-import + cross-border + paquetería, una estimación de ingresos consolidados (MX + US) probablemente está en el rango </w:t>
      </w:r>
      <w:r>
        <w:rPr>
          <w:b/>
          <w:color w:val="1A1A1A"/>
          <w:sz w:val="20"/>
          <w:lang w:val="es-MX"/>
        </w:rPr>
        <w:t>USD 3-12 millones anuales</w:t>
      </w:r>
      <w:r>
        <w:rPr>
          <w:color w:val="1A1A1A"/>
          <w:sz w:val="20"/>
          <w:lang w:val="es-MX"/>
        </w:rPr>
        <w:t>. Esto es un orden de magnitud, NO un dato. Confirmación real requiere RFQ o cifras compartidas en la reunión.</w:t>
      </w:r>
    </w:p>
    <w:p>
      <w:pPr>
        <w:pStyle w:val="Normal"/>
        <w:spacing w:before="80" w:after="40"/>
        <w:rPr>
          <w:lang w:val="es-MX"/>
        </w:rPr>
      </w:pPr>
      <w:r>
        <w:rPr>
          <w:b/>
          <w:color w:val="0C1A2E"/>
          <w:sz w:val="20"/>
          <w:lang w:val="es-MX"/>
        </w:rPr>
        <w:t>Indicadores calculados:</w:t>
      </w:r>
    </w:p>
    <w:p>
      <w:pPr>
        <w:pStyle w:val="ListBullet"/>
        <w:numPr>
          <w:ilvl w:val="0"/>
          <w:numId w:val="1"/>
        </w:numPr>
        <w:spacing w:before="0" w:after="40"/>
        <w:contextualSpacing/>
        <w:rPr>
          <w:lang w:val="es-MX"/>
        </w:rPr>
      </w:pPr>
      <w:r>
        <w:rPr>
          <w:color w:val="1A1A1A"/>
          <w:sz w:val="20"/>
          <w:lang w:val="es-MX"/>
        </w:rPr>
        <w:t xml:space="preserve">Margen bruto, neto, endeudamiento, ingresos USD: </w:t>
      </w:r>
      <w:r>
        <w:rPr>
          <w:b/>
          <w:color w:val="1A1A1A"/>
          <w:sz w:val="20"/>
          <w:lang w:val="es-MX"/>
        </w:rPr>
        <w:t>❓ No calculables sin estados financieros.</w:t>
      </w:r>
    </w:p>
    <w:p>
      <w:pPr>
        <w:pStyle w:val="Normal"/>
        <w:spacing w:before="80" w:after="40"/>
        <w:rPr>
          <w:lang w:val="es-MX"/>
        </w:rPr>
      </w:pPr>
      <w:r>
        <w:rPr>
          <w:b/>
          <w:color w:val="0C1A2E"/>
          <w:sz w:val="20"/>
          <w:lang w:val="es-MX"/>
        </w:rPr>
        <w:t>Interpretación financiera:</w:t>
      </w:r>
    </w:p>
    <w:p>
      <w:pPr>
        <w:pStyle w:val="ListBullet"/>
        <w:numPr>
          <w:ilvl w:val="0"/>
          <w:numId w:val="1"/>
        </w:numPr>
        <w:spacing w:before="0" w:after="40"/>
        <w:contextualSpacing/>
        <w:rPr>
          <w:lang w:val="es-MX"/>
        </w:rPr>
      </w:pPr>
      <w:r>
        <w:rPr>
          <w:color w:val="1A1A1A"/>
          <w:sz w:val="20"/>
          <w:lang w:val="es-MX"/>
        </w:rPr>
        <w:t xml:space="preserve">La empresa tiene </w:t>
      </w:r>
      <w:r>
        <w:rPr>
          <w:b/>
          <w:color w:val="1A1A1A"/>
          <w:sz w:val="20"/>
          <w:lang w:val="es-MX"/>
        </w:rPr>
        <w:t>operación tangible verificable</w:t>
      </w:r>
      <w:r>
        <w:rPr>
          <w:color w:val="1A1A1A"/>
          <w:sz w:val="20"/>
          <w:lang w:val="es-MX"/>
        </w:rPr>
        <w:t xml:space="preserve"> (USDOT activo, 0 crashes, OOS rates mejores que media nacional, MCS-150 actualizado en 2025 → operación viva).</w:t>
      </w:r>
    </w:p>
    <w:p>
      <w:pPr>
        <w:pStyle w:val="ListBullet"/>
        <w:numPr>
          <w:ilvl w:val="0"/>
          <w:numId w:val="1"/>
        </w:numPr>
        <w:spacing w:before="0" w:after="40"/>
        <w:contextualSpacing/>
        <w:rPr>
          <w:lang w:val="es-MX"/>
        </w:rPr>
      </w:pPr>
      <w:r>
        <w:rPr>
          <w:color w:val="1A1A1A"/>
          <w:sz w:val="20"/>
          <w:lang w:val="es-MX"/>
        </w:rPr>
        <w:t xml:space="preserve">Sin embargo, la </w:t>
      </w:r>
      <w:r>
        <w:rPr>
          <w:b/>
          <w:color w:val="1A1A1A"/>
          <w:sz w:val="20"/>
          <w:lang w:val="es-MX"/>
        </w:rPr>
        <w:t>ausencia de datos financieros públicos es la norma en México</w:t>
      </w:r>
      <w:r>
        <w:rPr>
          <w:color w:val="1A1A1A"/>
          <w:sz w:val="20"/>
          <w:lang w:val="es-MX"/>
        </w:rPr>
        <w:t xml:space="preserve"> para PyMEs no listadas — no es señal negativa.</w:t>
      </w:r>
    </w:p>
    <w:p>
      <w:pPr>
        <w:pStyle w:val="ListBullet"/>
        <w:numPr>
          <w:ilvl w:val="0"/>
          <w:numId w:val="1"/>
        </w:numPr>
        <w:spacing w:before="0" w:after="40"/>
        <w:contextualSpacing/>
        <w:rPr>
          <w:lang w:val="es-MX"/>
        </w:rPr>
      </w:pPr>
      <w:r>
        <w:rPr>
          <w:color w:val="1A1A1A"/>
          <w:sz w:val="20"/>
          <w:lang w:val="es-MX"/>
        </w:rPr>
        <w:t xml:space="preserve">⚠️ </w:t>
      </w:r>
      <w:r>
        <w:rPr>
          <w:color w:val="1A1A1A"/>
          <w:sz w:val="20"/>
          <w:lang w:val="es-MX"/>
        </w:rPr>
        <w:t>La señal de presupuesto (sección 10) se basa en proxies (tamaño operacional, multi-sitio, flota propia), no en P&amp;L.</w:t>
      </w:r>
    </w:p>
    <w:p>
      <w:pPr>
        <w:pStyle w:val="Normal"/>
        <w:spacing w:before="20" w:after="60"/>
        <w:rPr>
          <w:lang w:val="es-MX"/>
        </w:rPr>
      </w:pPr>
      <w:r>
        <w:rPr>
          <w:color w:val="1A1A1A"/>
          <w:sz w:val="20"/>
          <w:lang w:val="es-MX"/>
        </w:rPr>
        <w:t>Fuente: SAFER FMCSA (USDOT 2045279) + D&amp;B + Creditsafe (snippet) + sitio oficial. No disponible en SAT, no cotiza en BMV.</w:t>
      </w:r>
    </w:p>
    <w:p>
      <w:pPr>
        <w:pStyle w:val="Normal"/>
        <w:pBdr>
          <w:bottom w:val="single" w:sz="4" w:space="1" w:color="0EA5E9"/>
        </w:pBdr>
        <w:spacing w:before="280" w:after="60"/>
        <w:rPr>
          <w:lang w:val="es-MX"/>
        </w:rPr>
      </w:pPr>
      <w:r>
        <w:rPr>
          <w:b/>
          <w:color w:val="0EA5E9"/>
          <w:sz w:val="28"/>
          <w:lang w:val="es-MX"/>
        </w:rPr>
        <w:t>5. ANÁLISIS FODA</w:t>
      </w:r>
    </w:p>
    <w:p>
      <w:pPr>
        <w:pStyle w:val="Normal"/>
        <w:spacing w:before="160" w:after="40"/>
        <w:rPr>
          <w:lang w:val="es-MX"/>
        </w:rPr>
      </w:pPr>
      <w:r>
        <w:rPr>
          <w:b/>
          <w:color w:val="6B7280"/>
          <w:sz w:val="22"/>
          <w:lang w:val="es-MX"/>
        </w:rPr>
        <w:t>Fortalezas (internas, positivas)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Cross-border real con huella física en 5 sedes</w:t>
      </w:r>
      <w:r>
        <w:rPr>
          <w:color w:val="1A1A1A"/>
          <w:sz w:val="20"/>
          <w:lang w:val="es-MX"/>
        </w:rPr>
        <w:t xml:space="preserve"> (3 MX + 2 US). No es nicho ni broker puro — tienen warehouses operativos a ambos lados. Replicar esto toma 5+ años para un competidor nuevo.</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24 años de operación + flota propia</w:t>
      </w:r>
      <w:r>
        <w:rPr>
          <w:color w:val="1A1A1A"/>
          <w:sz w:val="20"/>
          <w:lang w:val="es-MX"/>
        </w:rPr>
        <w:t xml:space="preserve"> (12 trucks US, 9 drivers, 571K mi/año 2024). Relaciones aduanales y operativas establecidas. USDOT activo, 0 crashes 24m, OOS rates mejores que media nacional.</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Diferenciación lingüística Español + Chino simplificado</w:t>
      </w:r>
      <w:r>
        <w:rPr>
          <w:color w:val="1A1A1A"/>
          <w:sz w:val="20"/>
          <w:lang w:val="es-MX"/>
        </w:rPr>
        <w:t>. Pocos competidores en TJ trabajan este vector explícitamente. Capta el flow China→US warehouse→MX consumer.</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Multimodal real</w:t>
      </w:r>
      <w:r>
        <w:rPr>
          <w:color w:val="1A1A1A"/>
          <w:sz w:val="20"/>
          <w:lang w:val="es-MX"/>
        </w:rPr>
        <w:t xml:space="preserve"> (aéreo + marítimo + terrestre + paquetería) bajo un mismo techo + agencia aduanal + warehousing. El cliente full-service puede contratar todo aquí en vez de 4 proveedores.</w:t>
      </w:r>
    </w:p>
    <w:p>
      <w:pPr>
        <w:pStyle w:val="Normal"/>
        <w:spacing w:before="160" w:after="40"/>
        <w:rPr>
          <w:lang w:val="es-MX"/>
        </w:rPr>
      </w:pPr>
      <w:r>
        <w:rPr>
          <w:b/>
          <w:color w:val="6B7280"/>
          <w:sz w:val="22"/>
          <w:lang w:val="es-MX"/>
        </w:rPr>
        <w:t>Oportunidades (externas, positivas)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Nearshoring / reshoring USA-MX 2024-2026:</w:t>
      </w:r>
      <w:r>
        <w:rPr>
          <w:color w:val="1A1A1A"/>
          <w:sz w:val="20"/>
          <w:lang w:val="es-MX"/>
        </w:rPr>
        <w:t xml:space="preserve"> vientos de cola sectoriales fuertes. Tijuana es epicentro. Sectores: automotriz, electrónica, medical devices. ✅ Confirmado por publicaciones de prensa logística MX (genéricas — no específicas a Trixx).</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E-commerce cross-border MX (Amazon MX + Mercado Libre)</w:t>
      </w:r>
      <w:r>
        <w:rPr>
          <w:color w:val="1A1A1A"/>
          <w:sz w:val="20"/>
          <w:lang w:val="es-MX"/>
        </w:rPr>
        <w:t xml:space="preserve"> sigue creciendo doble dígito; su modelo "import to warehouse → deliver to MX customer" mapea exactamente a este uso.</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IA aplicada a aduanas</w:t>
      </w:r>
      <w:r>
        <w:rPr>
          <w:color w:val="1A1A1A"/>
          <w:sz w:val="20"/>
          <w:lang w:val="es-MX"/>
        </w:rPr>
        <w:t xml:space="preserve"> (clasificación arancelaria, OCR de pedimentos, predictive customs duties, anomaly detection en lotes) está en momento de adopción acelerada en LatAm — early adopters tienen ventana competitiva 12-24 meses.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Visibilidad digital subexplotada:</w:t>
      </w:r>
      <w:r>
        <w:rPr>
          <w:color w:val="1A1A1A"/>
          <w:sz w:val="20"/>
          <w:lang w:val="es-MX"/>
        </w:rPr>
        <w:t xml:space="preserve"> la ausencia de LinkedIn corporativo + sitio con bugs es una brecha aprovechable con inversión modesta. CRM + inbound digital puede expandir el funnel más allá del referido.</w:t>
      </w:r>
    </w:p>
    <w:p>
      <w:pPr>
        <w:pStyle w:val="Normal"/>
        <w:spacing w:before="160" w:after="40"/>
        <w:rPr>
          <w:lang w:val="es-MX"/>
        </w:rPr>
      </w:pPr>
      <w:r>
        <w:rPr>
          <w:b/>
          <w:color w:val="6B7280"/>
          <w:sz w:val="22"/>
          <w:lang w:val="es-MX"/>
        </w:rPr>
        <w:t>Debilidades (internas, negativas)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Madurez digital baja, declarada por la propia empresa</w:t>
      </w:r>
      <w:r>
        <w:rPr>
          <w:color w:val="1A1A1A"/>
          <w:sz w:val="20"/>
          <w:lang w:val="es-MX"/>
        </w:rPr>
        <w:t xml:space="preserve"> ("muy atrás en programas y tecnología" — cita textual de Andrea Chávez). Sin tracking portal propio, sin CRM visible, sin automatizaciones de cara al cliente.</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Sitio web con activos sólidos pero brechas funcionales:</w:t>
      </w:r>
      <w:r>
        <w:rPr>
          <w:color w:val="1A1A1A"/>
          <w:sz w:val="20"/>
          <w:lang w:val="es-MX"/>
        </w:rPr>
        <w:t xml:space="preserve"> click-to-WhatsApp + iconos sociales + contador animado funcionan bien. Lo que falta para 3/5: ausencia de portal de tracking propio para clientes y ausencia de cotizador funcional. Esto deja al equipo respondiendo manualmente cada pregunta de status + cada RFQ — y limita la diferenciación digital frente a tech-enabled forwarders.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Sin LinkedIn corporativo</w:t>
      </w:r>
      <w:r>
        <w:rPr>
          <w:color w:val="1A1A1A"/>
          <w:sz w:val="20"/>
          <w:lang w:val="es-MX"/>
        </w:rPr>
        <w:t xml:space="preserve"> para una empresa de 24 años con 5 sedes. Brecha de marketing inbound severa. El handle trix-logistics lo ocupa otra empresa en UK.</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Patente aduanal no expuesta públicamente</w:t>
      </w:r>
      <w:r>
        <w:rPr>
          <w:color w:val="1A1A1A"/>
          <w:sz w:val="20"/>
          <w:lang w:val="es-MX"/>
        </w:rPr>
        <w:t xml:space="preserve"> — la regulación mexicana no obliga, pero competidores serios (Aispuro, Arellano, Integración Aduanal) sí la muestran. Puede leerse como falta de transparencia o de capacidad propia (operan vía patente prestada / asociado).</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Concentración informal de poder de decisión:</w:t>
      </w:r>
      <w:r>
        <w:rPr>
          <w:color w:val="1A1A1A"/>
          <w:sz w:val="20"/>
          <w:lang w:val="es-MX"/>
        </w:rPr>
        <w:t xml:space="preserve"> estructura familiar (dueño + su "tía" la madre de Andrea + Andrea) en mismo equipo. Velocidad alta en decisiones pequeñas; potencialmente sesgo en decisiones grandes.</w:t>
      </w:r>
    </w:p>
    <w:p>
      <w:pPr>
        <w:pStyle w:val="Normal"/>
        <w:spacing w:before="160" w:after="40"/>
        <w:rPr>
          <w:lang w:val="es-MX"/>
        </w:rPr>
      </w:pPr>
      <w:r>
        <w:rPr>
          <w:b/>
          <w:color w:val="6B7280"/>
          <w:sz w:val="22"/>
          <w:lang w:val="es-MX"/>
        </w:rPr>
        <w:t>Amenazas (externas, negativas)</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Competencia robusta en Tijuana:</w:t>
      </w:r>
      <w:r>
        <w:rPr>
          <w:color w:val="1A1A1A"/>
          <w:sz w:val="20"/>
          <w:lang w:val="es-MX"/>
        </w:rPr>
        <w:t xml:space="preserve"> TCI, Aispuro Lavenant, Grupo Aduanal Arellano, Integración Aduanal, AE Comercializadora. Plaza saturada de agencias aduanales con +20 años de operación.</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Regulación cambiante:</w:t>
      </w:r>
      <w:r>
        <w:rPr>
          <w:color w:val="1A1A1A"/>
          <w:sz w:val="20"/>
          <w:lang w:val="es-MX"/>
        </w:rPr>
        <w:t xml:space="preserve"> CFDI 4.0 + Complemento Carta Porte 3.0 + USMCA review programado 2026 + cambios en patente aduanal (transición a "agencia aduanal" con responsabilidades distintas). Sin tech de cumplimiento, costo de adaptación es alto.</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Tech-enabled forwarders globales</w:t>
      </w:r>
      <w:r>
        <w:rPr>
          <w:color w:val="1A1A1A"/>
          <w:sz w:val="20"/>
          <w:lang w:val="es-MX"/>
        </w:rPr>
        <w:t xml:space="preserve"> (Flexport, Forto, Convoy spin-offs) bajan precio para clientes mid-market y elevan la barra de UX. Pueden capturar clientes Chinese-import migrando a plataforma digital.</w:t>
      </w:r>
    </w:p>
    <w:p>
      <w:pPr>
        <w:pStyle w:val="ListNumber"/>
        <w:numPr>
          <w:ilvl w:val="0"/>
          <w:numId w:val="4"/>
        </w:numPr>
        <w:spacing w:before="0" w:after="40"/>
        <w:contextualSpacing/>
        <w:rPr>
          <w:lang w:val="es-MX"/>
        </w:rPr>
      </w:pPr>
      <w:r>
        <w:rPr>
          <w:color w:val="1A1A1A"/>
          <w:sz w:val="20"/>
          <w:lang w:val="es-MX"/>
        </w:rPr>
        <w:t xml:space="preserve">⚠️ </w:t>
      </w:r>
      <w:r>
        <w:rPr>
          <w:b/>
          <w:color w:val="1A1A1A"/>
          <w:sz w:val="20"/>
          <w:lang w:val="es-MX"/>
        </w:rPr>
        <w:t>Volatilidad MXN/USD</w:t>
      </w:r>
      <w:r>
        <w:rPr>
          <w:color w:val="1A1A1A"/>
          <w:sz w:val="20"/>
          <w:lang w:val="es-MX"/>
        </w:rPr>
        <w:t xml:space="preserve"> afecta márgenes en transacciones US-denominated. 2024-2025 ha sido especialmente volátil.</w:t>
      </w:r>
    </w:p>
    <w:p>
      <w:pPr>
        <w:pStyle w:val="Normal"/>
        <w:pBdr>
          <w:bottom w:val="single" w:sz="4" w:space="1" w:color="0EA5E9"/>
        </w:pBdr>
        <w:spacing w:before="280" w:after="60"/>
        <w:rPr>
          <w:lang w:val="es-MX"/>
        </w:rPr>
      </w:pPr>
      <w:r>
        <w:rPr>
          <w:b/>
          <w:color w:val="0EA5E9"/>
          <w:sz w:val="28"/>
          <w:lang w:val="es-MX"/>
        </w:rPr>
        <w:t>6. CINCO FUERZAS DE PORTER</w:t>
      </w:r>
    </w:p>
    <w:p>
      <w:pPr>
        <w:pStyle w:val="Normal"/>
        <w:spacing w:before="80" w:after="40"/>
        <w:rPr>
          <w:lang w:val="es-MX"/>
        </w:rPr>
      </w:pPr>
      <w:r>
        <w:rPr>
          <w:b/>
          <w:color w:val="0C1A2E"/>
          <w:sz w:val="20"/>
          <w:lang w:val="es-MX"/>
        </w:rPr>
        <w:t>Aplicadas al contexto de Trixx Logistics en logística cross-border MX-USA / agencia aduanal.</w:t>
      </w:r>
    </w:p>
    <w:p>
      <w:pPr>
        <w:pStyle w:val="Normal"/>
        <w:spacing w:before="80" w:after="40"/>
        <w:rPr>
          <w:lang w:val="es-MX"/>
        </w:rPr>
      </w:pPr>
      <w:r>
        <w:rPr>
          <w:b/>
          <w:color w:val="0C1A2E"/>
          <w:sz w:val="20"/>
          <w:lang w:val="es-MX"/>
        </w:rPr>
        <w:t>1. Rivalidad entre competidores existentes — ALTA.</w:t>
      </w:r>
    </w:p>
    <w:p>
      <w:pPr>
        <w:pStyle w:val="Normal"/>
        <w:spacing w:before="20" w:after="60"/>
        <w:rPr>
          <w:lang w:val="es-MX"/>
        </w:rPr>
      </w:pPr>
      <w:r>
        <w:rPr>
          <w:color w:val="1A1A1A"/>
          <w:sz w:val="20"/>
          <w:lang w:val="es-MX"/>
        </w:rPr>
        <w:t>Tijuana es plaza saturada de agencias aduanales y forwarders. Competidores directos visibles incluyen TCI, Aispuro Lavenant, Grupo Aduanal Arellano, Integración Aduanal. La Asociación de Agentes Aduanales de Tijuana y Tecate aglutina decenas de miembros con patente. La diferenciación en Chinese-import + flota propia + 5 sedes acota la rivalidad para ese sub-segmento, pero en aduanal general es commodity.</w:t>
      </w:r>
    </w:p>
    <w:p>
      <w:pPr>
        <w:pStyle w:val="Normal"/>
        <w:spacing w:before="80" w:after="40"/>
        <w:rPr>
          <w:lang w:val="es-MX"/>
        </w:rPr>
      </w:pPr>
      <w:r>
        <w:rPr>
          <w:b/>
          <w:color w:val="0C1A2E"/>
          <w:sz w:val="20"/>
          <w:lang w:val="es-MX"/>
        </w:rPr>
        <w:t>2. Amenaza de nuevos entrantes — MEDIA.</w:t>
      </w:r>
    </w:p>
    <w:p>
      <w:pPr>
        <w:pStyle w:val="Normal"/>
        <w:spacing w:before="20" w:after="60"/>
        <w:rPr>
          <w:lang w:val="es-MX"/>
        </w:rPr>
      </w:pPr>
      <w:r>
        <w:rPr>
          <w:color w:val="1A1A1A"/>
          <w:sz w:val="20"/>
          <w:lang w:val="es-MX"/>
        </w:rPr>
        <w:t>La barrera de la patente aduanal mexicana es alta (selección + escolaridad + examen + capital). Sin embargo, los nuevos entrantes ya no entran con patente propia — entran como tech-enabled forwarders subcontratando aduanas (Flexport, Forto, próximos LatAm players). Esto baja la barrera real.</w:t>
      </w:r>
    </w:p>
    <w:p>
      <w:pPr>
        <w:pStyle w:val="Normal"/>
        <w:spacing w:before="80" w:after="40"/>
        <w:rPr>
          <w:lang w:val="es-MX"/>
        </w:rPr>
      </w:pPr>
      <w:r>
        <w:rPr>
          <w:b/>
          <w:color w:val="0C1A2E"/>
          <w:sz w:val="20"/>
          <w:lang w:val="es-MX"/>
        </w:rPr>
        <w:t>3. Poder de negociación de clientes — MEDIO-ALTO.</w:t>
      </w:r>
    </w:p>
    <w:p>
      <w:pPr>
        <w:pStyle w:val="Normal"/>
        <w:spacing w:before="20" w:after="60"/>
        <w:rPr>
          <w:lang w:val="es-MX"/>
        </w:rPr>
      </w:pPr>
      <w:r>
        <w:rPr>
          <w:color w:val="1A1A1A"/>
          <w:sz w:val="20"/>
          <w:lang w:val="es-MX"/>
        </w:rPr>
        <w:t>Los clientes B2B grandes (importadores, manufactureras) tienen alternativas y RFQs sistemáticos. Los clientes pequeños (e-commerce cross-border, individuales Chinese-import) tienen menos poder de negociación. Trixx parece tener mix de ambos. El switching cost es bajo si los servicios son commodity.</w:t>
      </w:r>
    </w:p>
    <w:p>
      <w:pPr>
        <w:pStyle w:val="Normal"/>
        <w:spacing w:before="80" w:after="40"/>
        <w:rPr>
          <w:lang w:val="es-MX"/>
        </w:rPr>
      </w:pPr>
      <w:r>
        <w:rPr>
          <w:b/>
          <w:color w:val="0C1A2E"/>
          <w:sz w:val="20"/>
          <w:lang w:val="es-MX"/>
        </w:rPr>
        <w:t>4. Poder de negociación de proveedores — MEDIO.</w:t>
      </w:r>
    </w:p>
    <w:p>
      <w:pPr>
        <w:pStyle w:val="Normal"/>
        <w:spacing w:before="20" w:after="60"/>
        <w:rPr>
          <w:lang w:val="es-MX"/>
        </w:rPr>
      </w:pPr>
      <w:r>
        <w:rPr>
          <w:color w:val="1A1A1A"/>
          <w:sz w:val="20"/>
          <w:lang w:val="es-MX"/>
        </w:rPr>
        <w:t>Para flota propia: combustible, mantenimiento, drivers. Mercados competitivos. Para servicios aéreos/marítimos: navieras y aerolíneas tienen poder cuando hay congestión (post-pandemia 2021-2022 fue extremo; ahora normalizado). Proveedores locales en TJ son varios.</w:t>
      </w:r>
    </w:p>
    <w:p>
      <w:pPr>
        <w:pStyle w:val="Normal"/>
        <w:spacing w:before="80" w:after="40"/>
        <w:rPr>
          <w:lang w:val="es-MX"/>
        </w:rPr>
      </w:pPr>
      <w:r>
        <w:rPr>
          <w:b/>
          <w:color w:val="0C1A2E"/>
          <w:sz w:val="20"/>
          <w:lang w:val="es-MX"/>
        </w:rPr>
        <w:t>5. Amenaza de productos/servicios sustitutos — MEDIA.</w:t>
      </w:r>
    </w:p>
    <w:p>
      <w:pPr>
        <w:pStyle w:val="Normal"/>
        <w:spacing w:before="20" w:after="60"/>
        <w:rPr>
          <w:lang w:val="es-MX"/>
        </w:rPr>
      </w:pPr>
      <w:r>
        <w:rPr>
          <w:color w:val="1A1A1A"/>
          <w:sz w:val="20"/>
          <w:lang w:val="es-MX"/>
        </w:rPr>
        <w:t>Sustitutos directos: courier internacional (DHL, FedEx, UPS) para envíos pequeños; cross-border via Mercado Envíos / Amazon Logistics para retail; brokers digitales para empresas tech-fwd. El cliente que valora full-service + relación personal + Spanish-Chinese tiene menos sustitutos directos.</w:t>
      </w:r>
    </w:p>
    <w:p>
      <w:pPr>
        <w:pStyle w:val="Normal"/>
        <w:spacing w:before="80" w:after="40"/>
        <w:rPr>
          <w:lang w:val="es-MX"/>
        </w:rPr>
      </w:pPr>
      <w:r>
        <w:rPr>
          <w:b/>
          <w:color w:val="0C1A2E"/>
          <w:sz w:val="20"/>
          <w:lang w:val="es-MX"/>
        </w:rPr>
        <w:t>Implicación estratégica:</w:t>
      </w:r>
    </w:p>
    <w:p>
      <w:pPr>
        <w:pStyle w:val="Normal"/>
        <w:spacing w:before="20" w:after="60"/>
        <w:rPr>
          <w:lang w:val="es-MX"/>
        </w:rPr>
      </w:pPr>
      <w:r>
        <w:rPr>
          <w:color w:val="1A1A1A"/>
          <w:sz w:val="20"/>
          <w:lang w:val="es-MX"/>
        </w:rPr>
        <w:t xml:space="preserve">Trixx opera en un segmento competitivo (aduanal general) pero ha construido </w:t>
      </w:r>
      <w:r>
        <w:rPr>
          <w:b/>
          <w:color w:val="1A1A1A"/>
          <w:sz w:val="20"/>
          <w:lang w:val="es-MX"/>
        </w:rPr>
        <w:t>diferenciación defensible en cross-border + Chinese-import + multi-sede</w:t>
      </w:r>
      <w:r>
        <w:rPr>
          <w:color w:val="1A1A1A"/>
          <w:sz w:val="20"/>
          <w:lang w:val="es-MX"/>
        </w:rPr>
        <w:t>. La vulnerabilidad es la dimensión tech — un competidor tech-enabled puede mantenerse en commodity-pricing y ganar UX. Aquí está la ventana de Nexostrat.</w:t>
      </w:r>
    </w:p>
    <w:p>
      <w:pPr>
        <w:pStyle w:val="Normal"/>
        <w:pBdr>
          <w:bottom w:val="single" w:sz="4" w:space="1" w:color="0EA5E9"/>
        </w:pBdr>
        <w:spacing w:before="280" w:after="60"/>
        <w:rPr>
          <w:lang w:val="es-MX"/>
        </w:rPr>
      </w:pPr>
      <w:r>
        <w:rPr>
          <w:b/>
          <w:color w:val="0EA5E9"/>
          <w:sz w:val="28"/>
          <w:lang w:val="es-MX"/>
        </w:rPr>
        <w:t>7. CADENA DE VALOR</w:t>
      </w:r>
    </w:p>
    <w:p>
      <w:pPr>
        <w:pStyle w:val="Normal"/>
        <w:spacing w:before="160" w:after="40"/>
        <w:rPr>
          <w:lang w:val="es-MX"/>
        </w:rPr>
      </w:pPr>
      <w:r>
        <w:rPr>
          <w:b/>
          <w:color w:val="6B7280"/>
          <w:sz w:val="22"/>
          <w:lang w:val="es-MX"/>
        </w:rPr>
        <w:t>Actividades Primarias</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Actividad</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Descripción observable</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¿Proceso manual probable?</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Logística de entrada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Recepción de mercancía en warehouses Vernon CA / San Diego CA / Tijuana. Verificación documental.</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Probable manual — sin OCR/scanning visible.</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Operaciones / Despacho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Clasificación arancelaria + pedimentos + cumplimiento + carga.</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Probable manual — sin tech de clasificación asistida.</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Logística de salida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Carga, ruteo en flota propia (12 trucks) o subcontratado, entrega.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Parcialmente manual — sin TMS visible.</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Marketing y ventas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Referidos + cold outbound + sitio. Sin CRM visible.</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Manual (alta probabilidad).</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Servicio postventa</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Email management@ + WhatsApp + teléfonos por sede. Sin ticketing visible.</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Manual.</w:t>
            </w:r>
          </w:p>
        </w:tc>
      </w:tr>
    </w:tbl>
    <w:p>
      <w:pPr>
        <w:pStyle w:val="Normal"/>
        <w:rPr>
          <w:lang w:val="es-MX"/>
        </w:rPr>
      </w:pPr>
      <w:r>
        <w:rPr>
          <w:lang w:val="es-MX"/>
        </w:rPr>
      </w:r>
    </w:p>
    <w:p>
      <w:pPr>
        <w:pStyle w:val="Normal"/>
        <w:spacing w:before="160" w:after="40"/>
        <w:rPr>
          <w:lang w:val="es-MX"/>
        </w:rPr>
      </w:pPr>
      <w:r>
        <w:rPr>
          <w:b/>
          <w:color w:val="6B7280"/>
          <w:sz w:val="22"/>
          <w:lang w:val="es-MX"/>
        </w:rPr>
        <w:t>Actividades de Soporte</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Actividad</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Descripción observable</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¿Proceso manual probable?</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Infraestructura (admin/finanzas)</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Familia + equipo administrativo en TJ.</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Probable manual (Excel/contabilidad estándar).</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Gestión de RRHH</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~30-60 personas estimadas.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Manual.</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Tecnología / Sistemas</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Sitio WordPress + email + WhatsApp. ❓ ERP/TMS interno desconocido.</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Probable mínimo.</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Compras / Aprovisionamiento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Combustible, mantenimiento, naviera/aerolínea.</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Manual.</w:t>
            </w:r>
          </w:p>
        </w:tc>
      </w:tr>
    </w:tbl>
    <w:p>
      <w:pPr>
        <w:pStyle w:val="Normal"/>
        <w:rPr>
          <w:lang w:val="es-MX"/>
        </w:rPr>
      </w:pPr>
      <w:r>
        <w:rPr>
          <w:lang w:val="es-MX"/>
        </w:rPr>
      </w:r>
    </w:p>
    <w:p>
      <w:pPr>
        <w:pStyle w:val="Normal"/>
        <w:spacing w:before="20" w:after="60"/>
        <w:rPr>
          <w:lang w:val="es-MX"/>
        </w:rPr>
      </w:pPr>
      <w:r>
        <w:rPr>
          <w:b/>
          <w:color w:val="1A1A1A"/>
          <w:sz w:val="20"/>
          <w:lang w:val="es-MX"/>
        </w:rPr>
        <w:t>Observación clave:</w:t>
      </w:r>
      <w:r>
        <w:rPr>
          <w:color w:val="1A1A1A"/>
          <w:sz w:val="20"/>
          <w:lang w:val="es-MX"/>
        </w:rPr>
        <w:t xml:space="preserve"> </w:t>
      </w:r>
      <w:r>
        <w:rPr>
          <w:b/>
          <w:color w:val="1A1A1A"/>
          <w:sz w:val="20"/>
          <w:lang w:val="es-MX"/>
        </w:rPr>
        <w:t>Casi toda la cadena de valor es manual o semi-manual.</w:t>
      </w:r>
      <w:r>
        <w:rPr>
          <w:color w:val="1A1A1A"/>
          <w:sz w:val="20"/>
          <w:lang w:val="es-MX"/>
        </w:rPr>
        <w:t xml:space="preserve"> Esto NO es una crítica — es coherente con la auto-percepción de la contacto y con la madurez digital 2/5. </w:t>
      </w:r>
      <w:r>
        <w:rPr>
          <w:b/>
          <w:color w:val="1A1A1A"/>
          <w:sz w:val="20"/>
          <w:lang w:val="es-MX"/>
        </w:rPr>
        <w:t>Es el universo de oportunidad de Nexostrat.</w:t>
      </w:r>
      <w:r>
        <w:rPr>
          <w:color w:val="1A1A1A"/>
          <w:sz w:val="20"/>
          <w:lang w:val="es-MX"/>
        </w:rPr>
        <w:t xml:space="preserve"> Los puntos de mayor leverage son: clasificación arancelaria (cuello de botella conocido del sector), procesamiento documental (OCR de pedimentos/BOLs/cartas porte), tracking para cliente (reducir llamadas "dónde está mi envío"), y CRM/lead-management (capturar mejor el funnel digital actualmente inexistente).</w:t>
      </w:r>
    </w:p>
    <w:p>
      <w:pPr>
        <w:pStyle w:val="Normal"/>
        <w:pBdr>
          <w:bottom w:val="single" w:sz="4" w:space="1" w:color="0EA5E9"/>
        </w:pBdr>
        <w:spacing w:before="280" w:after="60"/>
        <w:rPr>
          <w:lang w:val="es-MX"/>
        </w:rPr>
      </w:pPr>
      <w:r>
        <w:rPr>
          <w:b/>
          <w:color w:val="0EA5E9"/>
          <w:sz w:val="28"/>
          <w:lang w:val="es-MX"/>
        </w:rPr>
        <w:t>8. CANDIDATOS A QUICK WIN DE IA</w:t>
      </w:r>
    </w:p>
    <w:p>
      <w:pPr>
        <w:pStyle w:val="Normal"/>
        <w:spacing w:before="20" w:after="60"/>
        <w:rPr>
          <w:lang w:val="es-MX"/>
        </w:rPr>
      </w:pPr>
      <w:r>
        <w:rPr>
          <w:color w:val="1A1A1A"/>
          <w:sz w:val="20"/>
          <w:lang w:val="es-MX"/>
        </w:rPr>
        <w:t>&gt; Los 5 procesos con mayor potencial identificable desde el exterior. Específicos para Trixx — no genéricos.</w:t>
      </w:r>
    </w:p>
    <w:p>
      <w:pPr>
        <w:pStyle w:val="Normal"/>
        <w:spacing w:before="80" w:after="40"/>
        <w:rPr>
          <w:lang w:val="es-MX"/>
        </w:rPr>
      </w:pPr>
      <w:r>
        <w:rPr>
          <w:b/>
          <w:color w:val="0C1A2E"/>
          <w:sz w:val="20"/>
          <w:lang w:val="es-MX"/>
        </w:rPr>
        <w:t>QW1: Clasificación arancelaria asistida por IA</w:t>
      </w:r>
    </w:p>
    <w:p>
      <w:pPr>
        <w:pStyle w:val="ListBullet"/>
        <w:numPr>
          <w:ilvl w:val="0"/>
          <w:numId w:val="1"/>
        </w:numPr>
        <w:spacing w:before="0" w:after="40"/>
        <w:contextualSpacing/>
        <w:rPr>
          <w:lang w:val="es-MX"/>
        </w:rPr>
      </w:pPr>
      <w:r>
        <w:rPr>
          <w:b/>
          <w:color w:val="1A1A1A"/>
          <w:sz w:val="20"/>
          <w:lang w:val="es-MX"/>
        </w:rPr>
        <w:t>Evidencia observada:</w:t>
      </w:r>
      <w:r>
        <w:rPr>
          <w:color w:val="1A1A1A"/>
          <w:sz w:val="20"/>
          <w:lang w:val="es-MX"/>
        </w:rPr>
        <w:t xml:space="preserve"> servicios incluyen "agencia aduanal" + "cumplimiento normativo" + "consultoría en comercio exterior" + sin tecnología propia visible. La clasificación de fracciones TIGIE es el cuello de botella conocido del sector y consume horas/lote por operador experto.</w:t>
      </w:r>
    </w:p>
    <w:p>
      <w:pPr>
        <w:pStyle w:val="ListBullet"/>
        <w:numPr>
          <w:ilvl w:val="0"/>
          <w:numId w:val="1"/>
        </w:numPr>
        <w:spacing w:before="0" w:after="40"/>
        <w:contextualSpacing/>
        <w:rPr>
          <w:lang w:val="es-MX"/>
        </w:rPr>
      </w:pPr>
      <w:r>
        <w:rPr>
          <w:b/>
          <w:color w:val="1A1A1A"/>
          <w:sz w:val="20"/>
          <w:lang w:val="es-MX"/>
        </w:rPr>
        <w:t>Impacto estimado:</w:t>
      </w:r>
      <w:r>
        <w:rPr>
          <w:color w:val="1A1A1A"/>
          <w:sz w:val="20"/>
          <w:lang w:val="es-MX"/>
        </w:rPr>
        <w:t xml:space="preserve"> Reducción 30-60% del tiempo de pre-clasificación. Reducción de errores en pedimentos (multas + retención de carga = riesgo principal del cliente).</w:t>
      </w:r>
    </w:p>
    <w:p>
      <w:pPr>
        <w:pStyle w:val="ListBullet"/>
        <w:numPr>
          <w:ilvl w:val="0"/>
          <w:numId w:val="1"/>
        </w:numPr>
        <w:spacing w:before="0" w:after="40"/>
        <w:contextualSpacing/>
        <w:rPr>
          <w:lang w:val="es-MX"/>
        </w:rPr>
      </w:pPr>
      <w:r>
        <w:rPr>
          <w:b/>
          <w:color w:val="1A1A1A"/>
          <w:sz w:val="20"/>
          <w:lang w:val="es-MX"/>
        </w:rPr>
        <w:t>Solución probable:</w:t>
      </w:r>
      <w:r>
        <w:rPr>
          <w:color w:val="1A1A1A"/>
          <w:sz w:val="20"/>
          <w:lang w:val="es-MX"/>
        </w:rPr>
        <w:t xml:space="preserve"> LLM fine-tuned o RAG sobre histórico interno de pedimentos + TIGIE + jurisprudencia aduanera reciente. Posiblemente integración con un agente clasificador via API.</w:t>
      </w:r>
    </w:p>
    <w:p>
      <w:pPr>
        <w:pStyle w:val="ListBullet"/>
        <w:numPr>
          <w:ilvl w:val="0"/>
          <w:numId w:val="1"/>
        </w:numPr>
        <w:spacing w:before="0" w:after="40"/>
        <w:contextualSpacing/>
        <w:rPr>
          <w:lang w:val="es-MX"/>
        </w:rPr>
      </w:pPr>
      <w:r>
        <w:rPr>
          <w:b/>
          <w:color w:val="1A1A1A"/>
          <w:sz w:val="20"/>
          <w:lang w:val="es-MX"/>
        </w:rPr>
        <w:t>Dificultad estimada:</w:t>
      </w:r>
      <w:r>
        <w:rPr>
          <w:color w:val="1A1A1A"/>
          <w:sz w:val="20"/>
          <w:lang w:val="es-MX"/>
        </w:rPr>
        <w:t xml:space="preserve"> Media. Requiere acceso a histórico de clasificaciones de Trixx + dataset TIGIE público. ROI alto.</w:t>
      </w:r>
    </w:p>
    <w:p>
      <w:pPr>
        <w:pStyle w:val="Normal"/>
        <w:spacing w:before="80" w:after="40"/>
        <w:rPr>
          <w:lang w:val="es-MX"/>
        </w:rPr>
      </w:pPr>
      <w:r>
        <w:rPr>
          <w:b/>
          <w:color w:val="0C1A2E"/>
          <w:sz w:val="20"/>
          <w:lang w:val="es-MX"/>
        </w:rPr>
        <w:t>QW2: WhatsApp Business API + bot inteligente con derivación humana</w:t>
      </w:r>
    </w:p>
    <w:p>
      <w:pPr>
        <w:pStyle w:val="ListBullet"/>
        <w:numPr>
          <w:ilvl w:val="0"/>
          <w:numId w:val="1"/>
        </w:numPr>
        <w:spacing w:before="0" w:after="40"/>
        <w:contextualSpacing/>
        <w:rPr>
          <w:lang w:val="es-MX"/>
        </w:rPr>
      </w:pPr>
      <w:r>
        <w:rPr>
          <w:b/>
          <w:color w:val="1A1A1A"/>
          <w:sz w:val="20"/>
          <w:lang w:val="es-MX"/>
        </w:rPr>
        <w:t>Evidencia observada:</w:t>
      </w:r>
      <w:r>
        <w:rPr>
          <w:color w:val="1A1A1A"/>
          <w:sz w:val="20"/>
          <w:lang w:val="es-MX"/>
        </w:rPr>
        <w:t xml:space="preserve"> Andrea contactó por WhatsApp; sitio lista WhatsApp en el footer; email management@ es buzón general sin segmentación; sin chat en sitio. La empresa ya vive en WhatsApp pero sin estructura.</w:t>
      </w:r>
    </w:p>
    <w:p>
      <w:pPr>
        <w:pStyle w:val="ListBullet"/>
        <w:numPr>
          <w:ilvl w:val="0"/>
          <w:numId w:val="1"/>
        </w:numPr>
        <w:spacing w:before="0" w:after="40"/>
        <w:contextualSpacing/>
        <w:rPr>
          <w:lang w:val="es-MX"/>
        </w:rPr>
      </w:pPr>
      <w:r>
        <w:rPr>
          <w:b/>
          <w:color w:val="1A1A1A"/>
          <w:sz w:val="20"/>
          <w:lang w:val="es-MX"/>
        </w:rPr>
        <w:t>Impacto estimado:</w:t>
      </w:r>
      <w:r>
        <w:rPr>
          <w:color w:val="1A1A1A"/>
          <w:sz w:val="20"/>
          <w:lang w:val="es-MX"/>
        </w:rPr>
        <w:t xml:space="preserve"> Captura 24/7 de leads + FAQs automatizadas (cotización rápida, estados de envío, horarios, ubicaciones). Reducción 40-60% del tiempo del equipo en triaje básico.</w:t>
      </w:r>
    </w:p>
    <w:p>
      <w:pPr>
        <w:pStyle w:val="ListBullet"/>
        <w:numPr>
          <w:ilvl w:val="0"/>
          <w:numId w:val="1"/>
        </w:numPr>
        <w:spacing w:before="0" w:after="40"/>
        <w:contextualSpacing/>
        <w:rPr>
          <w:lang w:val="es-MX"/>
        </w:rPr>
      </w:pPr>
      <w:r>
        <w:rPr>
          <w:b/>
          <w:color w:val="1A1A1A"/>
          <w:sz w:val="20"/>
          <w:lang w:val="es-MX"/>
        </w:rPr>
        <w:t>Solución probable:</w:t>
      </w:r>
      <w:r>
        <w:rPr>
          <w:color w:val="1A1A1A"/>
          <w:sz w:val="20"/>
          <w:lang w:val="es-MX"/>
        </w:rPr>
        <w:t xml:space="preserve"> WhatsApp Business Platform (API oficial) + bot LLM con derivación a humano por sede/tema + integración a CRM (cuando exista).</w:t>
      </w:r>
    </w:p>
    <w:p>
      <w:pPr>
        <w:pStyle w:val="ListBullet"/>
        <w:numPr>
          <w:ilvl w:val="0"/>
          <w:numId w:val="1"/>
        </w:numPr>
        <w:spacing w:before="0" w:after="40"/>
        <w:contextualSpacing/>
        <w:rPr>
          <w:lang w:val="es-MX"/>
        </w:rPr>
      </w:pPr>
      <w:r>
        <w:rPr>
          <w:b/>
          <w:color w:val="1A1A1A"/>
          <w:sz w:val="20"/>
          <w:lang w:val="es-MX"/>
        </w:rPr>
        <w:t>Dificultad estimada:</w:t>
      </w:r>
      <w:r>
        <w:rPr>
          <w:color w:val="1A1A1A"/>
          <w:sz w:val="20"/>
          <w:lang w:val="es-MX"/>
        </w:rPr>
        <w:t xml:space="preserve"> Baja-Media. Setup técnico relativamente directo; el valor está en el diseño conversacional.</w:t>
      </w:r>
    </w:p>
    <w:p>
      <w:pPr>
        <w:pStyle w:val="Normal"/>
        <w:spacing w:before="80" w:after="40"/>
        <w:rPr>
          <w:lang w:val="es-MX"/>
        </w:rPr>
      </w:pPr>
      <w:r>
        <w:rPr>
          <w:b/>
          <w:color w:val="0C1A2E"/>
          <w:sz w:val="20"/>
          <w:lang w:val="es-MX"/>
        </w:rPr>
        <w:t>QW3: OCR + procesamiento documental (pedimentos, cartas porte, BOLs, facturas)</w:t>
      </w:r>
    </w:p>
    <w:p>
      <w:pPr>
        <w:pStyle w:val="ListBullet"/>
        <w:numPr>
          <w:ilvl w:val="0"/>
          <w:numId w:val="1"/>
        </w:numPr>
        <w:spacing w:before="0" w:after="40"/>
        <w:contextualSpacing/>
        <w:rPr>
          <w:lang w:val="es-MX"/>
        </w:rPr>
      </w:pPr>
      <w:r>
        <w:rPr>
          <w:b/>
          <w:color w:val="1A1A1A"/>
          <w:sz w:val="20"/>
          <w:lang w:val="es-MX"/>
        </w:rPr>
        <w:t>Evidencia observada:</w:t>
      </w:r>
      <w:r>
        <w:rPr>
          <w:color w:val="1A1A1A"/>
          <w:sz w:val="20"/>
          <w:lang w:val="es-MX"/>
        </w:rPr>
        <w:t xml:space="preserve"> 24 años de operación aduanera implican volumen alto de papeleo. Sin tecnología documental visible. La captura manual de datos de pedimentos / BOL / carta porte hacia un sistema interno es probable.</w:t>
      </w:r>
    </w:p>
    <w:p>
      <w:pPr>
        <w:pStyle w:val="ListBullet"/>
        <w:numPr>
          <w:ilvl w:val="0"/>
          <w:numId w:val="1"/>
        </w:numPr>
        <w:spacing w:before="0" w:after="40"/>
        <w:contextualSpacing/>
        <w:rPr>
          <w:lang w:val="es-MX"/>
        </w:rPr>
      </w:pPr>
      <w:r>
        <w:rPr>
          <w:b/>
          <w:color w:val="1A1A1A"/>
          <w:sz w:val="20"/>
          <w:lang w:val="es-MX"/>
        </w:rPr>
        <w:t>Impacto estimado:</w:t>
      </w:r>
      <w:r>
        <w:rPr>
          <w:color w:val="1A1A1A"/>
          <w:sz w:val="20"/>
          <w:lang w:val="es-MX"/>
        </w:rPr>
        <w:t xml:space="preserve"> 60-80% reducción del tiempo de captura manual. Detección de inconsistencias antes de enviar a aduanas (prevención de multas).</w:t>
      </w:r>
    </w:p>
    <w:p>
      <w:pPr>
        <w:pStyle w:val="ListBullet"/>
        <w:numPr>
          <w:ilvl w:val="0"/>
          <w:numId w:val="1"/>
        </w:numPr>
        <w:spacing w:before="0" w:after="40"/>
        <w:contextualSpacing/>
        <w:rPr>
          <w:lang w:val="es-MX"/>
        </w:rPr>
      </w:pPr>
      <w:r>
        <w:rPr>
          <w:b/>
          <w:color w:val="1A1A1A"/>
          <w:sz w:val="20"/>
          <w:lang w:val="es-MX"/>
        </w:rPr>
        <w:t>Solución probable:</w:t>
      </w:r>
      <w:r>
        <w:rPr>
          <w:color w:val="1A1A1A"/>
          <w:sz w:val="20"/>
          <w:lang w:val="es-MX"/>
        </w:rPr>
        <w:t xml:space="preserve"> OCR + NER + validación contra reglas SAT/ANAM + integración al flow operativo. Combinable con QW1.</w:t>
      </w:r>
    </w:p>
    <w:p>
      <w:pPr>
        <w:pStyle w:val="ListBullet"/>
        <w:numPr>
          <w:ilvl w:val="0"/>
          <w:numId w:val="1"/>
        </w:numPr>
        <w:spacing w:before="0" w:after="40"/>
        <w:contextualSpacing/>
        <w:rPr>
          <w:lang w:val="es-MX"/>
        </w:rPr>
      </w:pPr>
      <w:r>
        <w:rPr>
          <w:b/>
          <w:color w:val="1A1A1A"/>
          <w:sz w:val="20"/>
          <w:lang w:val="es-MX"/>
        </w:rPr>
        <w:t>Dificultad estimada:</w:t>
      </w:r>
      <w:r>
        <w:rPr>
          <w:color w:val="1A1A1A"/>
          <w:sz w:val="20"/>
          <w:lang w:val="es-MX"/>
        </w:rPr>
        <w:t xml:space="preserve"> Media. Requiere muestreo de documentos reales para entrenar/configurar. ROI alto y medible.</w:t>
      </w:r>
    </w:p>
    <w:p>
      <w:pPr>
        <w:pStyle w:val="Normal"/>
        <w:spacing w:before="80" w:after="40"/>
        <w:rPr>
          <w:lang w:val="es-MX"/>
        </w:rPr>
      </w:pPr>
      <w:r>
        <w:rPr>
          <w:b/>
          <w:color w:val="0C1A2E"/>
          <w:sz w:val="20"/>
          <w:lang w:val="es-MX"/>
        </w:rPr>
        <w:t>QW4: Portal de tracking de envíos para clientes con auto-actualización</w:t>
      </w:r>
    </w:p>
    <w:p>
      <w:pPr>
        <w:pStyle w:val="ListBullet"/>
        <w:numPr>
          <w:ilvl w:val="0"/>
          <w:numId w:val="1"/>
        </w:numPr>
        <w:spacing w:before="0" w:after="40"/>
        <w:contextualSpacing/>
        <w:rPr>
          <w:lang w:val="es-MX"/>
        </w:rPr>
      </w:pPr>
      <w:r>
        <w:rPr>
          <w:b/>
          <w:color w:val="1A1A1A"/>
          <w:sz w:val="20"/>
          <w:lang w:val="es-MX"/>
        </w:rPr>
        <w:t>Evidencia observada:</w:t>
      </w:r>
      <w:r>
        <w:rPr>
          <w:color w:val="1A1A1A"/>
          <w:sz w:val="20"/>
          <w:lang w:val="es-MX"/>
        </w:rPr>
        <w:t xml:space="preserve"> sitio sin portal de tracking funcional; competencia (Flexport, DHL, FedEx) tiene tracking en tiempo real como estándar; los competidores aduanales locales en su mayoría tampoco tienen — ventana de diferenciación.</w:t>
      </w:r>
    </w:p>
    <w:p>
      <w:pPr>
        <w:pStyle w:val="ListBullet"/>
        <w:numPr>
          <w:ilvl w:val="0"/>
          <w:numId w:val="1"/>
        </w:numPr>
        <w:spacing w:before="0" w:after="40"/>
        <w:contextualSpacing/>
        <w:rPr>
          <w:lang w:val="es-MX"/>
        </w:rPr>
      </w:pPr>
      <w:r>
        <w:rPr>
          <w:b/>
          <w:color w:val="1A1A1A"/>
          <w:sz w:val="20"/>
          <w:lang w:val="es-MX"/>
        </w:rPr>
        <w:t>Impacto estimado:</w:t>
      </w:r>
      <w:r>
        <w:rPr>
          <w:color w:val="1A1A1A"/>
          <w:sz w:val="20"/>
          <w:lang w:val="es-MX"/>
        </w:rPr>
        <w:t xml:space="preserve"> 30-50% reducción de llamadas/whatsapps "¿dónde está mi envío?" + diferencial competitivo visible + dato útil para cross-sell.</w:t>
      </w:r>
    </w:p>
    <w:p>
      <w:pPr>
        <w:pStyle w:val="ListBullet"/>
        <w:numPr>
          <w:ilvl w:val="0"/>
          <w:numId w:val="1"/>
        </w:numPr>
        <w:spacing w:before="0" w:after="40"/>
        <w:contextualSpacing/>
        <w:rPr>
          <w:lang w:val="es-MX"/>
        </w:rPr>
      </w:pPr>
      <w:r>
        <w:rPr>
          <w:b/>
          <w:color w:val="1A1A1A"/>
          <w:sz w:val="20"/>
          <w:lang w:val="es-MX"/>
        </w:rPr>
        <w:t>Solución probable:</w:t>
      </w:r>
      <w:r>
        <w:rPr>
          <w:color w:val="1A1A1A"/>
          <w:sz w:val="20"/>
          <w:lang w:val="es-MX"/>
        </w:rPr>
        <w:t xml:space="preserve"> SaaS de tracking white-label (Project44, FourKites para enterprise; alternativas LatAm-focused mid-market) o tracking propio integrando GPS de flota + APIs aduanales/navieras.</w:t>
      </w:r>
    </w:p>
    <w:p>
      <w:pPr>
        <w:pStyle w:val="ListBullet"/>
        <w:numPr>
          <w:ilvl w:val="0"/>
          <w:numId w:val="1"/>
        </w:numPr>
        <w:spacing w:before="0" w:after="40"/>
        <w:contextualSpacing/>
        <w:rPr>
          <w:lang w:val="es-MX"/>
        </w:rPr>
      </w:pPr>
      <w:r>
        <w:rPr>
          <w:b/>
          <w:color w:val="1A1A1A"/>
          <w:sz w:val="20"/>
          <w:lang w:val="es-MX"/>
        </w:rPr>
        <w:t>Dificultad estimada:</w:t>
      </w:r>
      <w:r>
        <w:rPr>
          <w:color w:val="1A1A1A"/>
          <w:sz w:val="20"/>
          <w:lang w:val="es-MX"/>
        </w:rPr>
        <w:t xml:space="preserve"> Media-Alta para tracking propio; Baja-Media para white-label.</w:t>
      </w:r>
    </w:p>
    <w:p>
      <w:pPr>
        <w:pStyle w:val="Normal"/>
        <w:spacing w:before="80" w:after="40"/>
        <w:rPr>
          <w:lang w:val="es-MX"/>
        </w:rPr>
      </w:pPr>
      <w:r>
        <w:rPr>
          <w:b/>
          <w:color w:val="0C1A2E"/>
          <w:sz w:val="20"/>
          <w:lang w:val="es-MX"/>
        </w:rPr>
        <w:t>QW5: Auto-cotización dinámica para RFQs de fletes recurrentes</w:t>
      </w:r>
    </w:p>
    <w:p>
      <w:pPr>
        <w:pStyle w:val="ListBullet"/>
        <w:numPr>
          <w:ilvl w:val="0"/>
          <w:numId w:val="1"/>
        </w:numPr>
        <w:spacing w:before="0" w:after="40"/>
        <w:contextualSpacing/>
        <w:rPr>
          <w:lang w:val="es-MX"/>
        </w:rPr>
      </w:pPr>
      <w:r>
        <w:rPr>
          <w:b/>
          <w:color w:val="1A1A1A"/>
          <w:sz w:val="20"/>
          <w:lang w:val="es-MX"/>
        </w:rPr>
        <w:t>Evidencia observada:</w:t>
      </w:r>
      <w:r>
        <w:rPr>
          <w:color w:val="1A1A1A"/>
          <w:sz w:val="20"/>
          <w:lang w:val="es-MX"/>
        </w:rPr>
        <w:t xml:space="preserve"> "Optimización y Ahorro" como servicio sin tarifador real público; página /home-logistic/ con calculadora placeholder no implementada. La auto-cotización es el punto que más acelera el cierre de prospects digitales.</w:t>
      </w:r>
    </w:p>
    <w:p>
      <w:pPr>
        <w:pStyle w:val="ListBullet"/>
        <w:numPr>
          <w:ilvl w:val="0"/>
          <w:numId w:val="1"/>
        </w:numPr>
        <w:spacing w:before="0" w:after="40"/>
        <w:contextualSpacing/>
        <w:rPr>
          <w:lang w:val="es-MX"/>
        </w:rPr>
      </w:pPr>
      <w:r>
        <w:rPr>
          <w:b/>
          <w:color w:val="1A1A1A"/>
          <w:sz w:val="20"/>
          <w:lang w:val="es-MX"/>
        </w:rPr>
        <w:t>Impacto estimado:</w:t>
      </w:r>
      <w:r>
        <w:rPr>
          <w:color w:val="1A1A1A"/>
          <w:sz w:val="20"/>
          <w:lang w:val="es-MX"/>
        </w:rPr>
        <w:t xml:space="preserve"> Cierre 2-3x más rápido en cotizaciones recurrentes; capacidad de escalar respuestas a RFQs sin sumar headcount; data para optimización de pricing.</w:t>
      </w:r>
    </w:p>
    <w:p>
      <w:pPr>
        <w:pStyle w:val="ListBullet"/>
        <w:numPr>
          <w:ilvl w:val="0"/>
          <w:numId w:val="1"/>
        </w:numPr>
        <w:spacing w:before="0" w:after="40"/>
        <w:contextualSpacing/>
        <w:rPr>
          <w:lang w:val="es-MX"/>
        </w:rPr>
      </w:pPr>
      <w:r>
        <w:rPr>
          <w:b/>
          <w:color w:val="1A1A1A"/>
          <w:sz w:val="20"/>
          <w:lang w:val="es-MX"/>
        </w:rPr>
        <w:t>Solución probable:</w:t>
      </w:r>
      <w:r>
        <w:rPr>
          <w:color w:val="1A1A1A"/>
          <w:sz w:val="20"/>
          <w:lang w:val="es-MX"/>
        </w:rPr>
        <w:t xml:space="preserve"> Rate engine basado en histórico interno + tarifas dinámicas por modalidad/ruta/peso/volumen + integración con WhatsApp/sitio.</w:t>
      </w:r>
    </w:p>
    <w:p>
      <w:pPr>
        <w:pStyle w:val="ListBullet"/>
        <w:numPr>
          <w:ilvl w:val="0"/>
          <w:numId w:val="1"/>
        </w:numPr>
        <w:spacing w:before="0" w:after="40"/>
        <w:contextualSpacing/>
        <w:rPr>
          <w:lang w:val="es-MX"/>
        </w:rPr>
      </w:pPr>
      <w:r>
        <w:rPr>
          <w:b/>
          <w:color w:val="1A1A1A"/>
          <w:sz w:val="20"/>
          <w:lang w:val="es-MX"/>
        </w:rPr>
        <w:t>Dificultad estimada:</w:t>
      </w:r>
      <w:r>
        <w:rPr>
          <w:color w:val="1A1A1A"/>
          <w:sz w:val="20"/>
          <w:lang w:val="es-MX"/>
        </w:rPr>
        <w:t xml:space="preserve"> Media-Alta. Requiere histórico de cotizaciones limpio. Mejor implementarse después de QW1+QW3 (datos limpios).</w:t>
      </w:r>
    </w:p>
    <w:p>
      <w:pPr>
        <w:pStyle w:val="Normal"/>
        <w:pBdr>
          <w:bottom w:val="single" w:sz="4" w:space="1" w:color="0EA5E9"/>
        </w:pBdr>
        <w:spacing w:before="280" w:after="60"/>
        <w:rPr>
          <w:lang w:val="es-MX"/>
        </w:rPr>
      </w:pPr>
      <w:r>
        <w:rPr>
          <w:b/>
          <w:color w:val="0EA5E9"/>
          <w:sz w:val="28"/>
          <w:lang w:val="es-MX"/>
        </w:rPr>
        <w:t>9. CONCLUSIONES PARA CONSULTORÍA</w:t>
      </w:r>
    </w:p>
    <w:p>
      <w:pPr>
        <w:pStyle w:val="ListNumber"/>
        <w:numPr>
          <w:ilvl w:val="0"/>
          <w:numId w:val="4"/>
        </w:numPr>
        <w:spacing w:before="0" w:after="40"/>
        <w:contextualSpacing/>
        <w:rPr>
          <w:lang w:val="es-MX"/>
        </w:rPr>
      </w:pPr>
      <w:r>
        <w:rPr>
          <w:b/>
          <w:color w:val="1A1A1A"/>
          <w:sz w:val="20"/>
          <w:lang w:val="es-MX"/>
        </w:rPr>
        <w:t>El prospecto califica como pilot ideal.</w:t>
      </w:r>
      <w:r>
        <w:rPr>
          <w:color w:val="1A1A1A"/>
          <w:sz w:val="20"/>
          <w:lang w:val="es-MX"/>
        </w:rPr>
        <w:t xml:space="preserve"> 24 años de operación tangible + 5 sedes + flota propia + USDOT activo = empresa real con cash flow. Madurez digital 2/5 = espacio amplio de Quick Wins con ROI medible.</w:t>
      </w:r>
    </w:p>
    <w:p>
      <w:pPr>
        <w:pStyle w:val="ListNumber"/>
        <w:numPr>
          <w:ilvl w:val="0"/>
          <w:numId w:val="4"/>
        </w:numPr>
        <w:spacing w:before="0" w:after="40"/>
        <w:contextualSpacing/>
        <w:rPr>
          <w:lang w:val="es-MX"/>
        </w:rPr>
      </w:pPr>
      <w:r>
        <w:rPr>
          <w:b/>
          <w:color w:val="1A1A1A"/>
          <w:sz w:val="20"/>
          <w:lang w:val="es-MX"/>
        </w:rPr>
        <w:t>El dolor declarado es genuino.</w:t>
      </w:r>
      <w:r>
        <w:rPr>
          <w:color w:val="1A1A1A"/>
          <w:sz w:val="20"/>
          <w:lang w:val="es-MX"/>
        </w:rPr>
        <w:t xml:space="preserve"> "Muy atrás en programas y tecnología" + "automatizaciones y más" no es boilerplate — es auto-conciencia. Cliente listo para comprar, no cliente que necesita ser convencido de su problema.</w:t>
      </w:r>
    </w:p>
    <w:p>
      <w:pPr>
        <w:pStyle w:val="ListNumber"/>
        <w:numPr>
          <w:ilvl w:val="0"/>
          <w:numId w:val="4"/>
        </w:numPr>
        <w:spacing w:before="0" w:after="40"/>
        <w:contextualSpacing/>
        <w:rPr>
          <w:lang w:val="es-MX"/>
        </w:rPr>
      </w:pPr>
      <w:r>
        <w:rPr>
          <w:b/>
          <w:color w:val="1A1A1A"/>
          <w:sz w:val="20"/>
          <w:lang w:val="es-MX"/>
        </w:rPr>
        <w:t>El acceso es de máxima calidad.</w:t>
      </w:r>
      <w:r>
        <w:rPr>
          <w:color w:val="1A1A1A"/>
          <w:sz w:val="20"/>
          <w:lang w:val="es-MX"/>
        </w:rPr>
        <w:t xml:space="preserve"> Cadena: novia → amiga personal → contacto en empresa cuyo dueño es figura cercana ("tío"). Esto es referido caliente, no inbound frío. Casi no necesita venta — necesita demostrar capacidad concreta.</w:t>
      </w:r>
    </w:p>
    <w:p>
      <w:pPr>
        <w:pStyle w:val="ListNumber"/>
        <w:numPr>
          <w:ilvl w:val="0"/>
          <w:numId w:val="4"/>
        </w:numPr>
        <w:spacing w:before="0" w:after="40"/>
        <w:contextualSpacing/>
        <w:rPr>
          <w:lang w:val="es-MX"/>
        </w:rPr>
      </w:pPr>
      <w:r>
        <w:rPr>
          <w:b/>
          <w:color w:val="1A1A1A"/>
          <w:sz w:val="20"/>
          <w:lang w:val="es-MX"/>
        </w:rPr>
        <w:t>El sector tiene tailwind sectorial.</w:t>
      </w:r>
      <w:r>
        <w:rPr>
          <w:color w:val="1A1A1A"/>
          <w:sz w:val="20"/>
          <w:lang w:val="es-MX"/>
        </w:rPr>
        <w:t xml:space="preserve"> Nearshoring + e-commerce cross-border + Chinese-import + IA en aduanas = 4 corrientes favorables simultáneas. El timing es bueno para Trixx, no solo para Nexostrat.</w:t>
      </w:r>
    </w:p>
    <w:p>
      <w:pPr>
        <w:pStyle w:val="ListNumber"/>
        <w:numPr>
          <w:ilvl w:val="0"/>
          <w:numId w:val="4"/>
        </w:numPr>
        <w:spacing w:before="0" w:after="40"/>
        <w:contextualSpacing/>
        <w:rPr>
          <w:lang w:val="es-MX"/>
        </w:rPr>
      </w:pPr>
      <w:r>
        <w:rPr>
          <w:b/>
          <w:color w:val="1A1A1A"/>
          <w:sz w:val="20"/>
          <w:lang w:val="es-MX"/>
        </w:rPr>
        <w:t>El dimensionamiento es razonable para Nexostrat.</w:t>
      </w:r>
      <w:r>
        <w:rPr>
          <w:color w:val="1A1A1A"/>
          <w:sz w:val="20"/>
          <w:lang w:val="es-MX"/>
        </w:rPr>
        <w:t xml:space="preserve"> USD 3-12M ingresos estimados (orden de magnitud) → capacidad de inversión en proyectos de USD 5K-50K por Quick Win + retainer. No es empresa ni demasiado grande (Flexport-tier) ni demasiado pequeña (microempresa sin presupuesto).</w:t>
      </w:r>
    </w:p>
    <w:p>
      <w:pPr>
        <w:pStyle w:val="ListNumber"/>
        <w:numPr>
          <w:ilvl w:val="0"/>
          <w:numId w:val="4"/>
        </w:numPr>
        <w:spacing w:before="0" w:after="40"/>
        <w:contextualSpacing/>
        <w:rPr>
          <w:lang w:val="es-MX"/>
        </w:rPr>
      </w:pPr>
      <w:r>
        <w:rPr>
          <w:b/>
          <w:color w:val="1A1A1A"/>
          <w:sz w:val="20"/>
          <w:lang w:val="es-MX"/>
        </w:rPr>
        <w:t>El riesgo principal es la dimensión cultural-familiar.</w:t>
      </w:r>
      <w:r>
        <w:rPr>
          <w:color w:val="1A1A1A"/>
          <w:sz w:val="20"/>
          <w:lang w:val="es-MX"/>
        </w:rPr>
        <w:t xml:space="preserve"> Estructura familiar concentra decisiones — bueno para velocidad, riesgoso si el "tío" tiene reservas o si Andrea no es decisora real. Confirmar en la reunión quién firma.</w:t>
      </w:r>
    </w:p>
    <w:p>
      <w:pPr>
        <w:pStyle w:val="Normal"/>
        <w:pBdr>
          <w:bottom w:val="single" w:sz="4" w:space="1" w:color="0EA5E9"/>
        </w:pBdr>
        <w:spacing w:before="280" w:after="60"/>
        <w:rPr>
          <w:lang w:val="es-MX"/>
        </w:rPr>
      </w:pPr>
      <w:r>
        <w:rPr>
          <w:b/>
          <w:color w:val="0EA5E9"/>
          <w:sz w:val="28"/>
          <w:lang w:val="es-MX"/>
        </w:rPr>
        <w:t>10. SEÑALES DE PRESUPUESTO</w:t>
      </w:r>
    </w:p>
    <w:p>
      <w:pPr>
        <w:pStyle w:val="Normal"/>
        <w:spacing w:before="80" w:after="40"/>
        <w:rPr>
          <w:lang w:val="es-MX"/>
        </w:rPr>
      </w:pPr>
      <w:r>
        <w:rPr>
          <w:b/>
          <w:color w:val="0C1A2E"/>
          <w:sz w:val="20"/>
          <w:lang w:val="es-MX"/>
        </w:rPr>
        <w:t>Capacidad de inversión estimada: ⚠️ MEDIA — probable rango USD 5K-50K por proyecto.</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Factor</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Dato</w:t>
            </w:r>
          </w:p>
        </w:tc>
        <w:tc>
          <w:tcPr>
            <w:tcW w:w="3022"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Interpretación</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Ingresos anuales (estimación)</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USD 3-12M (orden de magnitud)</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PyME mediana con cash real</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Margen neto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Sector logística típicamente 5-15% — asumir 8-12%</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Endeudamiento</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No disponible</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Sin señales públicas de distress</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Tamaño empresa (empleados)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~30-60 estimado</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Mediana</w:t>
            </w:r>
          </w:p>
        </w:tc>
      </w:tr>
      <w:tr>
        <w:trPr/>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Sector</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Logística + aduanal</w:t>
            </w:r>
          </w:p>
        </w:tc>
        <w:tc>
          <w:tcPr>
            <w:tcW w:w="3022"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Sector con disposición a invertir en tech operativa cuando el ROI es claro</w:t>
            </w:r>
          </w:p>
        </w:tc>
      </w:tr>
      <w:tr>
        <w:trPr/>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Activos físicos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Flota 12 trucks + 5 sedes</w:t>
            </w:r>
          </w:p>
        </w:tc>
        <w:tc>
          <w:tcPr>
            <w:tcW w:w="3022"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Capital intensivo — capex en operación, no necesariamente opex en software</w:t>
            </w:r>
          </w:p>
        </w:tc>
      </w:tr>
    </w:tbl>
    <w:p>
      <w:pPr>
        <w:pStyle w:val="Normal"/>
        <w:rPr>
          <w:lang w:val="es-MX"/>
        </w:rPr>
      </w:pPr>
      <w:r>
        <w:rPr>
          <w:lang w:val="es-MX"/>
        </w:rPr>
      </w:r>
    </w:p>
    <w:p>
      <w:pPr>
        <w:pStyle w:val="Normal"/>
        <w:spacing w:before="80" w:after="40"/>
        <w:rPr>
          <w:lang w:val="es-MX"/>
        </w:rPr>
      </w:pPr>
      <w:r>
        <w:rPr>
          <w:b/>
          <w:color w:val="0C1A2E"/>
          <w:sz w:val="20"/>
          <w:lang w:val="es-MX"/>
        </w:rPr>
        <w:t>Rango de inversión recomendado:</w:t>
      </w:r>
    </w:p>
    <w:p>
      <w:pPr>
        <w:pStyle w:val="ListBullet"/>
        <w:numPr>
          <w:ilvl w:val="0"/>
          <w:numId w:val="1"/>
        </w:numPr>
        <w:spacing w:before="0" w:after="40"/>
        <w:contextualSpacing/>
        <w:rPr>
          <w:lang w:val="es-MX"/>
        </w:rPr>
      </w:pPr>
      <w:r>
        <w:rPr>
          <w:b/>
          <w:color w:val="1A1A1A"/>
          <w:sz w:val="20"/>
          <w:lang w:val="es-MX"/>
        </w:rPr>
        <w:t>Diagnóstico / Hoja de Ruta de IA:</w:t>
      </w:r>
      <w:r>
        <w:rPr>
          <w:color w:val="1A1A1A"/>
          <w:sz w:val="20"/>
          <w:lang w:val="es-MX"/>
        </w:rPr>
        <w:t xml:space="preserve"> USD 1.5K-3K (consistente con Fase 1 de Nexostrat — confirmar precio con JP).</w:t>
      </w:r>
    </w:p>
    <w:p>
      <w:pPr>
        <w:pStyle w:val="ListBullet"/>
        <w:numPr>
          <w:ilvl w:val="0"/>
          <w:numId w:val="1"/>
        </w:numPr>
        <w:spacing w:before="0" w:after="40"/>
        <w:contextualSpacing/>
        <w:rPr>
          <w:lang w:val="es-MX"/>
        </w:rPr>
      </w:pPr>
      <w:r>
        <w:rPr>
          <w:b/>
          <w:color w:val="1A1A1A"/>
          <w:sz w:val="20"/>
          <w:lang w:val="es-MX"/>
        </w:rPr>
        <w:t>Implementación Quick Win individual:</w:t>
      </w:r>
      <w:r>
        <w:rPr>
          <w:color w:val="1A1A1A"/>
          <w:sz w:val="20"/>
          <w:lang w:val="es-MX"/>
        </w:rPr>
        <w:t xml:space="preserve"> USD 8K-30K dependiendo del scope (QW2 más barato; QW4 más caro).</w:t>
      </w:r>
    </w:p>
    <w:p>
      <w:pPr>
        <w:pStyle w:val="ListBullet"/>
        <w:numPr>
          <w:ilvl w:val="0"/>
          <w:numId w:val="1"/>
        </w:numPr>
        <w:spacing w:before="0" w:after="40"/>
        <w:contextualSpacing/>
        <w:rPr>
          <w:lang w:val="es-MX"/>
        </w:rPr>
      </w:pPr>
      <w:r>
        <w:rPr>
          <w:b/>
          <w:color w:val="1A1A1A"/>
          <w:sz w:val="20"/>
          <w:lang w:val="es-MX"/>
        </w:rPr>
        <w:t>Retainer mensual (Fase 3, futuro):</w:t>
      </w:r>
      <w:r>
        <w:rPr>
          <w:color w:val="1A1A1A"/>
          <w:sz w:val="20"/>
          <w:lang w:val="es-MX"/>
        </w:rPr>
        <w:t xml:space="preserve"> USD 3K-8K para mantenimiento + iteración + nuevos QWs.</w:t>
      </w:r>
    </w:p>
    <w:p>
      <w:pPr>
        <w:pStyle w:val="Normal"/>
        <w:spacing w:before="20" w:after="60"/>
        <w:rPr>
          <w:lang w:val="es-MX"/>
        </w:rPr>
      </w:pPr>
      <w:r>
        <w:rPr>
          <w:b/>
          <w:color w:val="1A1A1A"/>
          <w:sz w:val="20"/>
          <w:lang w:val="es-MX"/>
        </w:rPr>
        <w:t>Conclusión:</w:t>
      </w:r>
      <w:r>
        <w:rPr>
          <w:color w:val="1A1A1A"/>
          <w:sz w:val="20"/>
          <w:lang w:val="es-MX"/>
        </w:rPr>
        <w:t xml:space="preserve"> </w:t>
      </w:r>
      <w:r>
        <w:rPr>
          <w:b/>
          <w:color w:val="1A1A1A"/>
          <w:sz w:val="20"/>
          <w:lang w:val="es-MX"/>
        </w:rPr>
        <w:t>Vale la pena invertir tiempo en este prospecto.</w:t>
      </w:r>
      <w:r>
        <w:rPr>
          <w:color w:val="1A1A1A"/>
          <w:sz w:val="20"/>
          <w:lang w:val="es-MX"/>
        </w:rPr>
        <w:t xml:space="preserve"> El presupuesto probable cubre con margen los rangos de Nexostrat. El referido caliente reduce el costo de adquisición casi a cero. La madurez digital baja con dolor declarado es el perfil ideal para Fase 0 → Fase 1.</w:t>
      </w:r>
    </w:p>
    <w:p>
      <w:pPr>
        <w:pStyle w:val="Normal"/>
        <w:pBdr>
          <w:bottom w:val="single" w:sz="4" w:space="1" w:color="0EA5E9"/>
        </w:pBdr>
        <w:spacing w:before="280" w:after="60"/>
        <w:rPr>
          <w:lang w:val="es-MX"/>
        </w:rPr>
      </w:pPr>
      <w:r>
        <w:rPr>
          <w:b/>
          <w:color w:val="0EA5E9"/>
          <w:sz w:val="28"/>
          <w:lang w:val="es-MX"/>
        </w:rPr>
        <w:t>11. TALKING POINTS PARA LA LLAMADA</w:t>
      </w:r>
    </w:p>
    <w:p>
      <w:pPr>
        <w:pStyle w:val="Normal"/>
        <w:spacing w:before="20" w:after="60"/>
        <w:rPr>
          <w:lang w:val="es-MX"/>
        </w:rPr>
      </w:pPr>
      <w:r>
        <w:rPr>
          <w:color w:val="1A1A1A"/>
          <w:sz w:val="20"/>
          <w:lang w:val="es-MX"/>
        </w:rPr>
        <w:t>&gt; 5 preguntas específicas, cada una anclada en algo observable.</w:t>
      </w:r>
    </w:p>
    <w:p>
      <w:pPr>
        <w:pStyle w:val="ListNumber"/>
        <w:numPr>
          <w:ilvl w:val="0"/>
          <w:numId w:val="4"/>
        </w:numPr>
        <w:spacing w:before="0" w:after="40"/>
        <w:contextualSpacing/>
        <w:rPr>
          <w:lang w:val="es-MX"/>
        </w:rPr>
      </w:pPr>
      <w:r>
        <w:rPr>
          <w:b/>
          <w:color w:val="1A1A1A"/>
          <w:sz w:val="20"/>
          <w:lang w:val="es-MX"/>
        </w:rPr>
        <w:t>Decisión y autoridad:</w:t>
      </w:r>
      <w:r>
        <w:rPr>
          <w:color w:val="1A1A1A"/>
          <w:sz w:val="20"/>
          <w:lang w:val="es-MX"/>
        </w:rPr>
        <w:t xml:space="preserve"> "Andrea, antes de profundizar en automatizaciones — me ayuda saber cómo se toman decisiones en Trixx. Cuando hablamos de invertir en tecnología nueva, ¿con quién más necesito conversar? ¿Hector? ¿Tu mamá?"</w:t>
      </w:r>
    </w:p>
    <w:p>
      <w:pPr>
        <w:pStyle w:val="Normal"/>
        <w:spacing w:before="20" w:after="60"/>
        <w:rPr>
          <w:lang w:val="es-MX"/>
        </w:rPr>
      </w:pPr>
      <w:r>
        <w:rPr>
          <w:color w:val="1A1A1A"/>
          <w:sz w:val="20"/>
          <w:lang w:val="es-MX"/>
        </w:rPr>
        <w:t>Por qué preguntar esto: la estructura familiar (dueño Hector + madre de Andrea + Andrea misma) hace que el decisor real pueda no estar en la reunión. Identificarlo desde el inicio evita ciclos de aprobación largos.</w:t>
      </w:r>
    </w:p>
    <w:p>
      <w:pPr>
        <w:pStyle w:val="ListNumber"/>
        <w:numPr>
          <w:ilvl w:val="0"/>
          <w:numId w:val="4"/>
        </w:numPr>
        <w:spacing w:before="0" w:after="40"/>
        <w:contextualSpacing/>
        <w:rPr>
          <w:lang w:val="es-MX"/>
        </w:rPr>
      </w:pPr>
      <w:r>
        <w:rPr>
          <w:b/>
          <w:color w:val="1A1A1A"/>
          <w:sz w:val="20"/>
          <w:lang w:val="es-MX"/>
        </w:rPr>
        <w:t>Volumen y composición de operación:</w:t>
      </w:r>
      <w:r>
        <w:rPr>
          <w:color w:val="1A1A1A"/>
          <w:sz w:val="20"/>
          <w:lang w:val="es-MX"/>
        </w:rPr>
        <w:t xml:space="preserve"> "¿Me cuentas un día típico? ¿Cuántos pedimentos procesan por semana? ¿Qué porcentaje es Chinese-import vs MX-domestic vs USA-MX cross-border?"</w:t>
      </w:r>
    </w:p>
    <w:p>
      <w:pPr>
        <w:pStyle w:val="Normal"/>
        <w:spacing w:before="20" w:after="60"/>
        <w:rPr>
          <w:lang w:val="es-MX"/>
        </w:rPr>
      </w:pPr>
      <w:r>
        <w:rPr>
          <w:color w:val="1A1A1A"/>
          <w:sz w:val="20"/>
          <w:lang w:val="es-MX"/>
        </w:rPr>
        <w:t>Por qué preguntar esto: los Quick Wins de IA dependen de volumen. Sin volumen, ROI no se materializa. La composición indica dónde está el cuello de botella real (clasificación arancelaria escala con volumen aduanal; tracking escala con paquetería).</w:t>
      </w:r>
    </w:p>
    <w:p>
      <w:pPr>
        <w:pStyle w:val="ListNumber"/>
        <w:numPr>
          <w:ilvl w:val="0"/>
          <w:numId w:val="4"/>
        </w:numPr>
        <w:spacing w:before="0" w:after="40"/>
        <w:contextualSpacing/>
        <w:rPr>
          <w:lang w:val="es-MX"/>
        </w:rPr>
      </w:pPr>
      <w:r>
        <w:rPr>
          <w:b/>
          <w:color w:val="1A1A1A"/>
          <w:sz w:val="20"/>
          <w:lang w:val="es-MX"/>
        </w:rPr>
        <w:t>Stack actual real (no aspiracional):</w:t>
      </w:r>
      <w:r>
        <w:rPr>
          <w:color w:val="1A1A1A"/>
          <w:sz w:val="20"/>
          <w:lang w:val="es-MX"/>
        </w:rPr>
        <w:t xml:space="preserve"> "¿Qué usan hoy para clasificación arancelaria? ¿Y para tracking interno de envíos? ¿Tienen algún CRM o lista de clientes en Excel?"</w:t>
      </w:r>
    </w:p>
    <w:p>
      <w:pPr>
        <w:pStyle w:val="Normal"/>
        <w:spacing w:before="20" w:after="60"/>
        <w:rPr>
          <w:lang w:val="es-MX"/>
        </w:rPr>
      </w:pPr>
      <w:r>
        <w:rPr>
          <w:color w:val="1A1A1A"/>
          <w:sz w:val="20"/>
          <w:lang w:val="es-MX"/>
        </w:rPr>
        <w:t>Por qué preguntar esto: la madurez digital baja confesa puede esconder un stack invisible (Excel + WhatsApp + email + un sistema operativo viejo). Conocer el punto de partida real determina el camino más corto a un Quick Win.</w:t>
      </w:r>
    </w:p>
    <w:p>
      <w:pPr>
        <w:pStyle w:val="ListNumber"/>
        <w:numPr>
          <w:ilvl w:val="0"/>
          <w:numId w:val="4"/>
        </w:numPr>
        <w:spacing w:before="0" w:after="40"/>
        <w:contextualSpacing/>
        <w:rPr>
          <w:lang w:val="es-MX"/>
        </w:rPr>
      </w:pPr>
      <w:r>
        <w:rPr>
          <w:b/>
          <w:color w:val="1A1A1A"/>
          <w:sz w:val="20"/>
          <w:lang w:val="es-MX"/>
        </w:rPr>
        <w:t>El "más" detrás de "automatizaciones y más":</w:t>
      </w:r>
      <w:r>
        <w:rPr>
          <w:color w:val="1A1A1A"/>
          <w:sz w:val="20"/>
          <w:lang w:val="es-MX"/>
        </w:rPr>
        <w:t xml:space="preserve"> "Mencionaste 'automatizaciones y más' en tu mensaje. ¿Cuál es el más? ¿Hay algo específico que te quita el sueño en la operación?"</w:t>
      </w:r>
    </w:p>
    <w:p>
      <w:pPr>
        <w:pStyle w:val="Normal"/>
        <w:spacing w:before="20" w:after="60"/>
        <w:rPr>
          <w:lang w:val="es-MX"/>
        </w:rPr>
      </w:pPr>
      <w:r>
        <w:rPr>
          <w:color w:val="1A1A1A"/>
          <w:sz w:val="20"/>
          <w:lang w:val="es-MX"/>
        </w:rPr>
        <w:t>Por qué preguntar esto: "automatizaciones" es genérico. El "más" suele ser el dolor real (lead-generation, retención de talento, cumplimiento, costos). Identificar el dolor real es la diferencia entre vender Quick Win incorrecto y correcto.</w:t>
      </w:r>
    </w:p>
    <w:p>
      <w:pPr>
        <w:pStyle w:val="ListNumber"/>
        <w:numPr>
          <w:ilvl w:val="0"/>
          <w:numId w:val="4"/>
        </w:numPr>
        <w:spacing w:before="0" w:after="40"/>
        <w:contextualSpacing/>
        <w:rPr>
          <w:lang w:val="es-MX"/>
        </w:rPr>
      </w:pPr>
      <w:r>
        <w:rPr>
          <w:b/>
          <w:color w:val="1A1A1A"/>
          <w:sz w:val="20"/>
          <w:lang w:val="es-MX"/>
        </w:rPr>
        <w:t>Experiencia previa con consultoría / tecnología:</w:t>
      </w:r>
      <w:r>
        <w:rPr>
          <w:color w:val="1A1A1A"/>
          <w:sz w:val="20"/>
          <w:lang w:val="es-MX"/>
        </w:rPr>
        <w:t xml:space="preserve"> "En los 24 años de Trixx, ¿han trabajado con consultores o proveedores de tecnología antes? ¿Cómo les fue? ¿Qué quedaría diferente esta vez?"</w:t>
      </w:r>
    </w:p>
    <w:p>
      <w:pPr>
        <w:pStyle w:val="Normal"/>
        <w:spacing w:before="20" w:after="60"/>
        <w:rPr>
          <w:lang w:val="es-MX"/>
        </w:rPr>
      </w:pPr>
      <w:r>
        <w:rPr>
          <w:color w:val="1A1A1A"/>
          <w:sz w:val="20"/>
          <w:lang w:val="es-MX"/>
        </w:rPr>
        <w:t>Por qué preguntar esto: clientes con experiencia previa fallida son los más difíciles de cerrar (objeción "ya lo intentamos"). Si nunca lo han intentado, la curva de aprendizaje organizacional será real y el Quick Win debe ser ultra-tangible.</w:t>
      </w:r>
    </w:p>
    <w:p>
      <w:pPr>
        <w:pStyle w:val="Normal"/>
        <w:pBdr>
          <w:bottom w:val="single" w:sz="4" w:space="1" w:color="0EA5E9"/>
        </w:pBdr>
        <w:spacing w:before="280" w:after="60"/>
        <w:rPr>
          <w:lang w:val="es-MX"/>
        </w:rPr>
      </w:pPr>
      <w:r>
        <w:rPr>
          <w:b/>
          <w:color w:val="0EA5E9"/>
          <w:sz w:val="28"/>
          <w:lang w:val="es-MX"/>
        </w:rPr>
        <w:t>12. SEÑALES DE ALERTA</w:t>
      </w:r>
    </w:p>
    <w:p>
      <w:pPr>
        <w:pStyle w:val="Normal"/>
        <w:spacing w:before="20" w:after="60"/>
        <w:rPr>
          <w:lang w:val="es-MX"/>
        </w:rPr>
      </w:pPr>
      <w:r>
        <w:rPr>
          <w:color w:val="1A1A1A"/>
          <w:sz w:val="20"/>
          <w:lang w:val="es-MX"/>
        </w:rPr>
        <w:t xml:space="preserve">⚠️ </w:t>
      </w:r>
      <w:r>
        <w:rPr>
          <w:b/>
          <w:color w:val="1A1A1A"/>
          <w:sz w:val="20"/>
          <w:lang w:val="es-MX"/>
        </w:rPr>
        <w:t>Patente aduanal no expuesta públicamente.</w:t>
      </w:r>
      <w:r>
        <w:rPr>
          <w:color w:val="1A1A1A"/>
          <w:sz w:val="20"/>
          <w:lang w:val="es-MX"/>
        </w:rPr>
        <w:t xml:space="preserve"> Las agencias aduanales serias en MX muestran su patente o el nombre del agente aduanal asociado. Trixx ofrece "agencia aduanal" como servicio pero el patente no aparece. Tres lecturas posibles: (a) operan vía patente prestada / asociado externo (legal pero menos defensible), (b) decisión de marketing por simplicidad, (c) descuido. Pregunta directa en reunión.</w:t>
      </w:r>
    </w:p>
    <w:p>
      <w:pPr>
        <w:pStyle w:val="Normal"/>
        <w:spacing w:before="20" w:after="60"/>
        <w:rPr>
          <w:lang w:val="es-MX"/>
        </w:rPr>
      </w:pPr>
      <w:r>
        <w:rPr>
          <w:color w:val="1A1A1A"/>
          <w:sz w:val="20"/>
          <w:lang w:val="es-MX"/>
        </w:rPr>
        <w:t xml:space="preserve">⚠️ </w:t>
      </w:r>
      <w:r>
        <w:rPr>
          <w:b/>
          <w:color w:val="1A1A1A"/>
          <w:sz w:val="20"/>
          <w:lang w:val="es-MX"/>
        </w:rPr>
        <w:t>Deuda técnica menor en sitio:</w:t>
      </w:r>
      <w:r>
        <w:rPr>
          <w:color w:val="1A1A1A"/>
          <w:sz w:val="20"/>
          <w:lang w:val="es-MX"/>
        </w:rPr>
        <w:t xml:space="preserve"> página /home-logistic/ existe en URL directa pero no enlazada en navegación principal (verificado por el operador) — artefacto de desarrollo a limpiar en el próximo refresh del sitio. Sin impacto operativo para prospects que entran por el menú normal.</w:t>
      </w:r>
    </w:p>
    <w:p>
      <w:pPr>
        <w:pStyle w:val="Normal"/>
        <w:spacing w:before="20" w:after="60"/>
        <w:rPr>
          <w:lang w:val="es-MX"/>
        </w:rPr>
      </w:pPr>
      <w:r>
        <w:rPr>
          <w:color w:val="1A1A1A"/>
          <w:sz w:val="20"/>
          <w:lang w:val="es-MX"/>
        </w:rPr>
        <w:t xml:space="preserve">⚠️ </w:t>
      </w:r>
      <w:r>
        <w:rPr>
          <w:b/>
          <w:color w:val="1A1A1A"/>
          <w:sz w:val="20"/>
          <w:lang w:val="es-MX"/>
        </w:rPr>
        <w:t>Sin LinkedIn corporativo identificable.</w:t>
      </w:r>
      <w:r>
        <w:rPr>
          <w:color w:val="1A1A1A"/>
          <w:sz w:val="20"/>
          <w:lang w:val="es-MX"/>
        </w:rPr>
        <w:t xml:space="preserve"> El handle linkedin.com/company/trix-logistics/ lo usa una empresa UK distinta. Trixx MX no tiene presencia LinkedIn corporativa. Inusual para empresa de 24 años con 5 sedes — sugiere captación 100% por referido + outbound, no inbound digital.</w:t>
      </w:r>
    </w:p>
    <w:p>
      <w:pPr>
        <w:pStyle w:val="Normal"/>
        <w:spacing w:before="20" w:after="60"/>
        <w:rPr>
          <w:lang w:val="es-MX"/>
        </w:rPr>
      </w:pPr>
      <w:r>
        <w:rPr>
          <w:color w:val="1A1A1A"/>
          <w:sz w:val="20"/>
          <w:lang w:val="es-MX"/>
        </w:rPr>
        <w:t xml:space="preserve">⚠️ </w:t>
      </w:r>
      <w:r>
        <w:rPr>
          <w:b/>
          <w:color w:val="1A1A1A"/>
          <w:sz w:val="20"/>
          <w:lang w:val="es-MX"/>
        </w:rPr>
        <w:t>Safety rating FMCSA = Non-Ratable.</w:t>
      </w:r>
      <w:r>
        <w:rPr>
          <w:color w:val="1A1A1A"/>
          <w:sz w:val="20"/>
          <w:lang w:val="es-MX"/>
        </w:rPr>
        <w:t xml:space="preserve"> No es rojo (significa que no han pasado por una auditoría de compliance review formal de FMCSA), pero implica que el certificado de safety formal nunca se obtuvo. Los crashes y OOS rates son buenos en la práctica, pero la ausencia del rating formal puede ser obstáculo si trabajan con shippers grandes que lo requieren.</w:t>
      </w:r>
    </w:p>
    <w:p>
      <w:pPr>
        <w:pStyle w:val="Normal"/>
        <w:spacing w:before="20" w:after="60"/>
        <w:rPr>
          <w:lang w:val="es-MX"/>
        </w:rPr>
      </w:pPr>
      <w:r>
        <w:rPr>
          <w:color w:val="1A1A1A"/>
          <w:sz w:val="20"/>
          <w:lang w:val="es-MX"/>
        </w:rPr>
        <w:t xml:space="preserve">⚠️ </w:t>
      </w:r>
      <w:r>
        <w:rPr>
          <w:b/>
          <w:color w:val="1A1A1A"/>
          <w:sz w:val="20"/>
          <w:lang w:val="es-MX"/>
        </w:rPr>
        <w:t>Inconsistencias en datos de contacto:</w:t>
      </w:r>
      <w:r>
        <w:rPr>
          <w:color w:val="1A1A1A"/>
          <w:sz w:val="20"/>
          <w:lang w:val="es-MX"/>
        </w:rPr>
        <w:t xml:space="preserve"> teléfonos Guadalajara (33) 1831-0560 en landing vs (33) 2300-3757 / (33) 2300-3759 en /contacto/. Probablemente número viejo no actualizado. Pequeño pero indicativo.</w:t>
      </w:r>
    </w:p>
    <w:p>
      <w:pPr>
        <w:pStyle w:val="Normal"/>
        <w:spacing w:before="20" w:after="60"/>
        <w:rPr>
          <w:lang w:val="es-MX"/>
        </w:rPr>
      </w:pPr>
      <w:r>
        <w:rPr>
          <w:color w:val="1A1A1A"/>
          <w:sz w:val="20"/>
          <w:lang w:val="es-MX"/>
        </w:rPr>
        <w:t xml:space="preserve">✅ </w:t>
      </w:r>
      <w:r>
        <w:rPr>
          <w:b/>
          <w:color w:val="1A1A1A"/>
          <w:sz w:val="20"/>
          <w:lang w:val="es-MX"/>
        </w:rPr>
        <w:t>Nada crítico que descalifique al prospecto.</w:t>
      </w:r>
      <w:r>
        <w:rPr>
          <w:color w:val="1A1A1A"/>
          <w:sz w:val="20"/>
          <w:lang w:val="es-MX"/>
        </w:rPr>
        <w:t xml:space="preserve"> Las alertas son operacionales y coherentes con la propia auto-evaluación de la contacto. No hay litigios visibles, no hay quejas Profeco visibles, no hay señales de distress financiero, USDOT activo y limpio.</w:t>
      </w:r>
    </w:p>
    <w:p>
      <w:pPr>
        <w:pStyle w:val="Normal"/>
        <w:pBdr>
          <w:bottom w:val="single" w:sz="4" w:space="1" w:color="0EA5E9"/>
        </w:pBdr>
        <w:spacing w:before="280" w:after="60"/>
        <w:rPr>
          <w:lang w:val="es-MX"/>
        </w:rPr>
      </w:pPr>
      <w:r>
        <w:rPr>
          <w:b/>
          <w:color w:val="0EA5E9"/>
          <w:sz w:val="28"/>
          <w:lang w:val="es-MX"/>
        </w:rPr>
        <w:t>FUENTES CONSULTADAS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Fuente</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URL / Referencia</w:t>
            </w:r>
          </w:p>
        </w:tc>
        <w:tc>
          <w:tcPr>
            <w:tcW w:w="2266"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Información obtenida</w:t>
            </w:r>
          </w:p>
        </w:tc>
        <w:tc>
          <w:tcPr>
            <w:tcW w:w="2265" w:type="dxa"/>
            <w:tcBorders/>
            <w:shd w:color="auto" w:fill="0C1A2E"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b/>
                <w:color w:val="FFFFFF"/>
                <w:kern w:val="0"/>
                <w:sz w:val="18"/>
                <w:szCs w:val="22"/>
                <w:lang w:val="es-MX" w:eastAsia="en-US" w:bidi="ar-SA"/>
              </w:rPr>
              <w:t>Disponibilidad</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Sitio oficial (home)</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https://trixx-logistics.com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Marca, idiomas, "0 Años" bug, tagline, contactos básicos</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Sitio oficial (/contacto/)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https://trixx-logistics.com/contacto/</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5 sedes, dos entidades legales, teléfonos por ciudad, horarios</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Sitio oficial (/nosotros/)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https://trixx-logistics.com/nosotros/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"+20 años", misión, visión, valores</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Sitio oficial (/servicios/)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https://trixx-logistics.com/servicios/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8 servicios declarados</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Sitio oficial (/home-logistic/)</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https://trixx-logistics.com/home-logistic/</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Página placeholder con fish-species demo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 FMCSA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safer.fmcsa.dot.gov USDOT 2045279</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Carrier activo, flota, drivers, mileage, safety metrics, address</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LinkedIn (search)</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linkedin.com — búsquedas múltiples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Hector Leyva como owner; sin página corporativa MX legítima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LinkedIn UK Trix Logistics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linkedin.com/company/trix-logistics/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Confirmado NO relacionado (empresa UK Leicester)</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Yelp</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yelp.com/biz/trixx-logistics-vernon</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Listing US confirmado (reseñas no extraíbles via fetch)</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Parcial</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Instagram</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instagram.com/trixxlogistics/</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Cuenta existe (métricas no extraíbles via fetch)</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Parcial</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D&amp;B Business Directory</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dandb.com/businessdirectory/trixxlogisticscorp</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Founding 2010 US entity, Transportation Services</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Creditsafe</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creditsafe.com/business-index/.../trixx-logistics-corp</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Snippet confirmando existencia US</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Parcial</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BrokerSnapshot</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brokersnapshot.com (DOT 2045279)</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Carrier info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RocketReach</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rocketreach.co/hector-leyva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Hector Leyva como Owner</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Parcial</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QuickTransportSolutions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quicktransportsolutions.com (DOT 2045279)</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Founding date 2010 + Los Angeles HQ</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WhatsApp inbound</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communications/2026-05-18_initial-contact.md</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Citas textuales de Andrea Chávez, intención declarada, +20 años verbal</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ANAM (Agentes Aduanales)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anam.gob.mx — PDFs listados</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Trix Importaciones NO confirmado en listado público (búsqueda no exhaustiva)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SAT (Validador RFC)</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agsc.siat.sat.gob.mx/PTSC/ValidaRFC</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RFC no consultado (requiere RFC para validar)</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SIEM</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siem.gob.mx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No consultado por nombre directo</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Google reviews TJ</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Search query directa</w:t>
            </w:r>
          </w:p>
        </w:tc>
        <w:tc>
          <w:tcPr>
            <w:tcW w:w="2266"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No surgieron resultados públicos</w:t>
            </w:r>
          </w:p>
        </w:tc>
        <w:tc>
          <w:tcPr>
            <w:tcW w:w="2265" w:type="dxa"/>
            <w:tcBorders/>
            <w:shd w:color="auto" w:fill="EBF3FA"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w:t>
            </w:r>
          </w:p>
        </w:tc>
      </w:tr>
      <w:tr>
        <w:trPr/>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Profeco</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profeco.gob.mx</w:t>
            </w:r>
          </w:p>
        </w:tc>
        <w:tc>
          <w:tcPr>
            <w:tcW w:w="2266"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Sin quejas registradas visibles en búsqueda</w:t>
            </w:r>
          </w:p>
        </w:tc>
        <w:tc>
          <w:tcPr>
            <w:tcW w:w="2265" w:type="dxa"/>
            <w:tcBorders/>
            <w:shd w:color="auto" w:fill="FFFFFF" w:val="clear"/>
          </w:tcPr>
          <w:p>
            <w:pPr>
              <w:pStyle w:val="Normal"/>
              <w:widowControl/>
              <w:spacing w:lineRule="auto" w:line="240" w:before="40" w:after="40"/>
              <w:jc w:val="left"/>
              <w:rPr>
                <w:rFonts w:ascii="Cambria" w:hAnsi="Cambria" w:eastAsia="ＭＳ 明朝" w:cs=""/>
                <w:kern w:val="0"/>
                <w:sz w:val="22"/>
                <w:szCs w:val="22"/>
                <w:lang w:val="es-MX" w:eastAsia="en-US" w:bidi="ar-SA"/>
              </w:rPr>
            </w:pPr>
            <w:r>
              <w:rPr>
                <w:rFonts w:eastAsia="ＭＳ 明朝" w:cs=""/>
                <w:color w:val="1A1A1A"/>
                <w:kern w:val="0"/>
                <w:sz w:val="18"/>
                <w:szCs w:val="22"/>
                <w:lang w:val="es-MX" w:eastAsia="en-US" w:bidi="ar-SA"/>
              </w:rPr>
              <w:t xml:space="preserve">✅ </w:t>
            </w:r>
            <w:r>
              <w:rPr>
                <w:rFonts w:eastAsia="ＭＳ 明朝" w:cs=""/>
                <w:color w:val="1A1A1A"/>
                <w:kern w:val="0"/>
                <w:sz w:val="18"/>
                <w:szCs w:val="22"/>
                <w:lang w:val="es-MX" w:eastAsia="en-US" w:bidi="ar-SA"/>
              </w:rPr>
              <w:t>(negativa)</w:t>
            </w:r>
          </w:p>
        </w:tc>
      </w:tr>
    </w:tbl>
    <w:p>
      <w:pPr>
        <w:pStyle w:val="Normal"/>
        <w:rPr>
          <w:lang w:val="es-MX"/>
        </w:rPr>
      </w:pPr>
      <w:r>
        <w:rPr>
          <w:lang w:val="es-MX"/>
        </w:rPr>
      </w:r>
    </w:p>
    <w:p>
      <w:pPr>
        <w:pStyle w:val="Normal"/>
        <w:spacing w:before="20" w:after="60"/>
        <w:rPr>
          <w:lang w:val="es-MX"/>
        </w:rPr>
      </w:pPr>
      <w:r>
        <w:rPr>
          <w:color w:val="1A1A1A"/>
          <w:sz w:val="20"/>
          <w:lang w:val="es-MX"/>
        </w:rPr>
        <w:t>Reporte generado por skill company-analyst v1 — Nexostrat</w:t>
      </w:r>
    </w:p>
    <w:p>
      <w:pPr>
        <w:pStyle w:val="Normal"/>
        <w:spacing w:before="20" w:after="60"/>
        <w:rPr>
          <w:lang w:val="es-MX"/>
        </w:rPr>
      </w:pPr>
      <w:r>
        <w:rPr>
          <w:color w:val="1A1A1A"/>
          <w:sz w:val="20"/>
          <w:lang w:val="es-MX"/>
        </w:rPr>
        <w:t>Para uso interno exclusivo. No compartir con el prospecto.</w:t>
      </w:r>
    </w:p>
    <w:p>
      <w:pPr>
        <w:pStyle w:val="Normal"/>
        <w:spacing w:before="20" w:after="60"/>
        <w:rPr>
          <w:color w:val="1A1A1A"/>
          <w:sz w:val="20"/>
        </w:rPr>
      </w:pPr>
      <w:r>
        <w:rPr>
          <w:color w:val="1A1A1A"/>
          <w:sz w:val="20"/>
          <w:lang w:val="es-MX"/>
        </w:rPr>
        <w:t>Fecha: 2026-05-18</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587" w:right="1587" w:gutter="0" w:header="720" w:top="1417" w:footer="720" w:bottom="1417"/>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ascii="Calibri" w:hAnsi="Calibri"/>
        <w:color w:val="6B7280"/>
        <w:sz w:val="18"/>
      </w:rPr>
      <w:t xml:space="preserve">nexostrat.com  ·  Pág. </w:t>
    </w: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EA5E9"/>
      </w:pBdr>
      <w:jc w:val="left"/>
      <w:rPr/>
    </w:pPr>
    <w:r>
      <w:rPr>
        <w:rFonts w:ascii="Calibri" w:hAnsi="Calibri"/>
        <w:b/>
        <w:color w:val="0C1A2E"/>
        <w:sz w:val="22"/>
      </w:rPr>
      <w:t>NEXOSTRAT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16</Pages>
  <Words>4938</Words>
  <Characters>29107</Characters>
  <CharactersWithSpaces>33560</CharactersWithSpaces>
  <Paragraphs>454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2026-05-19T07:25:51Z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