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padrão:</w:t>
        <w:br w:type="textWrapping"/>
      </w:r>
      <w:r w:rsidDel="00000000" w:rsidR="00000000" w:rsidRPr="00000000">
        <w:rPr>
          <w:rtl w:val="0"/>
        </w:rPr>
        <w:t xml:space="preserve"> Nike Dunk Low — Estilo Urbano e Conforto Premium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 padrão:</w:t>
        <w:br w:type="textWrapping"/>
      </w:r>
      <w:r w:rsidDel="00000000" w:rsidR="00000000" w:rsidRPr="00000000">
        <w:rPr>
          <w:rtl w:val="0"/>
        </w:rPr>
        <w:t xml:space="preserve"> O Nike Dunk Low combina design icônico, conforto e versatilidade em um modelo perfeito para o dia a dia. Produzido com materiais premium, o tênis conta com cabedal resistente em couro, oferecendo durabilidade e acabamento sofisticado.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visual de cano baixo proporciona ajuste confortável e estilo moderno, enquanto o clássico logo Swoosh nas laterais reforça a identidade autêntica da Nike. O solado de borracha garante ótima aderência e estabilidade, tornando o modelo ideal para composições streetwear, casuais e lifestyle.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