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6"/>
          <w:szCs w:val="56"/>
        </w:rPr>
        <w:t xml:space="preserve">NEX'SIRH GUINÉE — VERSION WEB (SaaS)</w:t>
      </w:r>
    </w:p>
    <w:p>
      <w:pPr>
        <w:spacing w:before="200"/>
        <w:jc w:val="center"/>
      </w:pPr>
      <w:r>
        <w:rPr>
          <w:color w:val="2E74B5"/>
          <w:sz w:val="36"/>
          <w:szCs w:val="36"/>
        </w:rPr>
        <w:t xml:space="preserve">Plan complet de réalisation</w:t>
      </w:r>
    </w:p>
    <w:p>
      <w:pPr>
        <w:spacing w:before="300"/>
        <w:jc w:val="center"/>
      </w:pPr>
      <w:r>
        <w:rPr>
          <w:sz w:val="24"/>
          <w:szCs w:val="24"/>
        </w:rPr>
        <w:t xml:space="preserve">Migration du SIRH Excel/VBA vers une application SaaS multi-tenant</w:t>
      </w:r>
    </w:p>
    <w:p>
      <w:pPr>
        <w:spacing w:before="100"/>
        <w:jc w:val="center"/>
      </w:pPr>
      <w:r>
        <w:rPr>
          <w:i/>
          <w:iCs/>
          <w:sz w:val="24"/>
          <w:szCs w:val="24"/>
        </w:rPr>
        <w:t xml:space="preserve">Stack : Next.js · Vercel · Supabase (PostgreSQL) — Méthode : vibe coding avec Antigravity &amp; Claude Code</w:t>
      </w:r>
    </w:p>
    <w:p>
      <w:pPr>
        <w:spacing w:before="600"/>
        <w:jc w:val="center"/>
      </w:pPr>
      <w:r>
        <w:rPr>
          <w:sz w:val="22"/>
          <w:szCs w:val="22"/>
        </w:rPr>
        <w:t xml:space="preserve">Version 1.0 — Juillet 2026</w:t>
      </w:r>
    </w:p>
    <w:p>
      <w:pPr>
        <w:jc w:val="center"/>
      </w:pPr>
      <w:r>
        <w:rPr>
          <w:i/>
          <w:iCs/>
          <w:sz w:val="20"/>
          <w:szCs w:val="20"/>
        </w:rPr>
        <w:t xml:space="preserve">Base de référence : NexSIRH_Guinee_v1_0_Phase3_WORK.xlsm (dossier de passation v3.0)</w:t>
      </w:r>
    </w:p>
    <w:p>
      <w:pPr>
        <w:jc w:val="center"/>
      </w:pPr>
      <w:r>
        <w:rPr>
          <w:i/>
          <w:iCs/>
          <w:sz w:val="20"/>
          <w:szCs w:val="20"/>
        </w:rPr>
        <w:t xml:space="preserve">Cible : PME guinéennes — Conformité Code du travail (Loi L/2014/072/CNT), CNSS, RTS, VF, CFPA</w:t>
      </w:r>
    </w:p>
    <w:p>
      <w:r>
        <w:br w:type="page"/>
      </w:r>
    </w:p>
    <w:p>
      <w:pPr>
        <w:pStyle w:val="Heading1"/>
        <w:spacing w:after="160" w:before="360"/>
      </w:pPr>
      <w:r>
        <w:rPr>
          <w:color w:val="1F4E79"/>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4E79"/>
        </w:rPr>
        <w:t xml:space="preserve">1. Objet et vision du projet</w:t>
      </w:r>
    </w:p>
    <w:p>
      <w:pPr>
        <w:spacing w:after="120"/>
      </w:pPr>
      <w:r>
        <w:t xml:space="preserve">Ce document est la feuille de route complète pour transformer Nex'SIRH Guinée — actuellement un classeur Excel/VBA monoposte de 16 381 lignes de code — en une application web SaaS multi-entreprises. L'objectif n'est pas de réécrire un outil différent, mais de porter fidèlement les règles métier déjà validées (paie conforme aux bulletins GARAYA HOLDING, barème RTS réel, CNSS, congés) sur une architecture moderne, accessible depuis n'importe quel navigateur, et vendable en abonnement.</w:t>
      </w:r>
    </w:p>
    <w:p>
      <w:pPr>
        <w:pStyle w:val="Heading2"/>
        <w:spacing w:after="120" w:before="280"/>
      </w:pPr>
      <w:r>
        <w:rPr>
          <w:color w:val="1F4E79"/>
        </w:rPr>
        <w:t xml:space="preserve">1.1 Ce que le passage au SaaS apporte</w:t>
      </w:r>
    </w:p>
    <w:p>
      <w:pPr>
        <w:pStyle w:val="ListParagraph"/>
        <w:numPr>
          <w:ilvl w:val="0"/>
          <w:numId w:val="2"/>
        </w:numPr>
        <w:spacing w:after="80"/>
      </w:pPr>
      <w:r>
        <w:rPr>
          <w:b/>
          <w:bCs/>
        </w:rPr>
        <w:t xml:space="preserve">Multi-utilisateur réel : </w:t>
      </w:r>
      <w:r>
        <w:t xml:space="preserve">le fichier Excel ne supporte qu'un utilisateur à la fois ; le web permet au RH, aux managers, au DG et au comptable de travailler simultanément.</w:t>
      </w:r>
    </w:p>
    <w:p>
      <w:pPr>
        <w:pStyle w:val="ListParagraph"/>
        <w:numPr>
          <w:ilvl w:val="0"/>
          <w:numId w:val="2"/>
        </w:numPr>
        <w:spacing w:after="80"/>
      </w:pPr>
      <w:r>
        <w:rPr>
          <w:b/>
          <w:bCs/>
        </w:rPr>
        <w:t xml:space="preserve">Multi-tenant : </w:t>
      </w:r>
      <w:r>
        <w:t xml:space="preserve">une seule base de code sert plusieurs entreprises clientes, chacune avec ses données isolées. Fini le déploiement fichier par fichier dans C:\SIRH_Guinee\.</w:t>
      </w:r>
    </w:p>
    <w:p>
      <w:pPr>
        <w:pStyle w:val="ListParagraph"/>
        <w:numPr>
          <w:ilvl w:val="0"/>
          <w:numId w:val="2"/>
        </w:numPr>
        <w:spacing w:after="80"/>
      </w:pPr>
      <w:r>
        <w:rPr>
          <w:b/>
          <w:bCs/>
        </w:rPr>
        <w:t xml:space="preserve">Monétisation par abonnement : </w:t>
      </w:r>
      <w:r>
        <w:t xml:space="preserve">le système de licence par ID Machine est remplacé par des abonnements en ligne (mensuel/annuel), gérés automatiquement.</w:t>
      </w:r>
    </w:p>
    <w:p>
      <w:pPr>
        <w:pStyle w:val="ListParagraph"/>
        <w:numPr>
          <w:ilvl w:val="0"/>
          <w:numId w:val="2"/>
        </w:numPr>
        <w:spacing w:after="80"/>
      </w:pPr>
      <w:r>
        <w:rPr>
          <w:b/>
          <w:bCs/>
        </w:rPr>
        <w:t xml:space="preserve">Portail employé en libre-service : </w:t>
      </w:r>
      <w:r>
        <w:t xml:space="preserve">chaque salarié peut consulter ses bulletins, demander ses congés et voir ses soldes — évolution impossible en Excel, déjà identifiée dans le dossier de passation.</w:t>
      </w:r>
    </w:p>
    <w:p>
      <w:pPr>
        <w:pStyle w:val="ListParagraph"/>
        <w:numPr>
          <w:ilvl w:val="0"/>
          <w:numId w:val="2"/>
        </w:numPr>
        <w:spacing w:after="80"/>
      </w:pPr>
      <w:r>
        <w:rPr>
          <w:b/>
          <w:bCs/>
        </w:rPr>
        <w:t xml:space="preserve">Mises à jour centralisées : </w:t>
      </w:r>
      <w:r>
        <w:t xml:space="preserve">corrections de bugs et évolutions légales (nouveau barème RTS) déployées instantanément pour tous les clients.</w:t>
      </w:r>
    </w:p>
    <w:p>
      <w:pPr>
        <w:pStyle w:val="Heading2"/>
        <w:spacing w:after="120" w:before="280"/>
      </w:pPr>
      <w:r>
        <w:rPr>
          <w:color w:val="1F4E79"/>
        </w:rPr>
        <w:t xml:space="preserve">1.2 Principes directeurs (hérités du projet Excel)</w:t>
      </w:r>
    </w:p>
    <w:p>
      <w:pPr>
        <w:pStyle w:val="ListParagraph"/>
        <w:numPr>
          <w:ilvl w:val="0"/>
          <w:numId w:val="2"/>
        </w:numPr>
        <w:spacing w:after="80"/>
      </w:pPr>
      <w:r>
        <w:rPr>
          <w:b/>
          <w:bCs/>
        </w:rPr>
        <w:t xml:space="preserve">Livraison continue : </w:t>
      </w:r>
      <w:r>
        <w:t xml:space="preserve">chaque phase produit un livrable utilisable, comme pour le projet Excel.</w:t>
      </w:r>
    </w:p>
    <w:p>
      <w:pPr>
        <w:pStyle w:val="ListParagraph"/>
        <w:numPr>
          <w:ilvl w:val="0"/>
          <w:numId w:val="2"/>
        </w:numPr>
        <w:spacing w:after="80"/>
      </w:pPr>
      <w:r>
        <w:rPr>
          <w:b/>
          <w:bCs/>
        </w:rPr>
        <w:t xml:space="preserve">Validation par les données réelles : </w:t>
      </w:r>
      <w:r>
        <w:t xml:space="preserve">la paie web doit reproduire au franc près les bulletins GARAYA HOLDING — c'est le test de non-régression de référence.</w:t>
      </w:r>
    </w:p>
    <w:p>
      <w:pPr>
        <w:pStyle w:val="ListParagraph"/>
        <w:numPr>
          <w:ilvl w:val="0"/>
          <w:numId w:val="2"/>
        </w:numPr>
        <w:spacing w:after="80"/>
      </w:pPr>
      <w:r>
        <w:rPr>
          <w:b/>
          <w:bCs/>
        </w:rPr>
        <w:t xml:space="preserve">Versionnement : </w:t>
      </w:r>
      <w:r>
        <w:t xml:space="preserve">Git remplace les copies horodatées ; chaque fonctionnalité = une branche, chaque livraison = un tag.</w:t>
      </w:r>
    </w:p>
    <w:p>
      <w:pPr>
        <w:pStyle w:val="ListParagraph"/>
        <w:numPr>
          <w:ilvl w:val="0"/>
          <w:numId w:val="2"/>
        </w:numPr>
        <w:spacing w:after="80"/>
      </w:pPr>
      <w:r>
        <w:rPr>
          <w:b/>
          <w:bCs/>
        </w:rPr>
        <w:t xml:space="preserve">Documentation continue : </w:t>
      </w:r>
      <w:r>
        <w:t xml:space="preserve">le README, le schéma de base et les règles métier sont documentés dans le dépôt au fur et à mesure.</w:t>
      </w:r>
    </w:p>
    <w:p>
      <w:pPr>
        <w:pStyle w:val="Heading1"/>
        <w:spacing w:after="160" w:before="360"/>
      </w:pPr>
      <w:r>
        <w:rPr>
          <w:color w:val="1F4E79"/>
        </w:rPr>
        <w:t xml:space="preserve">2. Stack technique et outils</w:t>
      </w:r>
    </w:p>
    <w:p>
      <w:pPr>
        <w:pStyle w:val="Heading2"/>
        <w:spacing w:after="120" w:before="280"/>
      </w:pPr>
      <w:r>
        <w:rPr>
          <w:color w:val="1F4E79"/>
        </w:rPr>
        <w:t xml:space="preserve">2.1 Choix de la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shd w:fill="1F4E79" w:val="clear"/>
            <w:tcMar>
              <w:top w:type="dxa" w:w="60"/>
              <w:left w:type="dxa" w:w="100"/>
              <w:bottom w:type="dxa" w:w="60"/>
              <w:right w:type="dxa" w:w="100"/>
            </w:tcMar>
          </w:tcPr>
          <w:p>
            <w:r>
              <w:rPr>
                <w:b/>
                <w:bCs/>
                <w:color w:val="FFFFFF"/>
                <w:sz w:val="20"/>
                <w:szCs w:val="20"/>
              </w:rPr>
              <w:t xml:space="preserve">Couche</w:t>
            </w:r>
          </w:p>
        </w:tc>
        <w:tc>
          <w:tcPr>
            <w:tcW w:type="dxa" w:w="2400"/>
            <w:shd w:fill="1F4E79" w:val="clear"/>
            <w:tcMar>
              <w:top w:type="dxa" w:w="60"/>
              <w:left w:type="dxa" w:w="100"/>
              <w:bottom w:type="dxa" w:w="60"/>
              <w:right w:type="dxa" w:w="100"/>
            </w:tcMar>
          </w:tcPr>
          <w:p>
            <w:r>
              <w:rPr>
                <w:b/>
                <w:bCs/>
                <w:color w:val="FFFFFF"/>
                <w:sz w:val="20"/>
                <w:szCs w:val="20"/>
              </w:rPr>
              <w:t xml:space="preserve">Technologie</w:t>
            </w:r>
          </w:p>
        </w:tc>
        <w:tc>
          <w:tcPr>
            <w:tcW w:type="dxa" w:w="5460"/>
            <w:shd w:fill="1F4E79" w:val="clear"/>
            <w:tcMar>
              <w:top w:type="dxa" w:w="60"/>
              <w:left w:type="dxa" w:w="100"/>
              <w:bottom w:type="dxa" w:w="60"/>
              <w:right w:type="dxa" w:w="100"/>
            </w:tcMar>
          </w:tcPr>
          <w:p>
            <w:r>
              <w:rPr>
                <w:b/>
                <w:bCs/>
                <w:color w:val="FFFFFF"/>
                <w:sz w:val="20"/>
                <w:szCs w:val="20"/>
              </w:rPr>
              <w:t xml:space="preserve">Rôle et justification</w:t>
            </w:r>
          </w:p>
        </w:tc>
      </w:tr>
      <w:tr>
        <w:tc>
          <w:tcPr>
            <w:tcW w:type="dxa" w:w="1500"/>
            <w:tcMar>
              <w:top w:type="dxa" w:w="60"/>
              <w:left w:type="dxa" w:w="100"/>
              <w:bottom w:type="dxa" w:w="60"/>
              <w:right w:type="dxa" w:w="100"/>
            </w:tcMar>
          </w:tcPr>
          <w:p>
            <w:r>
              <w:rPr>
                <w:b w:val="false"/>
                <w:bCs w:val="false"/>
                <w:sz w:val="20"/>
                <w:szCs w:val="20"/>
              </w:rPr>
              <w:t xml:space="preserve">Frontend + API</w:t>
            </w:r>
          </w:p>
        </w:tc>
        <w:tc>
          <w:tcPr>
            <w:tcW w:type="dxa" w:w="2400"/>
            <w:tcMar>
              <w:top w:type="dxa" w:w="60"/>
              <w:left w:type="dxa" w:w="100"/>
              <w:bottom w:type="dxa" w:w="60"/>
              <w:right w:type="dxa" w:w="100"/>
            </w:tcMar>
          </w:tcPr>
          <w:p>
            <w:r>
              <w:rPr>
                <w:b w:val="false"/>
                <w:bCs w:val="false"/>
                <w:sz w:val="20"/>
                <w:szCs w:val="20"/>
              </w:rPr>
              <w:t xml:space="preserve">Next.js 15 (App Router, TypeScript)</w:t>
            </w:r>
          </w:p>
        </w:tc>
        <w:tc>
          <w:tcPr>
            <w:tcW w:type="dxa" w:w="5460"/>
            <w:tcMar>
              <w:top w:type="dxa" w:w="60"/>
              <w:left w:type="dxa" w:w="100"/>
              <w:bottom w:type="dxa" w:w="60"/>
              <w:right w:type="dxa" w:w="100"/>
            </w:tcMar>
          </w:tcPr>
          <w:p>
            <w:r>
              <w:rPr>
                <w:b w:val="false"/>
                <w:bCs w:val="false"/>
                <w:sz w:val="20"/>
                <w:szCs w:val="20"/>
              </w:rPr>
              <w:t xml:space="preserve">Framework full-stack : pages, Server Components, Server Actions et Route Handlers. Un seul projet pour l'interface et la logique serveur.</w:t>
            </w:r>
          </w:p>
        </w:tc>
      </w:tr>
      <w:tr>
        <w:tc>
          <w:tcPr>
            <w:tcW w:type="dxa" w:w="1500"/>
            <w:shd w:fill="F2F2F2" w:val="clear"/>
            <w:tcMar>
              <w:top w:type="dxa" w:w="60"/>
              <w:left w:type="dxa" w:w="100"/>
              <w:bottom w:type="dxa" w:w="60"/>
              <w:right w:type="dxa" w:w="100"/>
            </w:tcMar>
          </w:tcPr>
          <w:p>
            <w:r>
              <w:rPr>
                <w:b w:val="false"/>
                <w:bCs w:val="false"/>
                <w:sz w:val="20"/>
                <w:szCs w:val="20"/>
              </w:rPr>
              <w:t xml:space="preserve">UI</w:t>
            </w:r>
          </w:p>
        </w:tc>
        <w:tc>
          <w:tcPr>
            <w:tcW w:type="dxa" w:w="2400"/>
            <w:shd w:fill="F2F2F2" w:val="clear"/>
            <w:tcMar>
              <w:top w:type="dxa" w:w="60"/>
              <w:left w:type="dxa" w:w="100"/>
              <w:bottom w:type="dxa" w:w="60"/>
              <w:right w:type="dxa" w:w="100"/>
            </w:tcMar>
          </w:tcPr>
          <w:p>
            <w:r>
              <w:rPr>
                <w:b w:val="false"/>
                <w:bCs w:val="false"/>
                <w:sz w:val="20"/>
                <w:szCs w:val="20"/>
              </w:rPr>
              <w:t xml:space="preserve">Tailwind CSS + shadcn/ui</w:t>
            </w:r>
          </w:p>
        </w:tc>
        <w:tc>
          <w:tcPr>
            <w:tcW w:type="dxa" w:w="5460"/>
            <w:shd w:fill="F2F2F2" w:val="clear"/>
            <w:tcMar>
              <w:top w:type="dxa" w:w="60"/>
              <w:left w:type="dxa" w:w="100"/>
              <w:bottom w:type="dxa" w:w="60"/>
              <w:right w:type="dxa" w:w="100"/>
            </w:tcMar>
          </w:tcPr>
          <w:p>
            <w:r>
              <w:rPr>
                <w:b w:val="false"/>
                <w:bCs w:val="false"/>
                <w:sz w:val="20"/>
                <w:szCs w:val="20"/>
              </w:rPr>
              <w:t xml:space="preserve">Composants professionnels prêts à l'emploi (tables, formulaires, dialogs) — idéal en vibe coding car les agents IA les maîtrisent parfaitement.</w:t>
            </w:r>
          </w:p>
        </w:tc>
      </w:tr>
      <w:tr>
        <w:tc>
          <w:tcPr>
            <w:tcW w:type="dxa" w:w="1500"/>
            <w:tcMar>
              <w:top w:type="dxa" w:w="60"/>
              <w:left w:type="dxa" w:w="100"/>
              <w:bottom w:type="dxa" w:w="60"/>
              <w:right w:type="dxa" w:w="100"/>
            </w:tcMar>
          </w:tcPr>
          <w:p>
            <w:r>
              <w:rPr>
                <w:b w:val="false"/>
                <w:bCs w:val="false"/>
                <w:sz w:val="20"/>
                <w:szCs w:val="20"/>
              </w:rPr>
              <w:t xml:space="preserve">Base de données</w:t>
            </w:r>
          </w:p>
        </w:tc>
        <w:tc>
          <w:tcPr>
            <w:tcW w:type="dxa" w:w="2400"/>
            <w:tcMar>
              <w:top w:type="dxa" w:w="60"/>
              <w:left w:type="dxa" w:w="100"/>
              <w:bottom w:type="dxa" w:w="60"/>
              <w:right w:type="dxa" w:w="100"/>
            </w:tcMar>
          </w:tcPr>
          <w:p>
            <w:r>
              <w:rPr>
                <w:b w:val="false"/>
                <w:bCs w:val="false"/>
                <w:sz w:val="20"/>
                <w:szCs w:val="20"/>
              </w:rPr>
              <w:t xml:space="preserve">Supabase (PostgreSQL)</w:t>
            </w:r>
          </w:p>
        </w:tc>
        <w:tc>
          <w:tcPr>
            <w:tcW w:type="dxa" w:w="5460"/>
            <w:tcMar>
              <w:top w:type="dxa" w:w="60"/>
              <w:left w:type="dxa" w:w="100"/>
              <w:bottom w:type="dxa" w:w="60"/>
              <w:right w:type="dxa" w:w="100"/>
            </w:tcMar>
          </w:tcPr>
          <w:p>
            <w:r>
              <w:rPr>
                <w:b w:val="false"/>
                <w:bCs w:val="false"/>
                <w:sz w:val="20"/>
                <w:szCs w:val="20"/>
              </w:rPr>
              <w:t xml:space="preserve">Remplace les 22 tableaux structurés Excel. Row Level Security (RLS) pour l'isolation multi-tenant et les rôles.</w:t>
            </w:r>
          </w:p>
        </w:tc>
      </w:tr>
      <w:tr>
        <w:tc>
          <w:tcPr>
            <w:tcW w:type="dxa" w:w="1500"/>
            <w:shd w:fill="F2F2F2" w:val="clear"/>
            <w:tcMar>
              <w:top w:type="dxa" w:w="60"/>
              <w:left w:type="dxa" w:w="100"/>
              <w:bottom w:type="dxa" w:w="60"/>
              <w:right w:type="dxa" w:w="100"/>
            </w:tcMar>
          </w:tcPr>
          <w:p>
            <w:r>
              <w:rPr>
                <w:b w:val="false"/>
                <w:bCs w:val="false"/>
                <w:sz w:val="20"/>
                <w:szCs w:val="20"/>
              </w:rPr>
              <w:t xml:space="preserve">Authentification</w:t>
            </w:r>
          </w:p>
        </w:tc>
        <w:tc>
          <w:tcPr>
            <w:tcW w:type="dxa" w:w="2400"/>
            <w:shd w:fill="F2F2F2" w:val="clear"/>
            <w:tcMar>
              <w:top w:type="dxa" w:w="60"/>
              <w:left w:type="dxa" w:w="100"/>
              <w:bottom w:type="dxa" w:w="60"/>
              <w:right w:type="dxa" w:w="100"/>
            </w:tcMar>
          </w:tcPr>
          <w:p>
            <w:r>
              <w:rPr>
                <w:b w:val="false"/>
                <w:bCs w:val="false"/>
                <w:sz w:val="20"/>
                <w:szCs w:val="20"/>
              </w:rPr>
              <w:t xml:space="preserve">Supabase Auth</w:t>
            </w:r>
          </w:p>
        </w:tc>
        <w:tc>
          <w:tcPr>
            <w:tcW w:type="dxa" w:w="5460"/>
            <w:shd w:fill="F2F2F2" w:val="clear"/>
            <w:tcMar>
              <w:top w:type="dxa" w:w="60"/>
              <w:left w:type="dxa" w:w="100"/>
              <w:bottom w:type="dxa" w:w="60"/>
              <w:right w:type="dxa" w:w="100"/>
            </w:tcMar>
          </w:tcPr>
          <w:p>
            <w:r>
              <w:rPr>
                <w:b w:val="false"/>
                <w:bCs w:val="false"/>
                <w:sz w:val="20"/>
                <w:szCs w:val="20"/>
              </w:rPr>
              <w:t xml:space="preserve">Remplace frmLogin + hash SHA-256 maison. Email/mot de passe, récupération, sessions sécurisées.</w:t>
            </w:r>
          </w:p>
        </w:tc>
      </w:tr>
      <w:tr>
        <w:tc>
          <w:tcPr>
            <w:tcW w:type="dxa" w:w="1500"/>
            <w:tcMar>
              <w:top w:type="dxa" w:w="60"/>
              <w:left w:type="dxa" w:w="100"/>
              <w:bottom w:type="dxa" w:w="60"/>
              <w:right w:type="dxa" w:w="100"/>
            </w:tcMar>
          </w:tcPr>
          <w:p>
            <w:r>
              <w:rPr>
                <w:b w:val="false"/>
                <w:bCs w:val="false"/>
                <w:sz w:val="20"/>
                <w:szCs w:val="20"/>
              </w:rPr>
              <w:t xml:space="preserve">Stockage fichiers</w:t>
            </w:r>
          </w:p>
        </w:tc>
        <w:tc>
          <w:tcPr>
            <w:tcW w:type="dxa" w:w="2400"/>
            <w:tcMar>
              <w:top w:type="dxa" w:w="60"/>
              <w:left w:type="dxa" w:w="100"/>
              <w:bottom w:type="dxa" w:w="60"/>
              <w:right w:type="dxa" w:w="100"/>
            </w:tcMar>
          </w:tcPr>
          <w:p>
            <w:r>
              <w:rPr>
                <w:b w:val="false"/>
                <w:bCs w:val="false"/>
                <w:sz w:val="20"/>
                <w:szCs w:val="20"/>
              </w:rPr>
              <w:t xml:space="preserve">Supabase Storage</w:t>
            </w:r>
          </w:p>
        </w:tc>
        <w:tc>
          <w:tcPr>
            <w:tcW w:type="dxa" w:w="5460"/>
            <w:tcMar>
              <w:top w:type="dxa" w:w="60"/>
              <w:left w:type="dxa" w:w="100"/>
              <w:bottom w:type="dxa" w:w="60"/>
              <w:right w:type="dxa" w:w="100"/>
            </w:tcMar>
          </w:tcPr>
          <w:p>
            <w:r>
              <w:rPr>
                <w:b w:val="false"/>
                <w:bCs w:val="false"/>
                <w:sz w:val="20"/>
                <w:szCs w:val="20"/>
              </w:rPr>
              <w:t xml:space="preserve">PDF des bulletins, photos, pièces jointes des dossiers salariés.</w:t>
            </w:r>
          </w:p>
        </w:tc>
      </w:tr>
      <w:tr>
        <w:tc>
          <w:tcPr>
            <w:tcW w:type="dxa" w:w="1500"/>
            <w:shd w:fill="F2F2F2" w:val="clear"/>
            <w:tcMar>
              <w:top w:type="dxa" w:w="60"/>
              <w:left w:type="dxa" w:w="100"/>
              <w:bottom w:type="dxa" w:w="60"/>
              <w:right w:type="dxa" w:w="100"/>
            </w:tcMar>
          </w:tcPr>
          <w:p>
            <w:r>
              <w:rPr>
                <w:b w:val="false"/>
                <w:bCs w:val="false"/>
                <w:sz w:val="20"/>
                <w:szCs w:val="20"/>
              </w:rPr>
              <w:t xml:space="preserve">Hébergement</w:t>
            </w:r>
          </w:p>
        </w:tc>
        <w:tc>
          <w:tcPr>
            <w:tcW w:type="dxa" w:w="2400"/>
            <w:shd w:fill="F2F2F2" w:val="clear"/>
            <w:tcMar>
              <w:top w:type="dxa" w:w="60"/>
              <w:left w:type="dxa" w:w="100"/>
              <w:bottom w:type="dxa" w:w="60"/>
              <w:right w:type="dxa" w:w="100"/>
            </w:tcMar>
          </w:tcPr>
          <w:p>
            <w:r>
              <w:rPr>
                <w:b w:val="false"/>
                <w:bCs w:val="false"/>
                <w:sz w:val="20"/>
                <w:szCs w:val="20"/>
              </w:rPr>
              <w:t xml:space="preserve">Vercel</w:t>
            </w:r>
          </w:p>
        </w:tc>
        <w:tc>
          <w:tcPr>
            <w:tcW w:type="dxa" w:w="5460"/>
            <w:shd w:fill="F2F2F2" w:val="clear"/>
            <w:tcMar>
              <w:top w:type="dxa" w:w="60"/>
              <w:left w:type="dxa" w:w="100"/>
              <w:bottom w:type="dxa" w:w="60"/>
              <w:right w:type="dxa" w:w="100"/>
            </w:tcMar>
          </w:tcPr>
          <w:p>
            <w:r>
              <w:rPr>
                <w:b w:val="false"/>
                <w:bCs w:val="false"/>
                <w:sz w:val="20"/>
                <w:szCs w:val="20"/>
              </w:rPr>
              <w:t xml:space="preserve">Déploiement automatique à chaque push Git, previews par branche, HTTPS, CDN.</w:t>
            </w:r>
          </w:p>
        </w:tc>
      </w:tr>
      <w:tr>
        <w:tc>
          <w:tcPr>
            <w:tcW w:type="dxa" w:w="1500"/>
            <w:tcMar>
              <w:top w:type="dxa" w:w="60"/>
              <w:left w:type="dxa" w:w="100"/>
              <w:bottom w:type="dxa" w:w="60"/>
              <w:right w:type="dxa" w:w="100"/>
            </w:tcMar>
          </w:tcPr>
          <w:p>
            <w:r>
              <w:rPr>
                <w:b w:val="false"/>
                <w:bCs w:val="false"/>
                <w:sz w:val="20"/>
                <w:szCs w:val="20"/>
              </w:rPr>
              <w:t xml:space="preserve">Génération PDF</w:t>
            </w:r>
          </w:p>
        </w:tc>
        <w:tc>
          <w:tcPr>
            <w:tcW w:type="dxa" w:w="2400"/>
            <w:tcMar>
              <w:top w:type="dxa" w:w="60"/>
              <w:left w:type="dxa" w:w="100"/>
              <w:bottom w:type="dxa" w:w="60"/>
              <w:right w:type="dxa" w:w="100"/>
            </w:tcMar>
          </w:tcPr>
          <w:p>
            <w:r>
              <w:rPr>
                <w:b w:val="false"/>
                <w:bCs w:val="false"/>
                <w:sz w:val="20"/>
                <w:szCs w:val="20"/>
              </w:rPr>
              <w:t xml:space="preserve">react-pdf ou Puppeteer (route serveur)</w:t>
            </w:r>
          </w:p>
        </w:tc>
        <w:tc>
          <w:tcPr>
            <w:tcW w:type="dxa" w:w="5460"/>
            <w:tcMar>
              <w:top w:type="dxa" w:w="60"/>
              <w:left w:type="dxa" w:w="100"/>
              <w:bottom w:type="dxa" w:w="60"/>
              <w:right w:type="dxa" w:w="100"/>
            </w:tcMar>
          </w:tcPr>
          <w:p>
            <w:r>
              <w:rPr>
                <w:b w:val="false"/>
                <w:bCs w:val="false"/>
                <w:sz w:val="20"/>
                <w:szCs w:val="20"/>
              </w:rPr>
              <w:t xml:space="preserve">Bulletins de paie, attestations, certificats — remplace modImpressions et les feuilles TMP_.</w:t>
            </w:r>
          </w:p>
        </w:tc>
      </w:tr>
      <w:tr>
        <w:tc>
          <w:tcPr>
            <w:tcW w:type="dxa" w:w="1500"/>
            <w:shd w:fill="F2F2F2" w:val="clear"/>
            <w:tcMar>
              <w:top w:type="dxa" w:w="60"/>
              <w:left w:type="dxa" w:w="100"/>
              <w:bottom w:type="dxa" w:w="60"/>
              <w:right w:type="dxa" w:w="100"/>
            </w:tcMar>
          </w:tcPr>
          <w:p>
            <w:r>
              <w:rPr>
                <w:b w:val="false"/>
                <w:bCs w:val="false"/>
                <w:sz w:val="20"/>
                <w:szCs w:val="20"/>
              </w:rPr>
              <w:t xml:space="preserve">Paiement (abonnements)</w:t>
            </w:r>
          </w:p>
        </w:tc>
        <w:tc>
          <w:tcPr>
            <w:tcW w:type="dxa" w:w="2400"/>
            <w:shd w:fill="F2F2F2" w:val="clear"/>
            <w:tcMar>
              <w:top w:type="dxa" w:w="60"/>
              <w:left w:type="dxa" w:w="100"/>
              <w:bottom w:type="dxa" w:w="60"/>
              <w:right w:type="dxa" w:w="100"/>
            </w:tcMar>
          </w:tcPr>
          <w:p>
            <w:r>
              <w:rPr>
                <w:b w:val="false"/>
                <w:bCs w:val="false"/>
                <w:sz w:val="20"/>
                <w:szCs w:val="20"/>
              </w:rPr>
              <w:t xml:space="preserve">Stripe (ou paiement mobile local en phase 2 : Orange Money / MTN MoMo)</w:t>
            </w:r>
          </w:p>
        </w:tc>
        <w:tc>
          <w:tcPr>
            <w:tcW w:type="dxa" w:w="5460"/>
            <w:shd w:fill="F2F2F2" w:val="clear"/>
            <w:tcMar>
              <w:top w:type="dxa" w:w="60"/>
              <w:left w:type="dxa" w:w="100"/>
              <w:bottom w:type="dxa" w:w="60"/>
              <w:right w:type="dxa" w:w="100"/>
            </w:tcMar>
          </w:tcPr>
          <w:p>
            <w:r>
              <w:rPr>
                <w:b w:val="false"/>
                <w:bCs w:val="false"/>
                <w:sz w:val="20"/>
                <w:szCs w:val="20"/>
              </w:rPr>
              <w:t xml:space="preserve">Remplace le système de licence par clé NEXSIRH-*.</w:t>
            </w:r>
          </w:p>
        </w:tc>
      </w:tr>
      <w:tr>
        <w:tc>
          <w:tcPr>
            <w:tcW w:type="dxa" w:w="1500"/>
            <w:tcMar>
              <w:top w:type="dxa" w:w="60"/>
              <w:left w:type="dxa" w:w="100"/>
              <w:bottom w:type="dxa" w:w="60"/>
              <w:right w:type="dxa" w:w="100"/>
            </w:tcMar>
          </w:tcPr>
          <w:p>
            <w:r>
              <w:rPr>
                <w:b w:val="false"/>
                <w:bCs w:val="false"/>
                <w:sz w:val="20"/>
                <w:szCs w:val="20"/>
              </w:rPr>
              <w:t xml:space="preserve">Emails</w:t>
            </w:r>
          </w:p>
        </w:tc>
        <w:tc>
          <w:tcPr>
            <w:tcW w:type="dxa" w:w="2400"/>
            <w:tcMar>
              <w:top w:type="dxa" w:w="60"/>
              <w:left w:type="dxa" w:w="100"/>
              <w:bottom w:type="dxa" w:w="60"/>
              <w:right w:type="dxa" w:w="100"/>
            </w:tcMar>
          </w:tcPr>
          <w:p>
            <w:r>
              <w:rPr>
                <w:b w:val="false"/>
                <w:bCs w:val="false"/>
                <w:sz w:val="20"/>
                <w:szCs w:val="20"/>
              </w:rPr>
              <w:t xml:space="preserve">Resend</w:t>
            </w:r>
          </w:p>
        </w:tc>
        <w:tc>
          <w:tcPr>
            <w:tcW w:type="dxa" w:w="5460"/>
            <w:tcMar>
              <w:top w:type="dxa" w:w="60"/>
              <w:left w:type="dxa" w:w="100"/>
              <w:bottom w:type="dxa" w:w="60"/>
              <w:right w:type="dxa" w:w="100"/>
            </w:tcMar>
          </w:tcPr>
          <w:p>
            <w:r>
              <w:rPr>
                <w:b w:val="false"/>
                <w:bCs w:val="false"/>
                <w:sz w:val="20"/>
                <w:szCs w:val="20"/>
              </w:rPr>
              <w:t xml:space="preserve">Invitations utilisateurs, notifications de validation de congés, envoi de bulletins.</w:t>
            </w:r>
          </w:p>
        </w:tc>
      </w:tr>
      <w:tr>
        <w:tc>
          <w:tcPr>
            <w:tcW w:type="dxa" w:w="1500"/>
            <w:shd w:fill="F2F2F2" w:val="clear"/>
            <w:tcMar>
              <w:top w:type="dxa" w:w="60"/>
              <w:left w:type="dxa" w:w="100"/>
              <w:bottom w:type="dxa" w:w="60"/>
              <w:right w:type="dxa" w:w="100"/>
            </w:tcMar>
          </w:tcPr>
          <w:p>
            <w:r>
              <w:rPr>
                <w:b w:val="false"/>
                <w:bCs w:val="false"/>
                <w:sz w:val="20"/>
                <w:szCs w:val="20"/>
              </w:rPr>
              <w:t xml:space="preserve">Graphiques / reporting</w:t>
            </w:r>
          </w:p>
        </w:tc>
        <w:tc>
          <w:tcPr>
            <w:tcW w:type="dxa" w:w="2400"/>
            <w:shd w:fill="F2F2F2" w:val="clear"/>
            <w:tcMar>
              <w:top w:type="dxa" w:w="60"/>
              <w:left w:type="dxa" w:w="100"/>
              <w:bottom w:type="dxa" w:w="60"/>
              <w:right w:type="dxa" w:w="100"/>
            </w:tcMar>
          </w:tcPr>
          <w:p>
            <w:r>
              <w:rPr>
                <w:b w:val="false"/>
                <w:bCs w:val="false"/>
                <w:sz w:val="20"/>
                <w:szCs w:val="20"/>
              </w:rPr>
              <w:t xml:space="preserve">Recharts (intégré) ; Power BI optionnel via export</w:t>
            </w:r>
          </w:p>
        </w:tc>
        <w:tc>
          <w:tcPr>
            <w:tcW w:type="dxa" w:w="5460"/>
            <w:shd w:fill="F2F2F2" w:val="clear"/>
            <w:tcMar>
              <w:top w:type="dxa" w:w="60"/>
              <w:left w:type="dxa" w:w="100"/>
              <w:bottom w:type="dxa" w:w="60"/>
              <w:right w:type="dxa" w:w="100"/>
            </w:tcMar>
          </w:tcPr>
          <w:p>
            <w:r>
              <w:rPr>
                <w:b w:val="false"/>
                <w:bCs w:val="false"/>
                <w:sz w:val="20"/>
                <w:szCs w:val="20"/>
              </w:rPr>
              <w:t xml:space="preserve">Remplace TDB_Indicateurs et les TCD.</w:t>
            </w:r>
          </w:p>
        </w:tc>
      </w:tr>
    </w:tbl>
    <w:p>
      <w:pPr>
        <w:pStyle w:val="Heading2"/>
        <w:spacing w:after="120" w:before="280"/>
      </w:pPr>
      <w:r>
        <w:rPr>
          <w:color w:val="1F4E79"/>
        </w:rPr>
        <w:t xml:space="preserve">2.2 Outils de vibe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r>
              <w:rPr>
                <w:b/>
                <w:bCs/>
                <w:color w:val="FFFFFF"/>
                <w:sz w:val="20"/>
                <w:szCs w:val="20"/>
              </w:rPr>
              <w:t xml:space="preserve">Outil</w:t>
            </w:r>
          </w:p>
        </w:tc>
        <w:tc>
          <w:tcPr>
            <w:tcW w:type="dxa" w:w="7160"/>
            <w:shd w:fill="1F4E79" w:val="clear"/>
            <w:tcMar>
              <w:top w:type="dxa" w:w="60"/>
              <w:left w:type="dxa" w:w="100"/>
              <w:bottom w:type="dxa" w:w="60"/>
              <w:right w:type="dxa" w:w="100"/>
            </w:tcMar>
          </w:tcPr>
          <w:p>
            <w:r>
              <w:rPr>
                <w:b/>
                <w:bCs/>
                <w:color w:val="FFFFFF"/>
                <w:sz w:val="20"/>
                <w:szCs w:val="20"/>
              </w:rPr>
              <w:t xml:space="preserve">Usage dans le projet</w:t>
            </w:r>
          </w:p>
        </w:tc>
      </w:tr>
      <w:tr>
        <w:tc>
          <w:tcPr>
            <w:tcW w:type="dxa" w:w="2200"/>
            <w:tcMar>
              <w:top w:type="dxa" w:w="60"/>
              <w:left w:type="dxa" w:w="100"/>
              <w:bottom w:type="dxa" w:w="60"/>
              <w:right w:type="dxa" w:w="100"/>
            </w:tcMar>
          </w:tcPr>
          <w:p>
            <w:r>
              <w:rPr>
                <w:b w:val="false"/>
                <w:bCs w:val="false"/>
                <w:sz w:val="20"/>
                <w:szCs w:val="20"/>
              </w:rPr>
              <w:t xml:space="preserve">Antigravity</w:t>
            </w:r>
          </w:p>
        </w:tc>
        <w:tc>
          <w:tcPr>
            <w:tcW w:type="dxa" w:w="7160"/>
            <w:tcMar>
              <w:top w:type="dxa" w:w="60"/>
              <w:left w:type="dxa" w:w="100"/>
              <w:bottom w:type="dxa" w:w="60"/>
              <w:right w:type="dxa" w:w="100"/>
            </w:tcMar>
          </w:tcPr>
          <w:p>
            <w:r>
              <w:rPr>
                <w:b w:val="false"/>
                <w:bCs w:val="false"/>
                <w:sz w:val="20"/>
                <w:szCs w:val="20"/>
              </w:rPr>
              <w:t xml:space="preserve">IDE agentique principal : génération des écrans, itérations UI, exploration du code, exécution et vérification dans le navigateur intégré.</w:t>
            </w:r>
          </w:p>
        </w:tc>
      </w:tr>
      <w:tr>
        <w:tc>
          <w:tcPr>
            <w:tcW w:type="dxa" w:w="2200"/>
            <w:shd w:fill="F2F2F2" w:val="clear"/>
            <w:tcMar>
              <w:top w:type="dxa" w:w="60"/>
              <w:left w:type="dxa" w:w="100"/>
              <w:bottom w:type="dxa" w:w="60"/>
              <w:right w:type="dxa" w:w="100"/>
            </w:tcMar>
          </w:tcPr>
          <w:p>
            <w:r>
              <w:rPr>
                <w:b w:val="false"/>
                <w:bCs w:val="false"/>
                <w:sz w:val="20"/>
                <w:szCs w:val="20"/>
              </w:rPr>
              <w:t xml:space="preserve">Claude Code</w:t>
            </w:r>
          </w:p>
        </w:tc>
        <w:tc>
          <w:tcPr>
            <w:tcW w:type="dxa" w:w="7160"/>
            <w:shd w:fill="F2F2F2" w:val="clear"/>
            <w:tcMar>
              <w:top w:type="dxa" w:w="60"/>
              <w:left w:type="dxa" w:w="100"/>
              <w:bottom w:type="dxa" w:w="60"/>
              <w:right w:type="dxa" w:w="100"/>
            </w:tcMar>
          </w:tcPr>
          <w:p>
            <w:r>
              <w:rPr>
                <w:b w:val="false"/>
                <w:bCs w:val="false"/>
                <w:sz w:val="20"/>
                <w:szCs w:val="20"/>
              </w:rPr>
              <w:t xml:space="preserve">Agent en ligne de commande : tâches structurées de fond (migrations SQL, logique de paie, tests, refactorings multi-fichiers), revues de code, corrections de bugs.</w:t>
            </w:r>
          </w:p>
        </w:tc>
      </w:tr>
      <w:tr>
        <w:tc>
          <w:tcPr>
            <w:tcW w:type="dxa" w:w="2200"/>
            <w:tcMar>
              <w:top w:type="dxa" w:w="60"/>
              <w:left w:type="dxa" w:w="100"/>
              <w:bottom w:type="dxa" w:w="60"/>
              <w:right w:type="dxa" w:w="100"/>
            </w:tcMar>
          </w:tcPr>
          <w:p>
            <w:r>
              <w:rPr>
                <w:b w:val="false"/>
                <w:bCs w:val="false"/>
                <w:sz w:val="20"/>
                <w:szCs w:val="20"/>
              </w:rPr>
              <w:t xml:space="preserve">GitHub</w:t>
            </w:r>
          </w:p>
        </w:tc>
        <w:tc>
          <w:tcPr>
            <w:tcW w:type="dxa" w:w="7160"/>
            <w:tcMar>
              <w:top w:type="dxa" w:w="60"/>
              <w:left w:type="dxa" w:w="100"/>
              <w:bottom w:type="dxa" w:w="60"/>
              <w:right w:type="dxa" w:w="100"/>
            </w:tcMar>
          </w:tcPr>
          <w:p>
            <w:r>
              <w:rPr>
                <w:b w:val="false"/>
                <w:bCs w:val="false"/>
                <w:sz w:val="20"/>
                <w:szCs w:val="20"/>
              </w:rPr>
              <w:t xml:space="preserve">Dépôt central. Branches par fonctionnalité, pull requests relues (au moins visuellement) avant merge sur main.</w:t>
            </w:r>
          </w:p>
        </w:tc>
      </w:tr>
      <w:tr>
        <w:tc>
          <w:tcPr>
            <w:tcW w:type="dxa" w:w="2200"/>
            <w:shd w:fill="F2F2F2" w:val="clear"/>
            <w:tcMar>
              <w:top w:type="dxa" w:w="60"/>
              <w:left w:type="dxa" w:w="100"/>
              <w:bottom w:type="dxa" w:w="60"/>
              <w:right w:type="dxa" w:w="100"/>
            </w:tcMar>
          </w:tcPr>
          <w:p>
            <w:r>
              <w:rPr>
                <w:b w:val="false"/>
                <w:bCs w:val="false"/>
                <w:sz w:val="20"/>
                <w:szCs w:val="20"/>
              </w:rPr>
              <w:t xml:space="preserve">Supabase CLI</w:t>
            </w:r>
          </w:p>
        </w:tc>
        <w:tc>
          <w:tcPr>
            <w:tcW w:type="dxa" w:w="7160"/>
            <w:shd w:fill="F2F2F2" w:val="clear"/>
            <w:tcMar>
              <w:top w:type="dxa" w:w="60"/>
              <w:left w:type="dxa" w:w="100"/>
              <w:bottom w:type="dxa" w:w="60"/>
              <w:right w:type="dxa" w:w="100"/>
            </w:tcMar>
          </w:tcPr>
          <w:p>
            <w:r>
              <w:rPr>
                <w:b w:val="false"/>
                <w:bCs w:val="false"/>
                <w:sz w:val="20"/>
                <w:szCs w:val="20"/>
              </w:rPr>
              <w:t xml:space="preserve">Migrations de schéma versionnées dans le dépôt (dossier supabase/migrations), base locale pour les tests.</w:t>
            </w:r>
          </w:p>
        </w:tc>
      </w:tr>
      <w:tr>
        <w:tc>
          <w:tcPr>
            <w:tcW w:type="dxa" w:w="2200"/>
            <w:tcMar>
              <w:top w:type="dxa" w:w="60"/>
              <w:left w:type="dxa" w:w="100"/>
              <w:bottom w:type="dxa" w:w="60"/>
              <w:right w:type="dxa" w:w="100"/>
            </w:tcMar>
          </w:tcPr>
          <w:p>
            <w:r>
              <w:rPr>
                <w:b w:val="false"/>
                <w:bCs w:val="false"/>
                <w:sz w:val="20"/>
                <w:szCs w:val="20"/>
              </w:rPr>
              <w:t xml:space="preserve">Vercel CLI / dashboard</w:t>
            </w:r>
          </w:p>
        </w:tc>
        <w:tc>
          <w:tcPr>
            <w:tcW w:type="dxa" w:w="7160"/>
            <w:tcMar>
              <w:top w:type="dxa" w:w="60"/>
              <w:left w:type="dxa" w:w="100"/>
              <w:bottom w:type="dxa" w:w="60"/>
              <w:right w:type="dxa" w:w="100"/>
            </w:tcMar>
          </w:tcPr>
          <w:p>
            <w:r>
              <w:rPr>
                <w:b w:val="false"/>
                <w:bCs w:val="false"/>
                <w:sz w:val="20"/>
                <w:szCs w:val="20"/>
              </w:rPr>
              <w:t xml:space="preserve">Variables d'environnement, logs, previews de déploiement.</w:t>
            </w:r>
          </w:p>
        </w:tc>
      </w:tr>
    </w:tbl>
    <w:p>
      <w:pPr>
        <w:pStyle w:val="Heading2"/>
        <w:spacing w:after="120" w:before="280"/>
      </w:pPr>
      <w:r>
        <w:rPr>
          <w:color w:val="1F4E79"/>
        </w:rPr>
        <w:t xml:space="preserve">2.3 Règles d'or du vibe coding sur ce projet</w:t>
      </w:r>
    </w:p>
    <w:p>
      <w:pPr>
        <w:pStyle w:val="ListParagraph"/>
        <w:numPr>
          <w:ilvl w:val="0"/>
          <w:numId w:val="3"/>
        </w:numPr>
        <w:spacing w:after="80"/>
      </w:pPr>
      <w:r>
        <w:rPr>
          <w:b/>
          <w:bCs/>
        </w:rPr>
        <w:t xml:space="preserve">Toujours partir des règles métier validées : </w:t>
      </w:r>
      <w:r>
        <w:t xml:space="preserve">chaque prompt à l'agent référence la règle concernée du document de passation (ex. : « implémente CalculerRTS selon le barème 4 tranches : 5 % jusqu'à 2 M, 8 % de 2 à 5 M, 10 % de 5 à 10 M, 15 % au-delà »).</w:t>
      </w:r>
    </w:p>
    <w:p>
      <w:pPr>
        <w:pStyle w:val="ListParagraph"/>
        <w:numPr>
          <w:ilvl w:val="0"/>
          <w:numId w:val="3"/>
        </w:numPr>
        <w:spacing w:after="80"/>
      </w:pPr>
      <w:r>
        <w:rPr>
          <w:b/>
          <w:bCs/>
        </w:rPr>
        <w:t xml:space="preserve">Tests d'abord pour la paie : </w:t>
      </w:r>
      <w:r>
        <w:t xml:space="preserve">avant de coder la paie, écrire les tests avec les 8 bulletins GARAYA comme jeux d'essai attendus. L'agent code ensuite jusqu'à ce que les tests passent.</w:t>
      </w:r>
    </w:p>
    <w:p>
      <w:pPr>
        <w:pStyle w:val="ListParagraph"/>
        <w:numPr>
          <w:ilvl w:val="0"/>
          <w:numId w:val="3"/>
        </w:numPr>
        <w:spacing w:after="80"/>
      </w:pPr>
      <w:r>
        <w:rPr>
          <w:b/>
          <w:bCs/>
        </w:rPr>
        <w:t xml:space="preserve">Petites itérations : </w:t>
      </w:r>
      <w:r>
        <w:t xml:space="preserve">une fonctionnalité = une session/branche. Ne jamais demander « fais tout le module paie » en un prompt ; découper selon le plan de ce document.</w:t>
      </w:r>
    </w:p>
    <w:p>
      <w:pPr>
        <w:pStyle w:val="ListParagraph"/>
        <w:numPr>
          <w:ilvl w:val="0"/>
          <w:numId w:val="3"/>
        </w:numPr>
        <w:spacing w:after="80"/>
      </w:pPr>
      <w:r>
        <w:rPr>
          <w:b/>
          <w:bCs/>
        </w:rPr>
        <w:t xml:space="preserve">Revue humaine ciblée : </w:t>
      </w:r>
      <w:r>
        <w:t xml:space="preserve">relire systématiquement les migrations SQL, les policies RLS et tout code touchant à l'argent ou à la sécurité. Le reste (UI, formulaires) peut être validé visuellement.</w:t>
      </w:r>
    </w:p>
    <w:p>
      <w:pPr>
        <w:pStyle w:val="ListParagraph"/>
        <w:numPr>
          <w:ilvl w:val="0"/>
          <w:numId w:val="3"/>
        </w:numPr>
        <w:spacing w:after="80"/>
      </w:pPr>
      <w:r>
        <w:rPr>
          <w:b/>
          <w:bCs/>
        </w:rPr>
        <w:t xml:space="preserve">Contexte permanent : </w:t>
      </w:r>
      <w:r>
        <w:t xml:space="preserve">fournir aux agents un fichier CLAUDE.md / règles projet contenant : le schéma de base, les règles de paie, les conventions de nommage, et l'interdiction de modifier les migrations déjà appliquées.</w:t>
      </w:r>
    </w:p>
    <w:p>
      <w:pPr>
        <w:pStyle w:val="Heading1"/>
        <w:spacing w:after="160" w:before="360"/>
      </w:pPr>
      <w:r>
        <w:rPr>
          <w:color w:val="1F4E79"/>
        </w:rPr>
        <w:t xml:space="preserve">3. Architecture cible</w:t>
      </w:r>
    </w:p>
    <w:p>
      <w:pPr>
        <w:pStyle w:val="Heading2"/>
        <w:spacing w:after="120" w:before="280"/>
      </w:pPr>
      <w:r>
        <w:rPr>
          <w:color w:val="1F4E79"/>
        </w:rPr>
        <w:t xml:space="preserve">3.1 Vue d'ensemble</w:t>
      </w:r>
    </w:p>
    <w:p>
      <w:pPr>
        <w:spacing w:after="120"/>
      </w:pPr>
      <w:r>
        <w:t xml:space="preserve">Application Next.js unique déployée sur Vercel, connectée à un projet Supabase. Le multi-tenant est logique : toutes les entreprises partagent la même base, chaque table porte une colonne company_id, et la Row Level Security garantit qu'aucun utilisateur ne peut lire ou écrire en dehors de son entreprise. C'est l'équivalent web — mais bien plus robuste — du masquage d'onglets par rôle du fichier Excel.</w:t>
      </w:r>
    </w:p>
    <w:p>
      <w:pPr>
        <w:pStyle w:val="Heading2"/>
        <w:spacing w:after="120" w:before="280"/>
      </w:pPr>
      <w:r>
        <w:rPr>
          <w:color w:val="1F4E79"/>
        </w:rPr>
        <w:t xml:space="preserve">3.2 Correspondance Excel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1F4E79" w:val="clear"/>
            <w:tcMar>
              <w:top w:type="dxa" w:w="60"/>
              <w:left w:type="dxa" w:w="100"/>
              <w:bottom w:type="dxa" w:w="60"/>
              <w:right w:type="dxa" w:w="100"/>
            </w:tcMar>
          </w:tcPr>
          <w:p>
            <w:r>
              <w:rPr>
                <w:b/>
                <w:bCs/>
                <w:color w:val="FFFFFF"/>
                <w:sz w:val="20"/>
                <w:szCs w:val="20"/>
              </w:rPr>
              <w:t xml:space="preserve">Élément Excel/VBA actuel</w:t>
            </w:r>
          </w:p>
        </w:tc>
        <w:tc>
          <w:tcPr>
            <w:tcW w:type="dxa" w:w="5060"/>
            <w:shd w:fill="1F4E79" w:val="clear"/>
            <w:tcMar>
              <w:top w:type="dxa" w:w="60"/>
              <w:left w:type="dxa" w:w="100"/>
              <w:bottom w:type="dxa" w:w="60"/>
              <w:right w:type="dxa" w:w="100"/>
            </w:tcMar>
          </w:tcPr>
          <w:p>
            <w:r>
              <w:rPr>
                <w:b/>
                <w:bCs/>
                <w:color w:val="FFFFFF"/>
                <w:sz w:val="20"/>
                <w:szCs w:val="20"/>
              </w:rPr>
              <w:t xml:space="preserve">Équivalent SaaS</w:t>
            </w:r>
          </w:p>
        </w:tc>
      </w:tr>
      <w:tr>
        <w:tc>
          <w:tcPr>
            <w:tcW w:type="dxa" w:w="4300"/>
            <w:tcMar>
              <w:top w:type="dxa" w:w="60"/>
              <w:left w:type="dxa" w:w="100"/>
              <w:bottom w:type="dxa" w:w="60"/>
              <w:right w:type="dxa" w:w="100"/>
            </w:tcMar>
          </w:tcPr>
          <w:p>
            <w:r>
              <w:rPr>
                <w:b w:val="false"/>
                <w:bCs w:val="false"/>
                <w:sz w:val="20"/>
                <w:szCs w:val="20"/>
              </w:rPr>
              <w:t xml:space="preserve">frmLogin + hash SHA-256 + 3 échecs</w:t>
            </w:r>
          </w:p>
        </w:tc>
        <w:tc>
          <w:tcPr>
            <w:tcW w:type="dxa" w:w="5060"/>
            <w:tcMar>
              <w:top w:type="dxa" w:w="60"/>
              <w:left w:type="dxa" w:w="100"/>
              <w:bottom w:type="dxa" w:w="60"/>
              <w:right w:type="dxa" w:w="100"/>
            </w:tcMar>
          </w:tcPr>
          <w:p>
            <w:r>
              <w:rPr>
                <w:b w:val="false"/>
                <w:bCs w:val="false"/>
                <w:sz w:val="20"/>
                <w:szCs w:val="20"/>
              </w:rPr>
              <w:t xml:space="preserve">Supabase Auth (sessions JWT, rate limiting intégré)</w:t>
            </w:r>
          </w:p>
        </w:tc>
      </w:tr>
      <w:tr>
        <w:tc>
          <w:tcPr>
            <w:tcW w:type="dxa" w:w="4300"/>
            <w:shd w:fill="F2F2F2" w:val="clear"/>
            <w:tcMar>
              <w:top w:type="dxa" w:w="60"/>
              <w:left w:type="dxa" w:w="100"/>
              <w:bottom w:type="dxa" w:w="60"/>
              <w:right w:type="dxa" w:w="100"/>
            </w:tcMar>
          </w:tcPr>
          <w:p>
            <w:r>
              <w:rPr>
                <w:b w:val="false"/>
                <w:bCs w:val="false"/>
                <w:sz w:val="20"/>
                <w:szCs w:val="20"/>
              </w:rPr>
              <w:t xml:space="preserve">Matrice des droits + masquage d'onglets (modSecurite)</w:t>
            </w:r>
          </w:p>
        </w:tc>
        <w:tc>
          <w:tcPr>
            <w:tcW w:type="dxa" w:w="5060"/>
            <w:shd w:fill="F2F2F2" w:val="clear"/>
            <w:tcMar>
              <w:top w:type="dxa" w:w="60"/>
              <w:left w:type="dxa" w:w="100"/>
              <w:bottom w:type="dxa" w:w="60"/>
              <w:right w:type="dxa" w:w="100"/>
            </w:tcMar>
          </w:tcPr>
          <w:p>
            <w:r>
              <w:rPr>
                <w:b w:val="false"/>
                <w:bCs w:val="false"/>
                <w:sz w:val="20"/>
                <w:szCs w:val="20"/>
              </w:rPr>
              <w:t xml:space="preserve">Rôles en base (admin, rh, dg, manager, comptable, employe) + policies RLS + middleware Next.js</w:t>
            </w:r>
          </w:p>
        </w:tc>
      </w:tr>
      <w:tr>
        <w:tc>
          <w:tcPr>
            <w:tcW w:type="dxa" w:w="4300"/>
            <w:tcMar>
              <w:top w:type="dxa" w:w="60"/>
              <w:left w:type="dxa" w:w="100"/>
              <w:bottom w:type="dxa" w:w="60"/>
              <w:right w:type="dxa" w:w="100"/>
            </w:tcMar>
          </w:tcPr>
          <w:p>
            <w:r>
              <w:rPr>
                <w:b w:val="false"/>
                <w:bCs w:val="false"/>
                <w:sz w:val="20"/>
                <w:szCs w:val="20"/>
              </w:rPr>
              <w:t xml:space="preserve">22 tableaux structurés (tbl_Employes, tbl_Paie…)</w:t>
            </w:r>
          </w:p>
        </w:tc>
        <w:tc>
          <w:tcPr>
            <w:tcW w:type="dxa" w:w="5060"/>
            <w:tcMar>
              <w:top w:type="dxa" w:w="60"/>
              <w:left w:type="dxa" w:w="100"/>
              <w:bottom w:type="dxa" w:w="60"/>
              <w:right w:type="dxa" w:w="100"/>
            </w:tcMar>
          </w:tcPr>
          <w:p>
            <w:r>
              <w:rPr>
                <w:b w:val="false"/>
                <w:bCs w:val="false"/>
                <w:sz w:val="20"/>
                <w:szCs w:val="20"/>
              </w:rPr>
              <w:t xml:space="preserve">Tables PostgreSQL avec contraintes, index et clés étrangères</w:t>
            </w:r>
          </w:p>
        </w:tc>
      </w:tr>
      <w:tr>
        <w:tc>
          <w:tcPr>
            <w:tcW w:type="dxa" w:w="4300"/>
            <w:shd w:fill="F2F2F2" w:val="clear"/>
            <w:tcMar>
              <w:top w:type="dxa" w:w="60"/>
              <w:left w:type="dxa" w:w="100"/>
              <w:bottom w:type="dxa" w:w="60"/>
              <w:right w:type="dxa" w:w="100"/>
            </w:tcMar>
          </w:tcPr>
          <w:p>
            <w:r>
              <w:rPr>
                <w:b w:val="false"/>
                <w:bCs w:val="false"/>
                <w:sz w:val="20"/>
                <w:szCs w:val="20"/>
              </w:rPr>
              <w:t xml:space="preserve">modPaie (calcul brut, CNSS, RTS, VF, CFPA, net)</w:t>
            </w:r>
          </w:p>
        </w:tc>
        <w:tc>
          <w:tcPr>
            <w:tcW w:type="dxa" w:w="5060"/>
            <w:shd w:fill="F2F2F2" w:val="clear"/>
            <w:tcMar>
              <w:top w:type="dxa" w:w="60"/>
              <w:left w:type="dxa" w:w="100"/>
              <w:bottom w:type="dxa" w:w="60"/>
              <w:right w:type="dxa" w:w="100"/>
            </w:tcMar>
          </w:tcPr>
          <w:p>
            <w:r>
              <w:rPr>
                <w:b w:val="false"/>
                <w:bCs w:val="false"/>
                <w:sz w:val="20"/>
                <w:szCs w:val="20"/>
              </w:rPr>
              <w:t xml:space="preserve">Module TypeScript lib/paie/ + Server Action de génération, testé unitairement</w:t>
            </w:r>
          </w:p>
        </w:tc>
      </w:tr>
      <w:tr>
        <w:tc>
          <w:tcPr>
            <w:tcW w:type="dxa" w:w="4300"/>
            <w:tcMar>
              <w:top w:type="dxa" w:w="60"/>
              <w:left w:type="dxa" w:w="100"/>
              <w:bottom w:type="dxa" w:w="60"/>
              <w:right w:type="dxa" w:w="100"/>
            </w:tcMar>
          </w:tcPr>
          <w:p>
            <w:r>
              <w:rPr>
                <w:b w:val="false"/>
                <w:bCs w:val="false"/>
                <w:sz w:val="20"/>
                <w:szCs w:val="20"/>
              </w:rPr>
              <w:t xml:space="preserve">modImpressions + feuilles TMP_ (bulletins, attestations)</w:t>
            </w:r>
          </w:p>
        </w:tc>
        <w:tc>
          <w:tcPr>
            <w:tcW w:type="dxa" w:w="5060"/>
            <w:tcMar>
              <w:top w:type="dxa" w:w="60"/>
              <w:left w:type="dxa" w:w="100"/>
              <w:bottom w:type="dxa" w:w="60"/>
              <w:right w:type="dxa" w:w="100"/>
            </w:tcMar>
          </w:tcPr>
          <w:p>
            <w:r>
              <w:rPr>
                <w:b w:val="false"/>
                <w:bCs w:val="false"/>
                <w:sz w:val="20"/>
                <w:szCs w:val="20"/>
              </w:rPr>
              <w:t xml:space="preserve">Génération PDF côté serveur + stockage Supabase Storage</w:t>
            </w:r>
          </w:p>
        </w:tc>
      </w:tr>
      <w:tr>
        <w:tc>
          <w:tcPr>
            <w:tcW w:type="dxa" w:w="4300"/>
            <w:shd w:fill="F2F2F2" w:val="clear"/>
            <w:tcMar>
              <w:top w:type="dxa" w:w="60"/>
              <w:left w:type="dxa" w:w="100"/>
              <w:bottom w:type="dxa" w:w="60"/>
              <w:right w:type="dxa" w:w="100"/>
            </w:tcMar>
          </w:tcPr>
          <w:p>
            <w:r>
              <w:rPr>
                <w:b w:val="false"/>
                <w:bCs w:val="false"/>
                <w:sz w:val="20"/>
                <w:szCs w:val="20"/>
              </w:rPr>
              <w:t xml:space="preserve">modConges (jours ouvrables, workflow Manager → RH)</w:t>
            </w:r>
          </w:p>
        </w:tc>
        <w:tc>
          <w:tcPr>
            <w:tcW w:type="dxa" w:w="5060"/>
            <w:shd w:fill="F2F2F2" w:val="clear"/>
            <w:tcMar>
              <w:top w:type="dxa" w:w="60"/>
              <w:left w:type="dxa" w:w="100"/>
              <w:bottom w:type="dxa" w:w="60"/>
              <w:right w:type="dxa" w:w="100"/>
            </w:tcMar>
          </w:tcPr>
          <w:p>
            <w:r>
              <w:rPr>
                <w:b w:val="false"/>
                <w:bCs w:val="false"/>
                <w:sz w:val="20"/>
                <w:szCs w:val="20"/>
              </w:rPr>
              <w:t xml:space="preserve">Tables conges + soldes, workflow de statuts, notifications email</w:t>
            </w:r>
          </w:p>
        </w:tc>
      </w:tr>
      <w:tr>
        <w:tc>
          <w:tcPr>
            <w:tcW w:type="dxa" w:w="4300"/>
            <w:tcMar>
              <w:top w:type="dxa" w:w="60"/>
              <w:left w:type="dxa" w:w="100"/>
              <w:bottom w:type="dxa" w:w="60"/>
              <w:right w:type="dxa" w:w="100"/>
            </w:tcMar>
          </w:tcPr>
          <w:p>
            <w:r>
              <w:rPr>
                <w:b w:val="false"/>
                <w:bCs w:val="false"/>
                <w:sz w:val="20"/>
                <w:szCs w:val="20"/>
              </w:rPr>
              <w:t xml:space="preserve">modAlerts (CDD, pièces d'identité, soldes)</w:t>
            </w:r>
          </w:p>
        </w:tc>
        <w:tc>
          <w:tcPr>
            <w:tcW w:type="dxa" w:w="5060"/>
            <w:tcMar>
              <w:top w:type="dxa" w:w="60"/>
              <w:left w:type="dxa" w:w="100"/>
              <w:bottom w:type="dxa" w:w="60"/>
              <w:right w:type="dxa" w:w="100"/>
            </w:tcMar>
          </w:tcPr>
          <w:p>
            <w:r>
              <w:rPr>
                <w:b w:val="false"/>
                <w:bCs w:val="false"/>
                <w:sz w:val="20"/>
                <w:szCs w:val="20"/>
              </w:rPr>
              <w:t xml:space="preserve">Requêtes SQL programmées (cron Vercel) + panneau d'alertes sur le dashboard</w:t>
            </w:r>
          </w:p>
        </w:tc>
      </w:tr>
      <w:tr>
        <w:tc>
          <w:tcPr>
            <w:tcW w:type="dxa" w:w="4300"/>
            <w:shd w:fill="F2F2F2" w:val="clear"/>
            <w:tcMar>
              <w:top w:type="dxa" w:w="60"/>
              <w:left w:type="dxa" w:w="100"/>
              <w:bottom w:type="dxa" w:w="60"/>
              <w:right w:type="dxa" w:w="100"/>
            </w:tcMar>
          </w:tcPr>
          <w:p>
            <w:r>
              <w:rPr>
                <w:b w:val="false"/>
                <w:bCs w:val="false"/>
                <w:sz w:val="20"/>
                <w:szCs w:val="20"/>
              </w:rPr>
              <w:t xml:space="preserve">LOG_Connexions, LOG_Mouvements</w:t>
            </w:r>
          </w:p>
        </w:tc>
        <w:tc>
          <w:tcPr>
            <w:tcW w:type="dxa" w:w="5060"/>
            <w:shd w:fill="F2F2F2" w:val="clear"/>
            <w:tcMar>
              <w:top w:type="dxa" w:w="60"/>
              <w:left w:type="dxa" w:w="100"/>
              <w:bottom w:type="dxa" w:w="60"/>
              <w:right w:type="dxa" w:w="100"/>
            </w:tcMar>
          </w:tcPr>
          <w:p>
            <w:r>
              <w:rPr>
                <w:b w:val="false"/>
                <w:bCs w:val="false"/>
                <w:sz w:val="20"/>
                <w:szCs w:val="20"/>
              </w:rPr>
              <w:t xml:space="preserve">Table audit_log générique (triggers PostgreSQL)</w:t>
            </w:r>
          </w:p>
        </w:tc>
      </w:tr>
      <w:tr>
        <w:tc>
          <w:tcPr>
            <w:tcW w:type="dxa" w:w="4300"/>
            <w:tcMar>
              <w:top w:type="dxa" w:w="60"/>
              <w:left w:type="dxa" w:w="100"/>
              <w:bottom w:type="dxa" w:w="60"/>
              <w:right w:type="dxa" w:w="100"/>
            </w:tcMar>
          </w:tcPr>
          <w:p>
            <w:r>
              <w:rPr>
                <w:b w:val="false"/>
                <w:bCs w:val="false"/>
                <w:sz w:val="20"/>
                <w:szCs w:val="20"/>
              </w:rPr>
              <w:t xml:space="preserve">modSauvegarde (20 copies)</w:t>
            </w:r>
          </w:p>
        </w:tc>
        <w:tc>
          <w:tcPr>
            <w:tcW w:type="dxa" w:w="5060"/>
            <w:tcMar>
              <w:top w:type="dxa" w:w="60"/>
              <w:left w:type="dxa" w:w="100"/>
              <w:bottom w:type="dxa" w:w="60"/>
              <w:right w:type="dxa" w:w="100"/>
            </w:tcMar>
          </w:tcPr>
          <w:p>
            <w:r>
              <w:rPr>
                <w:b w:val="false"/>
                <w:bCs w:val="false"/>
                <w:sz w:val="20"/>
                <w:szCs w:val="20"/>
              </w:rPr>
              <w:t xml:space="preserve">Sauvegardes automatiques Supabase (quotidiennes) + exports à la demande</w:t>
            </w:r>
          </w:p>
        </w:tc>
      </w:tr>
      <w:tr>
        <w:tc>
          <w:tcPr>
            <w:tcW w:type="dxa" w:w="4300"/>
            <w:shd w:fill="F2F2F2" w:val="clear"/>
            <w:tcMar>
              <w:top w:type="dxa" w:w="60"/>
              <w:left w:type="dxa" w:w="100"/>
              <w:bottom w:type="dxa" w:w="60"/>
              <w:right w:type="dxa" w:w="100"/>
            </w:tcMar>
          </w:tcPr>
          <w:p>
            <w:r>
              <w:rPr>
                <w:b w:val="false"/>
                <w:bCs w:val="false"/>
                <w:sz w:val="20"/>
                <w:szCs w:val="20"/>
              </w:rPr>
              <w:t xml:space="preserve">Système de licence (ID Machine, clé NEXSIRH-*)</w:t>
            </w:r>
          </w:p>
        </w:tc>
        <w:tc>
          <w:tcPr>
            <w:tcW w:type="dxa" w:w="5060"/>
            <w:shd w:fill="F2F2F2" w:val="clear"/>
            <w:tcMar>
              <w:top w:type="dxa" w:w="60"/>
              <w:left w:type="dxa" w:w="100"/>
              <w:bottom w:type="dxa" w:w="60"/>
              <w:right w:type="dxa" w:w="100"/>
            </w:tcMar>
          </w:tcPr>
          <w:p>
            <w:r>
              <w:rPr>
                <w:b w:val="false"/>
                <w:bCs w:val="false"/>
                <w:sz w:val="20"/>
                <w:szCs w:val="20"/>
              </w:rPr>
              <w:t xml:space="preserve">Abonnements Stripe : table subscriptions, statuts trial/active/past_due/canceled</w:t>
            </w:r>
          </w:p>
        </w:tc>
      </w:tr>
      <w:tr>
        <w:tc>
          <w:tcPr>
            <w:tcW w:type="dxa" w:w="4300"/>
            <w:tcMar>
              <w:top w:type="dxa" w:w="60"/>
              <w:left w:type="dxa" w:w="100"/>
              <w:bottom w:type="dxa" w:w="60"/>
              <w:right w:type="dxa" w:w="100"/>
            </w:tcMar>
          </w:tcPr>
          <w:p>
            <w:r>
              <w:rPr>
                <w:b w:val="false"/>
                <w:bCs w:val="false"/>
                <w:sz w:val="20"/>
                <w:szCs w:val="20"/>
              </w:rPr>
              <w:t xml:space="preserve">TDB_Accueil / TDB_Indicateurs / TCD</w:t>
            </w:r>
          </w:p>
        </w:tc>
        <w:tc>
          <w:tcPr>
            <w:tcW w:type="dxa" w:w="5060"/>
            <w:tcMar>
              <w:top w:type="dxa" w:w="60"/>
              <w:left w:type="dxa" w:w="100"/>
              <w:bottom w:type="dxa" w:w="60"/>
              <w:right w:type="dxa" w:w="100"/>
            </w:tcMar>
          </w:tcPr>
          <w:p>
            <w:r>
              <w:rPr>
                <w:b w:val="false"/>
                <w:bCs w:val="false"/>
                <w:sz w:val="20"/>
                <w:szCs w:val="20"/>
              </w:rPr>
              <w:t xml:space="preserve">Dashboard React avec Recharts, filtres par période et département</w:t>
            </w:r>
          </w:p>
        </w:tc>
      </w:tr>
      <w:tr>
        <w:tc>
          <w:tcPr>
            <w:tcW w:type="dxa" w:w="4300"/>
            <w:shd w:fill="F2F2F2" w:val="clear"/>
            <w:tcMar>
              <w:top w:type="dxa" w:w="60"/>
              <w:left w:type="dxa" w:w="100"/>
              <w:bottom w:type="dxa" w:w="60"/>
              <w:right w:type="dxa" w:w="100"/>
            </w:tcMar>
          </w:tcPr>
          <w:p>
            <w:r>
              <w:rPr>
                <w:b w:val="false"/>
                <w:bCs w:val="false"/>
                <w:sz w:val="20"/>
                <w:szCs w:val="20"/>
              </w:rPr>
              <w:t xml:space="preserve">Plages nommées #REF!, mod_tmp, modNavigation</w:t>
            </w:r>
          </w:p>
        </w:tc>
        <w:tc>
          <w:tcPr>
            <w:tcW w:type="dxa" w:w="5060"/>
            <w:shd w:fill="F2F2F2" w:val="clear"/>
            <w:tcMar>
              <w:top w:type="dxa" w:w="60"/>
              <w:left w:type="dxa" w:w="100"/>
              <w:bottom w:type="dxa" w:w="60"/>
              <w:right w:type="dxa" w:w="100"/>
            </w:tcMar>
          </w:tcPr>
          <w:p>
            <w:r>
              <w:rPr>
                <w:b w:val="false"/>
                <w:bCs w:val="false"/>
                <w:sz w:val="20"/>
                <w:szCs w:val="20"/>
              </w:rPr>
              <w:t xml:space="preserve">Dette technique non reprise — abandonnée avec le fichier</w:t>
            </w:r>
          </w:p>
        </w:tc>
      </w:tr>
    </w:tbl>
    <w:p>
      <w:pPr>
        <w:pStyle w:val="Heading2"/>
        <w:spacing w:after="120" w:before="280"/>
      </w:pPr>
      <w:r>
        <w:rPr>
          <w:color w:val="1F4E79"/>
        </w:rPr>
        <w:t xml:space="preserve">3.3 Structure du projet Next.js</w:t>
      </w:r>
    </w:p>
    <w:p>
      <w:pPr>
        <w:spacing w:after="120"/>
      </w:pPr>
      <w:r>
        <w:t xml:space="preserve">Organisation indicative du dépôt, à donner telle quelle aux agents IA :</w:t>
      </w:r>
    </w:p>
    <w:p>
      <w:pPr>
        <w:pStyle w:val="ListParagraph"/>
        <w:numPr>
          <w:ilvl w:val="0"/>
          <w:numId w:val="2"/>
        </w:numPr>
        <w:spacing w:after="80"/>
      </w:pPr>
      <w:r>
        <w:t xml:space="preserve">app/(auth)/ — connexion, inscription entreprise, mot de passe oublié</w:t>
      </w:r>
    </w:p>
    <w:p>
      <w:pPr>
        <w:pStyle w:val="ListParagraph"/>
        <w:numPr>
          <w:ilvl w:val="0"/>
          <w:numId w:val="2"/>
        </w:numPr>
        <w:spacing w:after="80"/>
      </w:pPr>
      <w:r>
        <w:t xml:space="preserve">app/(app)/dashboard, /employes, /paie, /conges, /temps, /documents, /parametrage, /rapports — les modules</w:t>
      </w:r>
    </w:p>
    <w:p>
      <w:pPr>
        <w:pStyle w:val="ListParagraph"/>
        <w:numPr>
          <w:ilvl w:val="0"/>
          <w:numId w:val="2"/>
        </w:numPr>
        <w:spacing w:after="80"/>
      </w:pPr>
      <w:r>
        <w:t xml:space="preserve">app/(portail)/mes-bulletins, /mes-conges — portail employé en libre-service</w:t>
      </w:r>
    </w:p>
    <w:p>
      <w:pPr>
        <w:pStyle w:val="ListParagraph"/>
        <w:numPr>
          <w:ilvl w:val="0"/>
          <w:numId w:val="2"/>
        </w:numPr>
        <w:spacing w:after="80"/>
      </w:pPr>
      <w:r>
        <w:t xml:space="preserve">lib/paie/ — calculs purs (brut, CNSS, RTS, VF, CFPA, net) avec leurs tests</w:t>
      </w:r>
    </w:p>
    <w:p>
      <w:pPr>
        <w:pStyle w:val="ListParagraph"/>
        <w:numPr>
          <w:ilvl w:val="0"/>
          <w:numId w:val="2"/>
        </w:numPr>
        <w:spacing w:after="80"/>
      </w:pPr>
      <w:r>
        <w:t xml:space="preserve">lib/conges/ — jours ouvrables, soldes, majoration ancienneté</w:t>
      </w:r>
    </w:p>
    <w:p>
      <w:pPr>
        <w:pStyle w:val="ListParagraph"/>
        <w:numPr>
          <w:ilvl w:val="0"/>
          <w:numId w:val="2"/>
        </w:numPr>
        <w:spacing w:after="80"/>
      </w:pPr>
      <w:r>
        <w:t xml:space="preserve">supabase/migrations/ — schéma SQL versionné</w:t>
      </w:r>
    </w:p>
    <w:p>
      <w:pPr>
        <w:pStyle w:val="ListParagraph"/>
        <w:numPr>
          <w:ilvl w:val="0"/>
          <w:numId w:val="2"/>
        </w:numPr>
        <w:spacing w:after="80"/>
      </w:pPr>
      <w:r>
        <w:t xml:space="preserve">components/ — composants shadcn/ui et composants métier (BulletinPreview, SoldeCongesCard…)</w:t>
      </w:r>
    </w:p>
    <w:p>
      <w:pPr>
        <w:pStyle w:val="Heading1"/>
        <w:spacing w:after="160" w:before="360"/>
      </w:pPr>
      <w:r>
        <w:rPr>
          <w:color w:val="1F4E79"/>
        </w:rPr>
        <w:t xml:space="preserve">4. Modèle de données (PostgreSQL)</w:t>
      </w:r>
    </w:p>
    <w:p>
      <w:pPr>
        <w:spacing w:after="120"/>
      </w:pPr>
      <w:r>
        <w:t xml:space="preserve">Le schéma reprend la structure des tableaux Excel en la normalisant. Toutes les tables métier portent company_id (uuid, clé étrangère vers companies) et sont protégées par RLS.</w:t>
      </w:r>
    </w:p>
    <w:p>
      <w:pPr>
        <w:pStyle w:val="Heading2"/>
        <w:spacing w:after="120" w:before="280"/>
      </w:pPr>
      <w:r>
        <w:rPr>
          <w:color w:val="1F4E79"/>
        </w:rPr>
        <w:t xml:space="preserve">4.1 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shd w:fill="1F4E79" w:val="clear"/>
            <w:tcMar>
              <w:top w:type="dxa" w:w="60"/>
              <w:left w:type="dxa" w:w="100"/>
              <w:bottom w:type="dxa" w:w="60"/>
              <w:right w:type="dxa" w:w="100"/>
            </w:tcMar>
          </w:tcPr>
          <w:p>
            <w:r>
              <w:rPr>
                <w:b/>
                <w:bCs/>
                <w:color w:val="FFFFFF"/>
                <w:sz w:val="20"/>
                <w:szCs w:val="20"/>
              </w:rPr>
              <w:t xml:space="preserve">Table</w:t>
            </w:r>
          </w:p>
        </w:tc>
        <w:tc>
          <w:tcPr>
            <w:tcW w:type="dxa" w:w="2300"/>
            <w:shd w:fill="1F4E79" w:val="clear"/>
            <w:tcMar>
              <w:top w:type="dxa" w:w="60"/>
              <w:left w:type="dxa" w:w="100"/>
              <w:bottom w:type="dxa" w:w="60"/>
              <w:right w:type="dxa" w:w="100"/>
            </w:tcMar>
          </w:tcPr>
          <w:p>
            <w:r>
              <w:rPr>
                <w:b/>
                <w:bCs/>
                <w:color w:val="FFFFFF"/>
                <w:sz w:val="20"/>
                <w:szCs w:val="20"/>
              </w:rPr>
              <w:t xml:space="preserve">Reprend (Excel)</w:t>
            </w:r>
          </w:p>
        </w:tc>
        <w:tc>
          <w:tcPr>
            <w:tcW w:type="dxa" w:w="5060"/>
            <w:shd w:fill="1F4E79" w:val="clear"/>
            <w:tcMar>
              <w:top w:type="dxa" w:w="60"/>
              <w:left w:type="dxa" w:w="100"/>
              <w:bottom w:type="dxa" w:w="60"/>
              <w:right w:type="dxa" w:w="100"/>
            </w:tcMar>
          </w:tcPr>
          <w:p>
            <w:r>
              <w:rPr>
                <w:b/>
                <w:bCs/>
                <w:color w:val="FFFFFF"/>
                <w:sz w:val="20"/>
                <w:szCs w:val="20"/>
              </w:rPr>
              <w:t xml:space="preserve">Contenu clé</w:t>
            </w:r>
          </w:p>
        </w:tc>
      </w:tr>
      <w:tr>
        <w:tc>
          <w:tcPr>
            <w:tcW w:type="dxa" w:w="2000"/>
            <w:tcMar>
              <w:top w:type="dxa" w:w="60"/>
              <w:left w:type="dxa" w:w="100"/>
              <w:bottom w:type="dxa" w:w="60"/>
              <w:right w:type="dxa" w:w="100"/>
            </w:tcMar>
          </w:tcPr>
          <w:p>
            <w:r>
              <w:rPr>
                <w:b w:val="false"/>
                <w:bCs w:val="false"/>
                <w:sz w:val="20"/>
                <w:szCs w:val="20"/>
              </w:rPr>
              <w:t xml:space="preserve">companies</w:t>
            </w:r>
          </w:p>
        </w:tc>
        <w:tc>
          <w:tcPr>
            <w:tcW w:type="dxa" w:w="2300"/>
            <w:tcMar>
              <w:top w:type="dxa" w:w="60"/>
              <w:left w:type="dxa" w:w="100"/>
              <w:bottom w:type="dxa" w:w="60"/>
              <w:right w:type="dxa" w:w="100"/>
            </w:tcMar>
          </w:tcPr>
          <w:p>
            <w:r>
              <w:rPr>
                <w:b w:val="false"/>
                <w:bCs w:val="false"/>
                <w:sz w:val="20"/>
                <w:szCs w:val="20"/>
              </w:rPr>
              <w:t xml:space="preserve">REF_Entreprise</w:t>
            </w:r>
          </w:p>
        </w:tc>
        <w:tc>
          <w:tcPr>
            <w:tcW w:type="dxa" w:w="5060"/>
            <w:tcMar>
              <w:top w:type="dxa" w:w="60"/>
              <w:left w:type="dxa" w:w="100"/>
              <w:bottom w:type="dxa" w:w="60"/>
              <w:right w:type="dxa" w:w="100"/>
            </w:tcMar>
          </w:tcPr>
          <w:p>
            <w:r>
              <w:rPr>
                <w:b w:val="false"/>
                <w:bCs w:val="false"/>
                <w:sz w:val="20"/>
                <w:szCs w:val="20"/>
              </w:rPr>
              <w:t xml:space="preserve">Raison sociale, NIF, n° CNSS employeur, adresse, convention, logo, monnaie GNF</w:t>
            </w:r>
          </w:p>
        </w:tc>
      </w:tr>
      <w:tr>
        <w:tc>
          <w:tcPr>
            <w:tcW w:type="dxa" w:w="2000"/>
            <w:shd w:fill="F2F2F2" w:val="clear"/>
            <w:tcMar>
              <w:top w:type="dxa" w:w="60"/>
              <w:left w:type="dxa" w:w="100"/>
              <w:bottom w:type="dxa" w:w="60"/>
              <w:right w:type="dxa" w:w="100"/>
            </w:tcMar>
          </w:tcPr>
          <w:p>
            <w:r>
              <w:rPr>
                <w:b w:val="false"/>
                <w:bCs w:val="false"/>
                <w:sz w:val="20"/>
                <w:szCs w:val="20"/>
              </w:rPr>
              <w:t xml:space="preserve">profiles</w:t>
            </w:r>
          </w:p>
        </w:tc>
        <w:tc>
          <w:tcPr>
            <w:tcW w:type="dxa" w:w="2300"/>
            <w:shd w:fill="F2F2F2" w:val="clear"/>
            <w:tcMar>
              <w:top w:type="dxa" w:w="60"/>
              <w:left w:type="dxa" w:w="100"/>
              <w:bottom w:type="dxa" w:w="60"/>
              <w:right w:type="dxa" w:w="100"/>
            </w:tcMar>
          </w:tcPr>
          <w:p>
            <w:r>
              <w:rPr>
                <w:b w:val="false"/>
                <w:bCs w:val="false"/>
                <w:sz w:val="20"/>
                <w:szCs w:val="20"/>
              </w:rPr>
              <w:t xml:space="preserve">SYS_Utilisateurs</w:t>
            </w:r>
          </w:p>
        </w:tc>
        <w:tc>
          <w:tcPr>
            <w:tcW w:type="dxa" w:w="5060"/>
            <w:shd w:fill="F2F2F2" w:val="clear"/>
            <w:tcMar>
              <w:top w:type="dxa" w:w="60"/>
              <w:left w:type="dxa" w:w="100"/>
              <w:bottom w:type="dxa" w:w="60"/>
              <w:right w:type="dxa" w:w="100"/>
            </w:tcMar>
          </w:tcPr>
          <w:p>
            <w:r>
              <w:rPr>
                <w:b w:val="false"/>
                <w:bCs w:val="false"/>
                <w:sz w:val="20"/>
                <w:szCs w:val="20"/>
              </w:rPr>
              <w:t xml:space="preserve">Lien auth.users ↔ entreprise, rôle, matricule lié, actif</w:t>
            </w:r>
          </w:p>
        </w:tc>
      </w:tr>
      <w:tr>
        <w:tc>
          <w:tcPr>
            <w:tcW w:type="dxa" w:w="2000"/>
            <w:tcMar>
              <w:top w:type="dxa" w:w="60"/>
              <w:left w:type="dxa" w:w="100"/>
              <w:bottom w:type="dxa" w:w="60"/>
              <w:right w:type="dxa" w:w="100"/>
            </w:tcMar>
          </w:tcPr>
          <w:p>
            <w:r>
              <w:rPr>
                <w:b w:val="false"/>
                <w:bCs w:val="false"/>
                <w:sz w:val="20"/>
                <w:szCs w:val="20"/>
              </w:rPr>
              <w:t xml:space="preserve">departments</w:t>
            </w:r>
          </w:p>
        </w:tc>
        <w:tc>
          <w:tcPr>
            <w:tcW w:type="dxa" w:w="2300"/>
            <w:tcMar>
              <w:top w:type="dxa" w:w="60"/>
              <w:left w:type="dxa" w:w="100"/>
              <w:bottom w:type="dxa" w:w="60"/>
              <w:right w:type="dxa" w:w="100"/>
            </w:tcMar>
          </w:tcPr>
          <w:p>
            <w:r>
              <w:rPr>
                <w:b w:val="false"/>
                <w:bCs w:val="false"/>
                <w:sz w:val="20"/>
                <w:szCs w:val="20"/>
              </w:rPr>
              <w:t xml:space="preserve">REF_Departements</w:t>
            </w:r>
          </w:p>
        </w:tc>
        <w:tc>
          <w:tcPr>
            <w:tcW w:type="dxa" w:w="5060"/>
            <w:tcMar>
              <w:top w:type="dxa" w:w="60"/>
              <w:left w:type="dxa" w:w="100"/>
              <w:bottom w:type="dxa" w:w="60"/>
              <w:right w:type="dxa" w:w="100"/>
            </w:tcMar>
          </w:tcPr>
          <w:p>
            <w:r>
              <w:rPr>
                <w:b w:val="false"/>
                <w:bCs w:val="false"/>
                <w:sz w:val="20"/>
                <w:szCs w:val="20"/>
              </w:rPr>
              <w:t xml:space="preserve">Code, libellé, responsable</w:t>
            </w:r>
          </w:p>
        </w:tc>
      </w:tr>
      <w:tr>
        <w:tc>
          <w:tcPr>
            <w:tcW w:type="dxa" w:w="2000"/>
            <w:shd w:fill="F2F2F2" w:val="clear"/>
            <w:tcMar>
              <w:top w:type="dxa" w:w="60"/>
              <w:left w:type="dxa" w:w="100"/>
              <w:bottom w:type="dxa" w:w="60"/>
              <w:right w:type="dxa" w:w="100"/>
            </w:tcMar>
          </w:tcPr>
          <w:p>
            <w:r>
              <w:rPr>
                <w:b w:val="false"/>
                <w:bCs w:val="false"/>
                <w:sz w:val="20"/>
                <w:szCs w:val="20"/>
              </w:rPr>
              <w:t xml:space="preserve">positions</w:t>
            </w:r>
          </w:p>
        </w:tc>
        <w:tc>
          <w:tcPr>
            <w:tcW w:type="dxa" w:w="2300"/>
            <w:shd w:fill="F2F2F2" w:val="clear"/>
            <w:tcMar>
              <w:top w:type="dxa" w:w="60"/>
              <w:left w:type="dxa" w:w="100"/>
              <w:bottom w:type="dxa" w:w="60"/>
              <w:right w:type="dxa" w:w="100"/>
            </w:tcMar>
          </w:tcPr>
          <w:p>
            <w:r>
              <w:rPr>
                <w:b w:val="false"/>
                <w:bCs w:val="false"/>
                <w:sz w:val="20"/>
                <w:szCs w:val="20"/>
              </w:rPr>
              <w:t xml:space="preserve">REF_Postes</w:t>
            </w:r>
          </w:p>
        </w:tc>
        <w:tc>
          <w:tcPr>
            <w:tcW w:type="dxa" w:w="5060"/>
            <w:shd w:fill="F2F2F2" w:val="clear"/>
            <w:tcMar>
              <w:top w:type="dxa" w:w="60"/>
              <w:left w:type="dxa" w:w="100"/>
              <w:bottom w:type="dxa" w:w="60"/>
              <w:right w:type="dxa" w:w="100"/>
            </w:tcMar>
          </w:tcPr>
          <w:p>
            <w:r>
              <w:rPr>
                <w:b w:val="false"/>
                <w:bCs w:val="false"/>
                <w:sz w:val="20"/>
                <w:szCs w:val="20"/>
              </w:rPr>
              <w:t xml:space="preserve">Poste, catégorie (Employé/Cadre/Cadre Sup.), fourchette salariale</w:t>
            </w:r>
          </w:p>
        </w:tc>
      </w:tr>
      <w:tr>
        <w:tc>
          <w:tcPr>
            <w:tcW w:type="dxa" w:w="2000"/>
            <w:tcMar>
              <w:top w:type="dxa" w:w="60"/>
              <w:left w:type="dxa" w:w="100"/>
              <w:bottom w:type="dxa" w:w="60"/>
              <w:right w:type="dxa" w:w="100"/>
            </w:tcMar>
          </w:tcPr>
          <w:p>
            <w:r>
              <w:rPr>
                <w:b w:val="false"/>
                <w:bCs w:val="false"/>
                <w:sz w:val="20"/>
                <w:szCs w:val="20"/>
              </w:rPr>
              <w:t xml:space="preserve">employees</w:t>
            </w:r>
          </w:p>
        </w:tc>
        <w:tc>
          <w:tcPr>
            <w:tcW w:type="dxa" w:w="2300"/>
            <w:tcMar>
              <w:top w:type="dxa" w:w="60"/>
              <w:left w:type="dxa" w:w="100"/>
              <w:bottom w:type="dxa" w:w="60"/>
              <w:right w:type="dxa" w:w="100"/>
            </w:tcMar>
          </w:tcPr>
          <w:p>
            <w:r>
              <w:rPr>
                <w:b w:val="false"/>
                <w:bCs w:val="false"/>
                <w:sz w:val="20"/>
                <w:szCs w:val="20"/>
              </w:rPr>
              <w:t xml:space="preserve">DATA_Employes</w:t>
            </w:r>
          </w:p>
        </w:tc>
        <w:tc>
          <w:tcPr>
            <w:tcW w:type="dxa" w:w="5060"/>
            <w:tcMar>
              <w:top w:type="dxa" w:w="60"/>
              <w:left w:type="dxa" w:w="100"/>
              <w:bottom w:type="dxa" w:w="60"/>
              <w:right w:type="dxa" w:w="100"/>
            </w:tcMar>
          </w:tcPr>
          <w:p>
            <w:r>
              <w:rPr>
                <w:b w:val="false"/>
                <w:bCs w:val="false"/>
                <w:sz w:val="20"/>
                <w:szCs w:val="20"/>
              </w:rPr>
              <w:t xml:space="preserve">Identité, coordonnées, pièce d'identité, poste, contrat, salaire de base, n° CNSS, banque, primes fixes, statut</w:t>
            </w:r>
          </w:p>
        </w:tc>
      </w:tr>
      <w:tr>
        <w:tc>
          <w:tcPr>
            <w:tcW w:type="dxa" w:w="2000"/>
            <w:shd w:fill="F2F2F2" w:val="clear"/>
            <w:tcMar>
              <w:top w:type="dxa" w:w="60"/>
              <w:left w:type="dxa" w:w="100"/>
              <w:bottom w:type="dxa" w:w="60"/>
              <w:right w:type="dxa" w:w="100"/>
            </w:tcMar>
          </w:tcPr>
          <w:p>
            <w:r>
              <w:rPr>
                <w:b w:val="false"/>
                <w:bCs w:val="false"/>
                <w:sz w:val="20"/>
                <w:szCs w:val="20"/>
              </w:rPr>
              <w:t xml:space="preserve">employee_movements</w:t>
            </w:r>
          </w:p>
        </w:tc>
        <w:tc>
          <w:tcPr>
            <w:tcW w:type="dxa" w:w="2300"/>
            <w:shd w:fill="F2F2F2" w:val="clear"/>
            <w:tcMar>
              <w:top w:type="dxa" w:w="60"/>
              <w:left w:type="dxa" w:w="100"/>
              <w:bottom w:type="dxa" w:w="60"/>
              <w:right w:type="dxa" w:w="100"/>
            </w:tcMar>
          </w:tcPr>
          <w:p>
            <w:r>
              <w:rPr>
                <w:b w:val="false"/>
                <w:bCs w:val="false"/>
                <w:sz w:val="20"/>
                <w:szCs w:val="20"/>
              </w:rPr>
              <w:t xml:space="preserve">LOG_Mouvements</w:t>
            </w:r>
          </w:p>
        </w:tc>
        <w:tc>
          <w:tcPr>
            <w:tcW w:type="dxa" w:w="5060"/>
            <w:shd w:fill="F2F2F2" w:val="clear"/>
            <w:tcMar>
              <w:top w:type="dxa" w:w="60"/>
              <w:left w:type="dxa" w:w="100"/>
              <w:bottom w:type="dxa" w:w="60"/>
              <w:right w:type="dxa" w:w="100"/>
            </w:tcMar>
          </w:tcPr>
          <w:p>
            <w:r>
              <w:rPr>
                <w:b w:val="false"/>
                <w:bCs w:val="false"/>
                <w:sz w:val="20"/>
                <w:szCs w:val="20"/>
              </w:rPr>
              <w:t xml:space="preserve">Historique carrière : champ modifié, ancienne/nouvelle valeur, motif, auteur</w:t>
            </w:r>
          </w:p>
        </w:tc>
      </w:tr>
      <w:tr>
        <w:tc>
          <w:tcPr>
            <w:tcW w:type="dxa" w:w="2000"/>
            <w:tcMar>
              <w:top w:type="dxa" w:w="60"/>
              <w:left w:type="dxa" w:w="100"/>
              <w:bottom w:type="dxa" w:w="60"/>
              <w:right w:type="dxa" w:w="100"/>
            </w:tcMar>
          </w:tcPr>
          <w:p>
            <w:r>
              <w:rPr>
                <w:b w:val="false"/>
                <w:bCs w:val="false"/>
                <w:sz w:val="20"/>
                <w:szCs w:val="20"/>
              </w:rPr>
              <w:t xml:space="preserve">payroll_runs</w:t>
            </w:r>
          </w:p>
        </w:tc>
        <w:tc>
          <w:tcPr>
            <w:tcW w:type="dxa" w:w="2300"/>
            <w:tcMar>
              <w:top w:type="dxa" w:w="60"/>
              <w:left w:type="dxa" w:w="100"/>
              <w:bottom w:type="dxa" w:w="60"/>
              <w:right w:type="dxa" w:w="100"/>
            </w:tcMar>
          </w:tcPr>
          <w:p>
            <w:r>
              <w:rPr>
                <w:b w:val="false"/>
                <w:bCs w:val="false"/>
                <w:sz w:val="20"/>
                <w:szCs w:val="20"/>
              </w:rPr>
              <w:t xml:space="preserve">(nouveau)</w:t>
            </w:r>
          </w:p>
        </w:tc>
        <w:tc>
          <w:tcPr>
            <w:tcW w:type="dxa" w:w="5060"/>
            <w:tcMar>
              <w:top w:type="dxa" w:w="60"/>
              <w:left w:type="dxa" w:w="100"/>
              <w:bottom w:type="dxa" w:w="60"/>
              <w:right w:type="dxa" w:w="100"/>
            </w:tcMar>
          </w:tcPr>
          <w:p>
            <w:r>
              <w:rPr>
                <w:b w:val="false"/>
                <w:bCs w:val="false"/>
                <w:sz w:val="20"/>
                <w:szCs w:val="20"/>
              </w:rPr>
              <w:t xml:space="preserve">Une ligne par entreprise/mois : statut brouillon → validé → clôturé</w:t>
            </w:r>
          </w:p>
        </w:tc>
      </w:tr>
      <w:tr>
        <w:tc>
          <w:tcPr>
            <w:tcW w:type="dxa" w:w="2000"/>
            <w:shd w:fill="F2F2F2" w:val="clear"/>
            <w:tcMar>
              <w:top w:type="dxa" w:w="60"/>
              <w:left w:type="dxa" w:w="100"/>
              <w:bottom w:type="dxa" w:w="60"/>
              <w:right w:type="dxa" w:w="100"/>
            </w:tcMar>
          </w:tcPr>
          <w:p>
            <w:r>
              <w:rPr>
                <w:b w:val="false"/>
                <w:bCs w:val="false"/>
                <w:sz w:val="20"/>
                <w:szCs w:val="20"/>
              </w:rPr>
              <w:t xml:space="preserve">payslips</w:t>
            </w:r>
          </w:p>
        </w:tc>
        <w:tc>
          <w:tcPr>
            <w:tcW w:type="dxa" w:w="2300"/>
            <w:shd w:fill="F2F2F2" w:val="clear"/>
            <w:tcMar>
              <w:top w:type="dxa" w:w="60"/>
              <w:left w:type="dxa" w:w="100"/>
              <w:bottom w:type="dxa" w:w="60"/>
              <w:right w:type="dxa" w:w="100"/>
            </w:tcMar>
          </w:tcPr>
          <w:p>
            <w:r>
              <w:rPr>
                <w:b w:val="false"/>
                <w:bCs w:val="false"/>
                <w:sz w:val="20"/>
                <w:szCs w:val="20"/>
              </w:rPr>
              <w:t xml:space="preserve">DATA_Paie + DATA_Paie_Hist</w:t>
            </w:r>
          </w:p>
        </w:tc>
        <w:tc>
          <w:tcPr>
            <w:tcW w:type="dxa" w:w="5060"/>
            <w:shd w:fill="F2F2F2" w:val="clear"/>
            <w:tcMar>
              <w:top w:type="dxa" w:w="60"/>
              <w:left w:type="dxa" w:w="100"/>
              <w:bottom w:type="dxa" w:w="60"/>
              <w:right w:type="dxa" w:w="100"/>
            </w:tcMar>
          </w:tcPr>
          <w:p>
            <w:r>
              <w:rPr>
                <w:b w:val="false"/>
                <w:bCs w:val="false"/>
                <w:sz w:val="20"/>
                <w:szCs w:val="20"/>
              </w:rPr>
              <w:t xml:space="preserve">Une ligne par salarié/mois : tous les gains, cotisations, retenues, net, cumuls — montants figés à la clôture</w:t>
            </w:r>
          </w:p>
        </w:tc>
      </w:tr>
      <w:tr>
        <w:tc>
          <w:tcPr>
            <w:tcW w:type="dxa" w:w="2000"/>
            <w:tcMar>
              <w:top w:type="dxa" w:w="60"/>
              <w:left w:type="dxa" w:w="100"/>
              <w:bottom w:type="dxa" w:w="60"/>
              <w:right w:type="dxa" w:w="100"/>
            </w:tcMar>
          </w:tcPr>
          <w:p>
            <w:r>
              <w:rPr>
                <w:b w:val="false"/>
                <w:bCs w:val="false"/>
                <w:sz w:val="20"/>
                <w:szCs w:val="20"/>
              </w:rPr>
              <w:t xml:space="preserve">payslip_lines</w:t>
            </w:r>
          </w:p>
        </w:tc>
        <w:tc>
          <w:tcPr>
            <w:tcW w:type="dxa" w:w="2300"/>
            <w:tcMar>
              <w:top w:type="dxa" w:w="60"/>
              <w:left w:type="dxa" w:w="100"/>
              <w:bottom w:type="dxa" w:w="60"/>
              <w:right w:type="dxa" w:w="100"/>
            </w:tcMar>
          </w:tcPr>
          <w:p>
            <w:r>
              <w:rPr>
                <w:b w:val="false"/>
                <w:bCs w:val="false"/>
                <w:sz w:val="20"/>
                <w:szCs w:val="20"/>
              </w:rPr>
              <w:t xml:space="preserve">(nouveau, optionnel)</w:t>
            </w:r>
          </w:p>
        </w:tc>
        <w:tc>
          <w:tcPr>
            <w:tcW w:type="dxa" w:w="5060"/>
            <w:tcMar>
              <w:top w:type="dxa" w:w="60"/>
              <w:left w:type="dxa" w:w="100"/>
              <w:bottom w:type="dxa" w:w="60"/>
              <w:right w:type="dxa" w:w="100"/>
            </w:tcMar>
          </w:tcPr>
          <w:p>
            <w:r>
              <w:rPr>
                <w:b w:val="false"/>
                <w:bCs w:val="false"/>
                <w:sz w:val="20"/>
                <w:szCs w:val="20"/>
              </w:rPr>
              <w:t xml:space="preserve">Détail ligne à ligne du bulletin pour un rendu fidèle au format GARAYA</w:t>
            </w:r>
          </w:p>
        </w:tc>
      </w:tr>
      <w:tr>
        <w:tc>
          <w:tcPr>
            <w:tcW w:type="dxa" w:w="2000"/>
            <w:shd w:fill="F2F2F2" w:val="clear"/>
            <w:tcMar>
              <w:top w:type="dxa" w:w="60"/>
              <w:left w:type="dxa" w:w="100"/>
              <w:bottom w:type="dxa" w:w="60"/>
              <w:right w:type="dxa" w:w="100"/>
            </w:tcMar>
          </w:tcPr>
          <w:p>
            <w:r>
              <w:rPr>
                <w:b w:val="false"/>
                <w:bCs w:val="false"/>
                <w:sz w:val="20"/>
                <w:szCs w:val="20"/>
              </w:rPr>
              <w:t xml:space="preserve">leave_types</w:t>
            </w:r>
          </w:p>
        </w:tc>
        <w:tc>
          <w:tcPr>
            <w:tcW w:type="dxa" w:w="2300"/>
            <w:shd w:fill="F2F2F2" w:val="clear"/>
            <w:tcMar>
              <w:top w:type="dxa" w:w="60"/>
              <w:left w:type="dxa" w:w="100"/>
              <w:bottom w:type="dxa" w:w="60"/>
              <w:right w:type="dxa" w:w="100"/>
            </w:tcMar>
          </w:tcPr>
          <w:p>
            <w:r>
              <w:rPr>
                <w:b w:val="false"/>
                <w:bCs w:val="false"/>
                <w:sz w:val="20"/>
                <w:szCs w:val="20"/>
              </w:rPr>
              <w:t xml:space="preserve">REF_Absences</w:t>
            </w:r>
          </w:p>
        </w:tc>
        <w:tc>
          <w:tcPr>
            <w:tcW w:type="dxa" w:w="5060"/>
            <w:shd w:fill="F2F2F2" w:val="clear"/>
            <w:tcMar>
              <w:top w:type="dxa" w:w="60"/>
              <w:left w:type="dxa" w:w="100"/>
              <w:bottom w:type="dxa" w:w="60"/>
              <w:right w:type="dxa" w:w="100"/>
            </w:tcMar>
          </w:tcPr>
          <w:p>
            <w:r>
              <w:rPr>
                <w:b w:val="false"/>
                <w:bCs w:val="false"/>
                <w:sz w:val="20"/>
                <w:szCs w:val="20"/>
              </w:rPr>
              <w:t xml:space="preserve">CA, CM, CMAT (98 j), PERM, ANJ… avec règles (rémunéré, décompte, validation)</w:t>
            </w:r>
          </w:p>
        </w:tc>
      </w:tr>
      <w:tr>
        <w:tc>
          <w:tcPr>
            <w:tcW w:type="dxa" w:w="2000"/>
            <w:tcMar>
              <w:top w:type="dxa" w:w="60"/>
              <w:left w:type="dxa" w:w="100"/>
              <w:bottom w:type="dxa" w:w="60"/>
              <w:right w:type="dxa" w:w="100"/>
            </w:tcMar>
          </w:tcPr>
          <w:p>
            <w:r>
              <w:rPr>
                <w:b w:val="false"/>
                <w:bCs w:val="false"/>
                <w:sz w:val="20"/>
                <w:szCs w:val="20"/>
              </w:rPr>
              <w:t xml:space="preserve">leave_requests</w:t>
            </w:r>
          </w:p>
        </w:tc>
        <w:tc>
          <w:tcPr>
            <w:tcW w:type="dxa" w:w="2300"/>
            <w:tcMar>
              <w:top w:type="dxa" w:w="60"/>
              <w:left w:type="dxa" w:w="100"/>
              <w:bottom w:type="dxa" w:w="60"/>
              <w:right w:type="dxa" w:w="100"/>
            </w:tcMar>
          </w:tcPr>
          <w:p>
            <w:r>
              <w:rPr>
                <w:b w:val="false"/>
                <w:bCs w:val="false"/>
                <w:sz w:val="20"/>
                <w:szCs w:val="20"/>
              </w:rPr>
              <w:t xml:space="preserve">DATA_Conges</w:t>
            </w:r>
          </w:p>
        </w:tc>
        <w:tc>
          <w:tcPr>
            <w:tcW w:type="dxa" w:w="5060"/>
            <w:tcMar>
              <w:top w:type="dxa" w:w="60"/>
              <w:left w:type="dxa" w:w="100"/>
              <w:bottom w:type="dxa" w:w="60"/>
              <w:right w:type="dxa" w:w="100"/>
            </w:tcMar>
          </w:tcPr>
          <w:p>
            <w:r>
              <w:rPr>
                <w:b w:val="false"/>
                <w:bCs w:val="false"/>
                <w:sz w:val="20"/>
                <w:szCs w:val="20"/>
              </w:rPr>
              <w:t xml:space="preserve">Demande, dates, jours ouvrables calculés, statut (en attente / approuvé manager / approuvé RH / refusé)</w:t>
            </w:r>
          </w:p>
        </w:tc>
      </w:tr>
      <w:tr>
        <w:tc>
          <w:tcPr>
            <w:tcW w:type="dxa" w:w="2000"/>
            <w:shd w:fill="F2F2F2" w:val="clear"/>
            <w:tcMar>
              <w:top w:type="dxa" w:w="60"/>
              <w:left w:type="dxa" w:w="100"/>
              <w:bottom w:type="dxa" w:w="60"/>
              <w:right w:type="dxa" w:w="100"/>
            </w:tcMar>
          </w:tcPr>
          <w:p>
            <w:r>
              <w:rPr>
                <w:b w:val="false"/>
                <w:bCs w:val="false"/>
                <w:sz w:val="20"/>
                <w:szCs w:val="20"/>
              </w:rPr>
              <w:t xml:space="preserve">leave_balances</w:t>
            </w:r>
          </w:p>
        </w:tc>
        <w:tc>
          <w:tcPr>
            <w:tcW w:type="dxa" w:w="2300"/>
            <w:shd w:fill="F2F2F2" w:val="clear"/>
            <w:tcMar>
              <w:top w:type="dxa" w:w="60"/>
              <w:left w:type="dxa" w:w="100"/>
              <w:bottom w:type="dxa" w:w="60"/>
              <w:right w:type="dxa" w:w="100"/>
            </w:tcMar>
          </w:tcPr>
          <w:p>
            <w:r>
              <w:rPr>
                <w:b w:val="false"/>
                <w:bCs w:val="false"/>
                <w:sz w:val="20"/>
                <w:szCs w:val="20"/>
              </w:rPr>
              <w:t xml:space="preserve">DATA_Soldes_Conges</w:t>
            </w:r>
          </w:p>
        </w:tc>
        <w:tc>
          <w:tcPr>
            <w:tcW w:type="dxa" w:w="5060"/>
            <w:shd w:fill="F2F2F2" w:val="clear"/>
            <w:tcMar>
              <w:top w:type="dxa" w:w="60"/>
              <w:left w:type="dxa" w:w="100"/>
              <w:bottom w:type="dxa" w:w="60"/>
              <w:right w:type="dxa" w:w="100"/>
            </w:tcMar>
          </w:tcPr>
          <w:p>
            <w:r>
              <w:rPr>
                <w:b w:val="false"/>
                <w:bCs w:val="false"/>
                <w:sz w:val="20"/>
                <w:szCs w:val="20"/>
              </w:rPr>
              <w:t xml:space="preserve">Droits acquis (2,5 j/mois + 1 j/5 ans), report, pris, solde</w:t>
            </w:r>
          </w:p>
        </w:tc>
      </w:tr>
      <w:tr>
        <w:tc>
          <w:tcPr>
            <w:tcW w:type="dxa" w:w="2000"/>
            <w:tcMar>
              <w:top w:type="dxa" w:w="60"/>
              <w:left w:type="dxa" w:w="100"/>
              <w:bottom w:type="dxa" w:w="60"/>
              <w:right w:type="dxa" w:w="100"/>
            </w:tcMar>
          </w:tcPr>
          <w:p>
            <w:r>
              <w:rPr>
                <w:b w:val="false"/>
                <w:bCs w:val="false"/>
                <w:sz w:val="20"/>
                <w:szCs w:val="20"/>
              </w:rPr>
              <w:t xml:space="preserve">timesheets / timesheet_entries</w:t>
            </w:r>
          </w:p>
        </w:tc>
        <w:tc>
          <w:tcPr>
            <w:tcW w:type="dxa" w:w="2300"/>
            <w:tcMar>
              <w:top w:type="dxa" w:w="60"/>
              <w:left w:type="dxa" w:w="100"/>
              <w:bottom w:type="dxa" w:w="60"/>
              <w:right w:type="dxa" w:w="100"/>
            </w:tcMar>
          </w:tcPr>
          <w:p>
            <w:r>
              <w:rPr>
                <w:b w:val="false"/>
                <w:bCs w:val="false"/>
                <w:sz w:val="20"/>
                <w:szCs w:val="20"/>
              </w:rPr>
              <w:t xml:space="preserve">DATA_Temps (table_temps)</w:t>
            </w:r>
          </w:p>
        </w:tc>
        <w:tc>
          <w:tcPr>
            <w:tcW w:type="dxa" w:w="5060"/>
            <w:tcMar>
              <w:top w:type="dxa" w:w="60"/>
              <w:left w:type="dxa" w:w="100"/>
              <w:bottom w:type="dxa" w:w="60"/>
              <w:right w:type="dxa" w:w="100"/>
            </w:tcMar>
          </w:tcPr>
          <w:p>
            <w:r>
              <w:rPr>
                <w:b w:val="false"/>
                <w:bCs w:val="false"/>
                <w:sz w:val="20"/>
                <w:szCs w:val="20"/>
              </w:rPr>
              <w:t xml:space="preserve">Pointage journalier, heures sup. avec majorations 25/50/100 %</w:t>
            </w:r>
          </w:p>
        </w:tc>
      </w:tr>
      <w:tr>
        <w:tc>
          <w:tcPr>
            <w:tcW w:type="dxa" w:w="2000"/>
            <w:shd w:fill="F2F2F2" w:val="clear"/>
            <w:tcMar>
              <w:top w:type="dxa" w:w="60"/>
              <w:left w:type="dxa" w:w="100"/>
              <w:bottom w:type="dxa" w:w="60"/>
              <w:right w:type="dxa" w:w="100"/>
            </w:tcMar>
          </w:tcPr>
          <w:p>
            <w:r>
              <w:rPr>
                <w:b w:val="false"/>
                <w:bCs w:val="false"/>
                <w:sz w:val="20"/>
                <w:szCs w:val="20"/>
              </w:rPr>
              <w:t xml:space="preserve">tax_brackets</w:t>
            </w:r>
          </w:p>
        </w:tc>
        <w:tc>
          <w:tcPr>
            <w:tcW w:type="dxa" w:w="2300"/>
            <w:shd w:fill="F2F2F2" w:val="clear"/>
            <w:tcMar>
              <w:top w:type="dxa" w:w="60"/>
              <w:left w:type="dxa" w:w="100"/>
              <w:bottom w:type="dxa" w:w="60"/>
              <w:right w:type="dxa" w:w="100"/>
            </w:tcMar>
          </w:tcPr>
          <w:p>
            <w:r>
              <w:rPr>
                <w:b w:val="false"/>
                <w:bCs w:val="false"/>
                <w:sz w:val="20"/>
                <w:szCs w:val="20"/>
              </w:rPr>
              <w:t xml:space="preserve">REF_Bareme_ITS (tbl_Bareme_RTS)</w:t>
            </w:r>
          </w:p>
        </w:tc>
        <w:tc>
          <w:tcPr>
            <w:tcW w:type="dxa" w:w="5060"/>
            <w:shd w:fill="F2F2F2" w:val="clear"/>
            <w:tcMar>
              <w:top w:type="dxa" w:w="60"/>
              <w:left w:type="dxa" w:w="100"/>
              <w:bottom w:type="dxa" w:w="60"/>
              <w:right w:type="dxa" w:w="100"/>
            </w:tcMar>
          </w:tcPr>
          <w:p>
            <w:r>
              <w:rPr>
                <w:b w:val="false"/>
                <w:bCs w:val="false"/>
                <w:sz w:val="20"/>
                <w:szCs w:val="20"/>
              </w:rPr>
              <w:t xml:space="preserve">Barème RTS 4 tranches — modifiable par l'admin plateforme, versionné par date d'effet</w:t>
            </w:r>
          </w:p>
        </w:tc>
      </w:tr>
      <w:tr>
        <w:tc>
          <w:tcPr>
            <w:tcW w:type="dxa" w:w="2000"/>
            <w:tcMar>
              <w:top w:type="dxa" w:w="60"/>
              <w:left w:type="dxa" w:w="100"/>
              <w:bottom w:type="dxa" w:w="60"/>
              <w:right w:type="dxa" w:w="100"/>
            </w:tcMar>
          </w:tcPr>
          <w:p>
            <w:r>
              <w:rPr>
                <w:b w:val="false"/>
                <w:bCs w:val="false"/>
                <w:sz w:val="20"/>
                <w:szCs w:val="20"/>
              </w:rPr>
              <w:t xml:space="preserve">contribution_rates</w:t>
            </w:r>
          </w:p>
        </w:tc>
        <w:tc>
          <w:tcPr>
            <w:tcW w:type="dxa" w:w="2300"/>
            <w:tcMar>
              <w:top w:type="dxa" w:w="60"/>
              <w:left w:type="dxa" w:w="100"/>
              <w:bottom w:type="dxa" w:w="60"/>
              <w:right w:type="dxa" w:w="100"/>
            </w:tcMar>
          </w:tcPr>
          <w:p>
            <w:r>
              <w:rPr>
                <w:b w:val="false"/>
                <w:bCs w:val="false"/>
                <w:sz w:val="20"/>
                <w:szCs w:val="20"/>
              </w:rPr>
              <w:t xml:space="preserve">REF_Taux_CNSS</w:t>
            </w:r>
          </w:p>
        </w:tc>
        <w:tc>
          <w:tcPr>
            <w:tcW w:type="dxa" w:w="5060"/>
            <w:tcMar>
              <w:top w:type="dxa" w:w="60"/>
              <w:left w:type="dxa" w:w="100"/>
              <w:bottom w:type="dxa" w:w="60"/>
              <w:right w:type="dxa" w:w="100"/>
            </w:tcMar>
          </w:tcPr>
          <w:p>
            <w:r>
              <w:rPr>
                <w:b w:val="false"/>
                <w:bCs w:val="false"/>
                <w:sz w:val="20"/>
                <w:szCs w:val="20"/>
              </w:rPr>
              <w:t xml:space="preserve">CNSS 5 %/18 % plafond 2 500 000, VF 6 %, CFPA 1,5 % — versionnés par date d'effet</w:t>
            </w:r>
          </w:p>
        </w:tc>
      </w:tr>
      <w:tr>
        <w:tc>
          <w:tcPr>
            <w:tcW w:type="dxa" w:w="2000"/>
            <w:shd w:fill="F2F2F2" w:val="clear"/>
            <w:tcMar>
              <w:top w:type="dxa" w:w="60"/>
              <w:left w:type="dxa" w:w="100"/>
              <w:bottom w:type="dxa" w:w="60"/>
              <w:right w:type="dxa" w:w="100"/>
            </w:tcMar>
          </w:tcPr>
          <w:p>
            <w:r>
              <w:rPr>
                <w:b w:val="false"/>
                <w:bCs w:val="false"/>
                <w:sz w:val="20"/>
                <w:szCs w:val="20"/>
              </w:rPr>
              <w:t xml:space="preserve">public_holidays</w:t>
            </w:r>
          </w:p>
        </w:tc>
        <w:tc>
          <w:tcPr>
            <w:tcW w:type="dxa" w:w="2300"/>
            <w:shd w:fill="F2F2F2" w:val="clear"/>
            <w:tcMar>
              <w:top w:type="dxa" w:w="60"/>
              <w:left w:type="dxa" w:w="100"/>
              <w:bottom w:type="dxa" w:w="60"/>
              <w:right w:type="dxa" w:w="100"/>
            </w:tcMar>
          </w:tcPr>
          <w:p>
            <w:r>
              <w:rPr>
                <w:b w:val="false"/>
                <w:bCs w:val="false"/>
                <w:sz w:val="20"/>
                <w:szCs w:val="20"/>
              </w:rPr>
              <w:t xml:space="preserve">REF_Jours_Feries</w:t>
            </w:r>
          </w:p>
        </w:tc>
        <w:tc>
          <w:tcPr>
            <w:tcW w:type="dxa" w:w="5060"/>
            <w:shd w:fill="F2F2F2" w:val="clear"/>
            <w:tcMar>
              <w:top w:type="dxa" w:w="60"/>
              <w:left w:type="dxa" w:w="100"/>
              <w:bottom w:type="dxa" w:w="60"/>
              <w:right w:type="dxa" w:w="100"/>
            </w:tcMar>
          </w:tcPr>
          <w:p>
            <w:r>
              <w:rPr>
                <w:b w:val="false"/>
                <w:bCs w:val="false"/>
                <w:sz w:val="20"/>
                <w:szCs w:val="20"/>
              </w:rPr>
              <w:t xml:space="preserve">Jours fériés guinéens par année</w:t>
            </w:r>
          </w:p>
        </w:tc>
      </w:tr>
      <w:tr>
        <w:tc>
          <w:tcPr>
            <w:tcW w:type="dxa" w:w="2000"/>
            <w:tcMar>
              <w:top w:type="dxa" w:w="60"/>
              <w:left w:type="dxa" w:w="100"/>
              <w:bottom w:type="dxa" w:w="60"/>
              <w:right w:type="dxa" w:w="100"/>
            </w:tcMar>
          </w:tcPr>
          <w:p>
            <w:r>
              <w:rPr>
                <w:b w:val="false"/>
                <w:bCs w:val="false"/>
                <w:sz w:val="20"/>
                <w:szCs w:val="20"/>
              </w:rPr>
              <w:t xml:space="preserve">documents</w:t>
            </w:r>
          </w:p>
        </w:tc>
        <w:tc>
          <w:tcPr>
            <w:tcW w:type="dxa" w:w="2300"/>
            <w:tcMar>
              <w:top w:type="dxa" w:w="60"/>
              <w:left w:type="dxa" w:w="100"/>
              <w:bottom w:type="dxa" w:w="60"/>
              <w:right w:type="dxa" w:w="100"/>
            </w:tcMar>
          </w:tcPr>
          <w:p>
            <w:r>
              <w:rPr>
                <w:b w:val="false"/>
                <w:bCs w:val="false"/>
                <w:sz w:val="20"/>
                <w:szCs w:val="20"/>
              </w:rPr>
              <w:t xml:space="preserve">TMP_* + génération</w:t>
            </w:r>
          </w:p>
        </w:tc>
        <w:tc>
          <w:tcPr>
            <w:tcW w:type="dxa" w:w="5060"/>
            <w:tcMar>
              <w:top w:type="dxa" w:w="60"/>
              <w:left w:type="dxa" w:w="100"/>
              <w:bottom w:type="dxa" w:w="60"/>
              <w:right w:type="dxa" w:w="100"/>
            </w:tcMar>
          </w:tcPr>
          <w:p>
            <w:r>
              <w:rPr>
                <w:b w:val="false"/>
                <w:bCs w:val="false"/>
                <w:sz w:val="20"/>
                <w:szCs w:val="20"/>
              </w:rPr>
              <w:t xml:space="preserve">PDF générés (bulletins, attestations, certificats) stockés dans Storage</w:t>
            </w:r>
          </w:p>
        </w:tc>
      </w:tr>
      <w:tr>
        <w:tc>
          <w:tcPr>
            <w:tcW w:type="dxa" w:w="2000"/>
            <w:shd w:fill="F2F2F2" w:val="clear"/>
            <w:tcMar>
              <w:top w:type="dxa" w:w="60"/>
              <w:left w:type="dxa" w:w="100"/>
              <w:bottom w:type="dxa" w:w="60"/>
              <w:right w:type="dxa" w:w="100"/>
            </w:tcMar>
          </w:tcPr>
          <w:p>
            <w:r>
              <w:rPr>
                <w:b w:val="false"/>
                <w:bCs w:val="false"/>
                <w:sz w:val="20"/>
                <w:szCs w:val="20"/>
              </w:rPr>
              <w:t xml:space="preserve">audit_log</w:t>
            </w:r>
          </w:p>
        </w:tc>
        <w:tc>
          <w:tcPr>
            <w:tcW w:type="dxa" w:w="2300"/>
            <w:shd w:fill="F2F2F2" w:val="clear"/>
            <w:tcMar>
              <w:top w:type="dxa" w:w="60"/>
              <w:left w:type="dxa" w:w="100"/>
              <w:bottom w:type="dxa" w:w="60"/>
              <w:right w:type="dxa" w:w="100"/>
            </w:tcMar>
          </w:tcPr>
          <w:p>
            <w:r>
              <w:rPr>
                <w:b w:val="false"/>
                <w:bCs w:val="false"/>
                <w:sz w:val="20"/>
                <w:szCs w:val="20"/>
              </w:rPr>
              <w:t xml:space="preserve">LOG_Connexions + audit</w:t>
            </w:r>
          </w:p>
        </w:tc>
        <w:tc>
          <w:tcPr>
            <w:tcW w:type="dxa" w:w="5060"/>
            <w:shd w:fill="F2F2F2" w:val="clear"/>
            <w:tcMar>
              <w:top w:type="dxa" w:w="60"/>
              <w:left w:type="dxa" w:w="100"/>
              <w:bottom w:type="dxa" w:w="60"/>
              <w:right w:type="dxa" w:w="100"/>
            </w:tcMar>
          </w:tcPr>
          <w:p>
            <w:r>
              <w:rPr>
                <w:b w:val="false"/>
                <w:bCs w:val="false"/>
                <w:sz w:val="20"/>
                <w:szCs w:val="20"/>
              </w:rPr>
              <w:t xml:space="preserve">Toute action sensible : qui, quand, quoi, avant/après</w:t>
            </w:r>
          </w:p>
        </w:tc>
      </w:tr>
      <w:tr>
        <w:tc>
          <w:tcPr>
            <w:tcW w:type="dxa" w:w="2000"/>
            <w:tcMar>
              <w:top w:type="dxa" w:w="60"/>
              <w:left w:type="dxa" w:w="100"/>
              <w:bottom w:type="dxa" w:w="60"/>
              <w:right w:type="dxa" w:w="100"/>
            </w:tcMar>
          </w:tcPr>
          <w:p>
            <w:r>
              <w:rPr>
                <w:b w:val="false"/>
                <w:bCs w:val="false"/>
                <w:sz w:val="20"/>
                <w:szCs w:val="20"/>
              </w:rPr>
              <w:t xml:space="preserve">subscriptions</w:t>
            </w:r>
          </w:p>
        </w:tc>
        <w:tc>
          <w:tcPr>
            <w:tcW w:type="dxa" w:w="2300"/>
            <w:tcMar>
              <w:top w:type="dxa" w:w="60"/>
              <w:left w:type="dxa" w:w="100"/>
              <w:bottom w:type="dxa" w:w="60"/>
              <w:right w:type="dxa" w:w="100"/>
            </w:tcMar>
          </w:tcPr>
          <w:p>
            <w:r>
              <w:rPr>
                <w:b w:val="false"/>
                <w:bCs w:val="false"/>
                <w:sz w:val="20"/>
                <w:szCs w:val="20"/>
              </w:rPr>
              <w:t xml:space="preserve">SYS_Licence</w:t>
            </w:r>
          </w:p>
        </w:tc>
        <w:tc>
          <w:tcPr>
            <w:tcW w:type="dxa" w:w="5060"/>
            <w:tcMar>
              <w:top w:type="dxa" w:w="60"/>
              <w:left w:type="dxa" w:w="100"/>
              <w:bottom w:type="dxa" w:w="60"/>
              <w:right w:type="dxa" w:w="100"/>
            </w:tcMar>
          </w:tcPr>
          <w:p>
            <w:r>
              <w:rPr>
                <w:b w:val="false"/>
                <w:bCs w:val="false"/>
                <w:sz w:val="20"/>
                <w:szCs w:val="20"/>
              </w:rPr>
              <w:t xml:space="preserve">Plan, statut, période d'essai, identifiants Stripe</w:t>
            </w:r>
          </w:p>
        </w:tc>
      </w:tr>
    </w:tbl>
    <w:p>
      <w:pPr>
        <w:pStyle w:val="Heading2"/>
        <w:spacing w:after="120" w:before="280"/>
      </w:pPr>
      <w:r>
        <w:rPr>
          <w:color w:val="1F4E79"/>
        </w:rPr>
        <w:t xml:space="preserve">4.2 Décisions de conception importantes</w:t>
      </w:r>
    </w:p>
    <w:p>
      <w:pPr>
        <w:pStyle w:val="ListParagraph"/>
        <w:numPr>
          <w:ilvl w:val="0"/>
          <w:numId w:val="2"/>
        </w:numPr>
        <w:spacing w:after="80"/>
      </w:pPr>
      <w:r>
        <w:rPr>
          <w:b/>
          <w:bCs/>
        </w:rPr>
        <w:t xml:space="preserve">Barèmes versionnés : </w:t>
      </w:r>
      <w:r>
        <w:t xml:space="preserve">les barèmes RTS et taux de cotisations portent une date d'effet : quand la loi change, on ajoute une ligne au lieu d'écraser, et les anciennes paies restent recalculables à l'identique. C'est la version propre de « le barème est modifiable en éditant la table ».</w:t>
      </w:r>
    </w:p>
    <w:p>
      <w:pPr>
        <w:pStyle w:val="ListParagraph"/>
        <w:numPr>
          <w:ilvl w:val="0"/>
          <w:numId w:val="2"/>
        </w:numPr>
        <w:spacing w:after="80"/>
      </w:pPr>
      <w:r>
        <w:rPr>
          <w:b/>
          <w:bCs/>
        </w:rPr>
        <w:t xml:space="preserve">Cycle de vie de la paie : </w:t>
      </w:r>
      <w:r>
        <w:t xml:space="preserve">correction du défaut majeur identifié en passation (section 13.1) : un bulletin en brouillon peut être recalculé ou supprimé ; la clôture d'une période fige les montants, archive et verrouille rétroactivement. Une régularisation sur mois suivant reste possible via des lignes de rappel/reprise.</w:t>
      </w:r>
    </w:p>
    <w:p>
      <w:pPr>
        <w:pStyle w:val="ListParagraph"/>
        <w:numPr>
          <w:ilvl w:val="0"/>
          <w:numId w:val="2"/>
        </w:numPr>
        <w:spacing w:after="80"/>
      </w:pPr>
      <w:r>
        <w:rPr>
          <w:b/>
          <w:bCs/>
        </w:rPr>
        <w:t xml:space="preserve">Montants en entiers : </w:t>
      </w:r>
      <w:r>
        <w:t xml:space="preserve">les montants GNF sont stockés en entiers (pas de décimales), conformément à la contrainte du projet.</w:t>
      </w:r>
    </w:p>
    <w:p>
      <w:pPr>
        <w:pStyle w:val="ListParagraph"/>
        <w:numPr>
          <w:ilvl w:val="0"/>
          <w:numId w:val="2"/>
        </w:numPr>
        <w:spacing w:after="80"/>
      </w:pPr>
      <w:r>
        <w:rPr>
          <w:b/>
          <w:bCs/>
        </w:rPr>
        <w:t xml:space="preserve">RLS stricte : </w:t>
      </w:r>
      <w:r>
        <w:t xml:space="preserve">policies par rôle reproduisant la matrice des droits : le manager ne voit que son équipe et jamais les salaires ; le comptable ne voit que la paie en lecture ; l'employé ne voit que ses propres données.</w:t>
      </w:r>
    </w:p>
    <w:p>
      <w:pPr>
        <w:pStyle w:val="Heading1"/>
        <w:spacing w:after="160" w:before="360"/>
      </w:pPr>
      <w:r>
        <w:rPr>
          <w:color w:val="1F4E79"/>
        </w:rPr>
        <w:t xml:space="preserve">5. Périmètre fonctionnel — les 11 modules portés au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100"/>
        <w:gridCol w:w="3160"/>
        <w:gridCol w:w="1300"/>
      </w:tblGrid>
      <w:tr>
        <w:trPr>
          <w:tblHeader/>
        </w:trPr>
        <w:tc>
          <w:tcPr>
            <w:tcW w:type="dxa" w:w="500"/>
            <w:shd w:fill="1F4E79" w:val="clear"/>
            <w:tcMar>
              <w:top w:type="dxa" w:w="60"/>
              <w:left w:type="dxa" w:w="100"/>
              <w:bottom w:type="dxa" w:w="60"/>
              <w:right w:type="dxa" w:w="100"/>
            </w:tcMar>
          </w:tcPr>
          <w:p>
            <w:r>
              <w:rPr>
                <w:b/>
                <w:bCs/>
                <w:color w:val="FFFFFF"/>
                <w:sz w:val="20"/>
                <w:szCs w:val="20"/>
              </w:rPr>
              <w:t xml:space="preserve">#</w:t>
            </w:r>
          </w:p>
        </w:tc>
        <w:tc>
          <w:tcPr>
            <w:tcW w:type="dxa" w:w="2300"/>
            <w:shd w:fill="1F4E79" w:val="clear"/>
            <w:tcMar>
              <w:top w:type="dxa" w:w="60"/>
              <w:left w:type="dxa" w:w="100"/>
              <w:bottom w:type="dxa" w:w="60"/>
              <w:right w:type="dxa" w:w="100"/>
            </w:tcMar>
          </w:tcPr>
          <w:p>
            <w:r>
              <w:rPr>
                <w:b/>
                <w:bCs/>
                <w:color w:val="FFFFFF"/>
                <w:sz w:val="20"/>
                <w:szCs w:val="20"/>
              </w:rPr>
              <w:t xml:space="preserve">Module</w:t>
            </w:r>
          </w:p>
        </w:tc>
        <w:tc>
          <w:tcPr>
            <w:tcW w:type="dxa" w:w="2100"/>
            <w:shd w:fill="1F4E79" w:val="clear"/>
            <w:tcMar>
              <w:top w:type="dxa" w:w="60"/>
              <w:left w:type="dxa" w:w="100"/>
              <w:bottom w:type="dxa" w:w="60"/>
              <w:right w:type="dxa" w:w="100"/>
            </w:tcMar>
          </w:tcPr>
          <w:p>
            <w:r>
              <w:rPr>
                <w:b/>
                <w:bCs/>
                <w:color w:val="FFFFFF"/>
                <w:sz w:val="20"/>
                <w:szCs w:val="20"/>
              </w:rPr>
              <w:t xml:space="preserve">État Excel</w:t>
            </w:r>
          </w:p>
        </w:tc>
        <w:tc>
          <w:tcPr>
            <w:tcW w:type="dxa" w:w="3160"/>
            <w:shd w:fill="1F4E79" w:val="clear"/>
            <w:tcMar>
              <w:top w:type="dxa" w:w="60"/>
              <w:left w:type="dxa" w:w="100"/>
              <w:bottom w:type="dxa" w:w="60"/>
              <w:right w:type="dxa" w:w="100"/>
            </w:tcMar>
          </w:tcPr>
          <w:p>
            <w:r>
              <w:rPr>
                <w:b/>
                <w:bCs/>
                <w:color w:val="FFFFFF"/>
                <w:sz w:val="20"/>
                <w:szCs w:val="20"/>
              </w:rPr>
              <w:t xml:space="preserve">Portage SaaS</w:t>
            </w:r>
          </w:p>
        </w:tc>
        <w:tc>
          <w:tcPr>
            <w:tcW w:type="dxa" w:w="1300"/>
            <w:shd w:fill="1F4E79" w:val="clear"/>
            <w:tcMar>
              <w:top w:type="dxa" w:w="60"/>
              <w:left w:type="dxa" w:w="100"/>
              <w:bottom w:type="dxa" w:w="60"/>
              <w:right w:type="dxa" w:w="100"/>
            </w:tcMar>
          </w:tcPr>
          <w:p>
            <w:r>
              <w:rPr>
                <w:b/>
                <w:bCs/>
                <w:color w:val="FFFFFF"/>
                <w:sz w:val="20"/>
                <w:szCs w:val="20"/>
              </w:rPr>
              <w:t xml:space="preserve">Priorité web</w:t>
            </w:r>
          </w:p>
        </w:tc>
      </w:tr>
      <w:tr>
        <w:tc>
          <w:tcPr>
            <w:tcW w:type="dxa" w:w="500"/>
            <w:tcMar>
              <w:top w:type="dxa" w:w="60"/>
              <w:left w:type="dxa" w:w="100"/>
              <w:bottom w:type="dxa" w:w="60"/>
              <w:right w:type="dxa" w:w="100"/>
            </w:tcMar>
          </w:tcPr>
          <w:p>
            <w:r>
              <w:rPr>
                <w:b w:val="false"/>
                <w:bCs w:val="false"/>
                <w:sz w:val="20"/>
                <w:szCs w:val="20"/>
              </w:rPr>
              <w:t xml:space="preserve">1</w:t>
            </w:r>
          </w:p>
        </w:tc>
        <w:tc>
          <w:tcPr>
            <w:tcW w:type="dxa" w:w="2300"/>
            <w:tcMar>
              <w:top w:type="dxa" w:w="60"/>
              <w:left w:type="dxa" w:w="100"/>
              <w:bottom w:type="dxa" w:w="60"/>
              <w:right w:type="dxa" w:w="100"/>
            </w:tcMar>
          </w:tcPr>
          <w:p>
            <w:r>
              <w:rPr>
                <w:b w:val="false"/>
                <w:bCs w:val="false"/>
                <w:sz w:val="20"/>
                <w:szCs w:val="20"/>
              </w:rPr>
              <w:t xml:space="preserve">Connexion &amp; sécurité</w:t>
            </w:r>
          </w:p>
        </w:tc>
        <w:tc>
          <w:tcPr>
            <w:tcW w:type="dxa" w:w="2100"/>
            <w:tcMar>
              <w:top w:type="dxa" w:w="60"/>
              <w:left w:type="dxa" w:w="100"/>
              <w:bottom w:type="dxa" w:w="60"/>
              <w:right w:type="dxa" w:w="100"/>
            </w:tcMar>
          </w:tcPr>
          <w:p>
            <w:r>
              <w:rPr>
                <w:b w:val="false"/>
                <w:bCs w:val="false"/>
                <w:sz w:val="20"/>
                <w:szCs w:val="20"/>
              </w:rPr>
              <w:t xml:space="preserve">Terminé</w:t>
            </w:r>
          </w:p>
        </w:tc>
        <w:tc>
          <w:tcPr>
            <w:tcW w:type="dxa" w:w="3160"/>
            <w:tcMar>
              <w:top w:type="dxa" w:w="60"/>
              <w:left w:type="dxa" w:w="100"/>
              <w:bottom w:type="dxa" w:w="60"/>
              <w:right w:type="dxa" w:w="100"/>
            </w:tcMar>
          </w:tcPr>
          <w:p>
            <w:r>
              <w:rPr>
                <w:b w:val="false"/>
                <w:bCs w:val="false"/>
                <w:sz w:val="20"/>
                <w:szCs w:val="20"/>
              </w:rPr>
              <w:t xml:space="preserve">Supabase Auth + RLS + rôles</w:t>
            </w:r>
          </w:p>
        </w:tc>
        <w:tc>
          <w:tcPr>
            <w:tcW w:type="dxa" w:w="1300"/>
            <w:tcMar>
              <w:top w:type="dxa" w:w="60"/>
              <w:left w:type="dxa" w:w="100"/>
              <w:bottom w:type="dxa" w:w="60"/>
              <w:right w:type="dxa" w:w="100"/>
            </w:tcMar>
          </w:tcPr>
          <w:p>
            <w:r>
              <w:rPr>
                <w:b w:val="false"/>
                <w:bCs w:val="false"/>
                <w:sz w:val="20"/>
                <w:szCs w:val="20"/>
              </w:rPr>
              <w:t xml:space="preserve">Indispensable</w:t>
            </w:r>
          </w:p>
        </w:tc>
      </w:tr>
      <w:tr>
        <w:tc>
          <w:tcPr>
            <w:tcW w:type="dxa" w:w="500"/>
            <w:shd w:fill="F2F2F2" w:val="clear"/>
            <w:tcMar>
              <w:top w:type="dxa" w:w="60"/>
              <w:left w:type="dxa" w:w="100"/>
              <w:bottom w:type="dxa" w:w="60"/>
              <w:right w:type="dxa" w:w="100"/>
            </w:tcMar>
          </w:tcPr>
          <w:p>
            <w:r>
              <w:rPr>
                <w:b w:val="false"/>
                <w:bCs w:val="false"/>
                <w:sz w:val="20"/>
                <w:szCs w:val="20"/>
              </w:rPr>
              <w:t xml:space="preserve">2</w:t>
            </w:r>
          </w:p>
        </w:tc>
        <w:tc>
          <w:tcPr>
            <w:tcW w:type="dxa" w:w="2300"/>
            <w:shd w:fill="F2F2F2" w:val="clear"/>
            <w:tcMar>
              <w:top w:type="dxa" w:w="60"/>
              <w:left w:type="dxa" w:w="100"/>
              <w:bottom w:type="dxa" w:w="60"/>
              <w:right w:type="dxa" w:w="100"/>
            </w:tcMar>
          </w:tcPr>
          <w:p>
            <w:r>
              <w:rPr>
                <w:b w:val="false"/>
                <w:bCs w:val="false"/>
                <w:sz w:val="20"/>
                <w:szCs w:val="20"/>
              </w:rPr>
              <w:t xml:space="preserve">Paramétrage / références</w:t>
            </w:r>
          </w:p>
        </w:tc>
        <w:tc>
          <w:tcPr>
            <w:tcW w:type="dxa" w:w="2100"/>
            <w:shd w:fill="F2F2F2" w:val="clear"/>
            <w:tcMar>
              <w:top w:type="dxa" w:w="60"/>
              <w:left w:type="dxa" w:w="100"/>
              <w:bottom w:type="dxa" w:w="60"/>
              <w:right w:type="dxa" w:w="100"/>
            </w:tcMar>
          </w:tcPr>
          <w:p>
            <w:r>
              <w:rPr>
                <w:b w:val="false"/>
                <w:bCs w:val="false"/>
                <w:sz w:val="20"/>
                <w:szCs w:val="20"/>
              </w:rPr>
              <w:t xml:space="preserve">Terminé</w:t>
            </w:r>
          </w:p>
        </w:tc>
        <w:tc>
          <w:tcPr>
            <w:tcW w:type="dxa" w:w="3160"/>
            <w:shd w:fill="F2F2F2" w:val="clear"/>
            <w:tcMar>
              <w:top w:type="dxa" w:w="60"/>
              <w:left w:type="dxa" w:w="100"/>
              <w:bottom w:type="dxa" w:w="60"/>
              <w:right w:type="dxa" w:w="100"/>
            </w:tcMar>
          </w:tcPr>
          <w:p>
            <w:r>
              <w:rPr>
                <w:b w:val="false"/>
                <w:bCs w:val="false"/>
                <w:sz w:val="20"/>
                <w:szCs w:val="20"/>
              </w:rPr>
              <w:t xml:space="preserve">Écrans admin (barèmes, taux, fériés, primes, contrats)</w:t>
            </w:r>
          </w:p>
        </w:tc>
        <w:tc>
          <w:tcPr>
            <w:tcW w:type="dxa" w:w="1300"/>
            <w:shd w:fill="F2F2F2" w:val="clear"/>
            <w:tcMar>
              <w:top w:type="dxa" w:w="60"/>
              <w:left w:type="dxa" w:w="100"/>
              <w:bottom w:type="dxa" w:w="60"/>
              <w:right w:type="dxa" w:w="100"/>
            </w:tcMar>
          </w:tcPr>
          <w:p>
            <w:r>
              <w:rPr>
                <w:b w:val="false"/>
                <w:bCs w:val="false"/>
                <w:sz w:val="20"/>
                <w:szCs w:val="20"/>
              </w:rPr>
              <w:t xml:space="preserve">Indispensable</w:t>
            </w:r>
          </w:p>
        </w:tc>
      </w:tr>
      <w:tr>
        <w:tc>
          <w:tcPr>
            <w:tcW w:type="dxa" w:w="500"/>
            <w:tcMar>
              <w:top w:type="dxa" w:w="60"/>
              <w:left w:type="dxa" w:w="100"/>
              <w:bottom w:type="dxa" w:w="60"/>
              <w:right w:type="dxa" w:w="100"/>
            </w:tcMar>
          </w:tcPr>
          <w:p>
            <w:r>
              <w:rPr>
                <w:b w:val="false"/>
                <w:bCs w:val="false"/>
                <w:sz w:val="20"/>
                <w:szCs w:val="20"/>
              </w:rPr>
              <w:t xml:space="preserve">3</w:t>
            </w:r>
          </w:p>
        </w:tc>
        <w:tc>
          <w:tcPr>
            <w:tcW w:type="dxa" w:w="2300"/>
            <w:tcMar>
              <w:top w:type="dxa" w:w="60"/>
              <w:left w:type="dxa" w:w="100"/>
              <w:bottom w:type="dxa" w:w="60"/>
              <w:right w:type="dxa" w:w="100"/>
            </w:tcMar>
          </w:tcPr>
          <w:p>
            <w:r>
              <w:rPr>
                <w:b w:val="false"/>
                <w:bCs w:val="false"/>
                <w:sz w:val="20"/>
                <w:szCs w:val="20"/>
              </w:rPr>
              <w:t xml:space="preserve">Administration du personnel</w:t>
            </w:r>
          </w:p>
        </w:tc>
        <w:tc>
          <w:tcPr>
            <w:tcW w:type="dxa" w:w="2100"/>
            <w:tcMar>
              <w:top w:type="dxa" w:w="60"/>
              <w:left w:type="dxa" w:w="100"/>
              <w:bottom w:type="dxa" w:w="60"/>
              <w:right w:type="dxa" w:w="100"/>
            </w:tcMar>
          </w:tcPr>
          <w:p>
            <w:r>
              <w:rPr>
                <w:b w:val="false"/>
                <w:bCs w:val="false"/>
                <w:sz w:val="20"/>
                <w:szCs w:val="20"/>
              </w:rPr>
              <w:t xml:space="preserve">Terminé</w:t>
            </w:r>
          </w:p>
        </w:tc>
        <w:tc>
          <w:tcPr>
            <w:tcW w:type="dxa" w:w="3160"/>
            <w:tcMar>
              <w:top w:type="dxa" w:w="60"/>
              <w:left w:type="dxa" w:w="100"/>
              <w:bottom w:type="dxa" w:w="60"/>
              <w:right w:type="dxa" w:w="100"/>
            </w:tcMar>
          </w:tcPr>
          <w:p>
            <w:r>
              <w:rPr>
                <w:b w:val="false"/>
                <w:bCs w:val="false"/>
                <w:sz w:val="20"/>
                <w:szCs w:val="20"/>
              </w:rPr>
              <w:t xml:space="preserve">CRUD employés complet + mouvements + alertes</w:t>
            </w:r>
          </w:p>
        </w:tc>
        <w:tc>
          <w:tcPr>
            <w:tcW w:type="dxa" w:w="1300"/>
            <w:tcMar>
              <w:top w:type="dxa" w:w="60"/>
              <w:left w:type="dxa" w:w="100"/>
              <w:bottom w:type="dxa" w:w="60"/>
              <w:right w:type="dxa" w:w="100"/>
            </w:tcMar>
          </w:tcPr>
          <w:p>
            <w:r>
              <w:rPr>
                <w:b w:val="false"/>
                <w:bCs w:val="false"/>
                <w:sz w:val="20"/>
                <w:szCs w:val="20"/>
              </w:rPr>
              <w:t xml:space="preserve">Indispensable</w:t>
            </w:r>
          </w:p>
        </w:tc>
      </w:tr>
      <w:tr>
        <w:tc>
          <w:tcPr>
            <w:tcW w:type="dxa" w:w="500"/>
            <w:shd w:fill="F2F2F2" w:val="clear"/>
            <w:tcMar>
              <w:top w:type="dxa" w:w="60"/>
              <w:left w:type="dxa" w:w="100"/>
              <w:bottom w:type="dxa" w:w="60"/>
              <w:right w:type="dxa" w:w="100"/>
            </w:tcMar>
          </w:tcPr>
          <w:p>
            <w:r>
              <w:rPr>
                <w:b w:val="false"/>
                <w:bCs w:val="false"/>
                <w:sz w:val="20"/>
                <w:szCs w:val="20"/>
              </w:rPr>
              <w:t xml:space="preserve">4</w:t>
            </w:r>
          </w:p>
        </w:tc>
        <w:tc>
          <w:tcPr>
            <w:tcW w:type="dxa" w:w="2300"/>
            <w:shd w:fill="F2F2F2" w:val="clear"/>
            <w:tcMar>
              <w:top w:type="dxa" w:w="60"/>
              <w:left w:type="dxa" w:w="100"/>
              <w:bottom w:type="dxa" w:w="60"/>
              <w:right w:type="dxa" w:w="100"/>
            </w:tcMar>
          </w:tcPr>
          <w:p>
            <w:r>
              <w:rPr>
                <w:b w:val="false"/>
                <w:bCs w:val="false"/>
                <w:sz w:val="20"/>
                <w:szCs w:val="20"/>
              </w:rPr>
              <w:t xml:space="preserve">Gestion de la paie</w:t>
            </w:r>
          </w:p>
        </w:tc>
        <w:tc>
          <w:tcPr>
            <w:tcW w:type="dxa" w:w="2100"/>
            <w:shd w:fill="F2F2F2" w:val="clear"/>
            <w:tcMar>
              <w:top w:type="dxa" w:w="60"/>
              <w:left w:type="dxa" w:w="100"/>
              <w:bottom w:type="dxa" w:w="60"/>
              <w:right w:type="dxa" w:w="100"/>
            </w:tcMar>
          </w:tcPr>
          <w:p>
            <w:r>
              <w:rPr>
                <w:b w:val="false"/>
                <w:bCs w:val="false"/>
                <w:sz w:val="20"/>
                <w:szCs w:val="20"/>
              </w:rPr>
              <w:t xml:space="preserve">Terminé (validé GARAYA)</w:t>
            </w:r>
          </w:p>
        </w:tc>
        <w:tc>
          <w:tcPr>
            <w:tcW w:type="dxa" w:w="3160"/>
            <w:shd w:fill="F2F2F2" w:val="clear"/>
            <w:tcMar>
              <w:top w:type="dxa" w:w="60"/>
              <w:left w:type="dxa" w:w="100"/>
              <w:bottom w:type="dxa" w:w="60"/>
              <w:right w:type="dxa" w:w="100"/>
            </w:tcMar>
          </w:tcPr>
          <w:p>
            <w:r>
              <w:rPr>
                <w:b w:val="false"/>
                <w:bCs w:val="false"/>
                <w:sz w:val="20"/>
                <w:szCs w:val="20"/>
              </w:rPr>
              <w:t xml:space="preserve">Moteur TypeScript + bulletins PDF + clôture (nouveau)</w:t>
            </w:r>
          </w:p>
        </w:tc>
        <w:tc>
          <w:tcPr>
            <w:tcW w:type="dxa" w:w="1300"/>
            <w:shd w:fill="F2F2F2" w:val="clear"/>
            <w:tcMar>
              <w:top w:type="dxa" w:w="60"/>
              <w:left w:type="dxa" w:w="100"/>
              <w:bottom w:type="dxa" w:w="60"/>
              <w:right w:type="dxa" w:w="100"/>
            </w:tcMar>
          </w:tcPr>
          <w:p>
            <w:r>
              <w:rPr>
                <w:b w:val="false"/>
                <w:bCs w:val="false"/>
                <w:sz w:val="20"/>
                <w:szCs w:val="20"/>
              </w:rPr>
              <w:t xml:space="preserve">Indispensable</w:t>
            </w:r>
          </w:p>
        </w:tc>
      </w:tr>
      <w:tr>
        <w:tc>
          <w:tcPr>
            <w:tcW w:type="dxa" w:w="500"/>
            <w:tcMar>
              <w:top w:type="dxa" w:w="60"/>
              <w:left w:type="dxa" w:w="100"/>
              <w:bottom w:type="dxa" w:w="60"/>
              <w:right w:type="dxa" w:w="100"/>
            </w:tcMar>
          </w:tcPr>
          <w:p>
            <w:r>
              <w:rPr>
                <w:b w:val="false"/>
                <w:bCs w:val="false"/>
                <w:sz w:val="20"/>
                <w:szCs w:val="20"/>
              </w:rPr>
              <w:t xml:space="preserve">5</w:t>
            </w:r>
          </w:p>
        </w:tc>
        <w:tc>
          <w:tcPr>
            <w:tcW w:type="dxa" w:w="2300"/>
            <w:tcMar>
              <w:top w:type="dxa" w:w="60"/>
              <w:left w:type="dxa" w:w="100"/>
              <w:bottom w:type="dxa" w:w="60"/>
              <w:right w:type="dxa" w:w="100"/>
            </w:tcMar>
          </w:tcPr>
          <w:p>
            <w:r>
              <w:rPr>
                <w:b w:val="false"/>
                <w:bCs w:val="false"/>
                <w:sz w:val="20"/>
                <w:szCs w:val="20"/>
              </w:rPr>
              <w:t xml:space="preserve">Congés &amp; absences</w:t>
            </w:r>
          </w:p>
        </w:tc>
        <w:tc>
          <w:tcPr>
            <w:tcW w:type="dxa" w:w="2100"/>
            <w:tcMar>
              <w:top w:type="dxa" w:w="60"/>
              <w:left w:type="dxa" w:w="100"/>
              <w:bottom w:type="dxa" w:w="60"/>
              <w:right w:type="dxa" w:w="100"/>
            </w:tcMar>
          </w:tcPr>
          <w:p>
            <w:r>
              <w:rPr>
                <w:b w:val="false"/>
                <w:bCs w:val="false"/>
                <w:sz w:val="20"/>
                <w:szCs w:val="20"/>
              </w:rPr>
              <w:t xml:space="preserve">Terminé</w:t>
            </w:r>
          </w:p>
        </w:tc>
        <w:tc>
          <w:tcPr>
            <w:tcW w:type="dxa" w:w="3160"/>
            <w:tcMar>
              <w:top w:type="dxa" w:w="60"/>
              <w:left w:type="dxa" w:w="100"/>
              <w:bottom w:type="dxa" w:w="60"/>
              <w:right w:type="dxa" w:w="100"/>
            </w:tcMar>
          </w:tcPr>
          <w:p>
            <w:r>
              <w:rPr>
                <w:b w:val="false"/>
                <w:bCs w:val="false"/>
                <w:sz w:val="20"/>
                <w:szCs w:val="20"/>
              </w:rPr>
              <w:t xml:space="preserve">Workflow 2 niveaux + portail employé (nouveau)</w:t>
            </w:r>
          </w:p>
        </w:tc>
        <w:tc>
          <w:tcPr>
            <w:tcW w:type="dxa" w:w="1300"/>
            <w:tcMar>
              <w:top w:type="dxa" w:w="60"/>
              <w:left w:type="dxa" w:w="100"/>
              <w:bottom w:type="dxa" w:w="60"/>
              <w:right w:type="dxa" w:w="100"/>
            </w:tcMar>
          </w:tcPr>
          <w:p>
            <w:r>
              <w:rPr>
                <w:b w:val="false"/>
                <w:bCs w:val="false"/>
                <w:sz w:val="20"/>
                <w:szCs w:val="20"/>
              </w:rPr>
              <w:t xml:space="preserve">Indispensable</w:t>
            </w:r>
          </w:p>
        </w:tc>
      </w:tr>
      <w:tr>
        <w:tc>
          <w:tcPr>
            <w:tcW w:type="dxa" w:w="500"/>
            <w:shd w:fill="F2F2F2" w:val="clear"/>
            <w:tcMar>
              <w:top w:type="dxa" w:w="60"/>
              <w:left w:type="dxa" w:w="100"/>
              <w:bottom w:type="dxa" w:w="60"/>
              <w:right w:type="dxa" w:w="100"/>
            </w:tcMar>
          </w:tcPr>
          <w:p>
            <w:r>
              <w:rPr>
                <w:b w:val="false"/>
                <w:bCs w:val="false"/>
                <w:sz w:val="20"/>
                <w:szCs w:val="20"/>
              </w:rPr>
              <w:t xml:space="preserve">6</w:t>
            </w:r>
          </w:p>
        </w:tc>
        <w:tc>
          <w:tcPr>
            <w:tcW w:type="dxa" w:w="2300"/>
            <w:shd w:fill="F2F2F2" w:val="clear"/>
            <w:tcMar>
              <w:top w:type="dxa" w:w="60"/>
              <w:left w:type="dxa" w:w="100"/>
              <w:bottom w:type="dxa" w:w="60"/>
              <w:right w:type="dxa" w:w="100"/>
            </w:tcMar>
          </w:tcPr>
          <w:p>
            <w:r>
              <w:rPr>
                <w:b w:val="false"/>
                <w:bCs w:val="false"/>
                <w:sz w:val="20"/>
                <w:szCs w:val="20"/>
              </w:rPr>
              <w:t xml:space="preserve">Temps &amp; présence</w:t>
            </w:r>
          </w:p>
        </w:tc>
        <w:tc>
          <w:tcPr>
            <w:tcW w:type="dxa" w:w="2100"/>
            <w:shd w:fill="F2F2F2" w:val="clear"/>
            <w:tcMar>
              <w:top w:type="dxa" w:w="60"/>
              <w:left w:type="dxa" w:w="100"/>
              <w:bottom w:type="dxa" w:w="60"/>
              <w:right w:type="dxa" w:w="100"/>
            </w:tcMar>
          </w:tcPr>
          <w:p>
            <w:r>
              <w:rPr>
                <w:b w:val="false"/>
                <w:bCs w:val="false"/>
                <w:sz w:val="20"/>
                <w:szCs w:val="20"/>
              </w:rPr>
              <w:t xml:space="preserve">Terminé</w:t>
            </w:r>
          </w:p>
        </w:tc>
        <w:tc>
          <w:tcPr>
            <w:tcW w:type="dxa" w:w="3160"/>
            <w:shd w:fill="F2F2F2" w:val="clear"/>
            <w:tcMar>
              <w:top w:type="dxa" w:w="60"/>
              <w:left w:type="dxa" w:w="100"/>
              <w:bottom w:type="dxa" w:w="60"/>
              <w:right w:type="dxa" w:w="100"/>
            </w:tcMar>
          </w:tcPr>
          <w:p>
            <w:r>
              <w:rPr>
                <w:b w:val="false"/>
                <w:bCs w:val="false"/>
                <w:sz w:val="20"/>
                <w:szCs w:val="20"/>
              </w:rPr>
              <w:t xml:space="preserve">Feuilles de temps + heures sup. → paie</w:t>
            </w:r>
          </w:p>
        </w:tc>
        <w:tc>
          <w:tcPr>
            <w:tcW w:type="dxa" w:w="1300"/>
            <w:shd w:fill="F2F2F2" w:val="clear"/>
            <w:tcMar>
              <w:top w:type="dxa" w:w="60"/>
              <w:left w:type="dxa" w:w="100"/>
              <w:bottom w:type="dxa" w:w="60"/>
              <w:right w:type="dxa" w:w="100"/>
            </w:tcMar>
          </w:tcPr>
          <w:p>
            <w:r>
              <w:rPr>
                <w:b w:val="false"/>
                <w:bCs w:val="false"/>
                <w:sz w:val="20"/>
                <w:szCs w:val="20"/>
              </w:rPr>
              <w:t xml:space="preserve">Important</w:t>
            </w:r>
          </w:p>
        </w:tc>
      </w:tr>
      <w:tr>
        <w:tc>
          <w:tcPr>
            <w:tcW w:type="dxa" w:w="500"/>
            <w:tcMar>
              <w:top w:type="dxa" w:w="60"/>
              <w:left w:type="dxa" w:w="100"/>
              <w:bottom w:type="dxa" w:w="60"/>
              <w:right w:type="dxa" w:w="100"/>
            </w:tcMar>
          </w:tcPr>
          <w:p>
            <w:r>
              <w:rPr>
                <w:b w:val="false"/>
                <w:bCs w:val="false"/>
                <w:sz w:val="20"/>
                <w:szCs w:val="20"/>
              </w:rPr>
              <w:t xml:space="preserve">7</w:t>
            </w:r>
          </w:p>
        </w:tc>
        <w:tc>
          <w:tcPr>
            <w:tcW w:type="dxa" w:w="2300"/>
            <w:tcMar>
              <w:top w:type="dxa" w:w="60"/>
              <w:left w:type="dxa" w:w="100"/>
              <w:bottom w:type="dxa" w:w="60"/>
              <w:right w:type="dxa" w:w="100"/>
            </w:tcMar>
          </w:tcPr>
          <w:p>
            <w:r>
              <w:rPr>
                <w:b w:val="false"/>
                <w:bCs w:val="false"/>
                <w:sz w:val="20"/>
                <w:szCs w:val="20"/>
              </w:rPr>
              <w:t xml:space="preserve">Recrutement</w:t>
            </w:r>
          </w:p>
        </w:tc>
        <w:tc>
          <w:tcPr>
            <w:tcW w:type="dxa" w:w="2100"/>
            <w:tcMar>
              <w:top w:type="dxa" w:w="60"/>
              <w:left w:type="dxa" w:w="100"/>
              <w:bottom w:type="dxa" w:w="60"/>
              <w:right w:type="dxa" w:w="100"/>
            </w:tcMar>
          </w:tcPr>
          <w:p>
            <w:r>
              <w:rPr>
                <w:b w:val="false"/>
                <w:bCs w:val="false"/>
                <w:sz w:val="20"/>
                <w:szCs w:val="20"/>
              </w:rPr>
              <w:t xml:space="preserve">Reporté (table vide)</w:t>
            </w:r>
          </w:p>
        </w:tc>
        <w:tc>
          <w:tcPr>
            <w:tcW w:type="dxa" w:w="3160"/>
            <w:tcMar>
              <w:top w:type="dxa" w:w="60"/>
              <w:left w:type="dxa" w:w="100"/>
              <w:bottom w:type="dxa" w:w="60"/>
              <w:right w:type="dxa" w:w="100"/>
            </w:tcMar>
          </w:tcPr>
          <w:p>
            <w:r>
              <w:rPr>
                <w:b w:val="false"/>
                <w:bCs w:val="false"/>
                <w:sz w:val="20"/>
                <w:szCs w:val="20"/>
              </w:rPr>
              <w:t xml:space="preserve">Reporté en phase post-lancement</w:t>
            </w:r>
          </w:p>
        </w:tc>
        <w:tc>
          <w:tcPr>
            <w:tcW w:type="dxa" w:w="1300"/>
            <w:tcMar>
              <w:top w:type="dxa" w:w="60"/>
              <w:left w:type="dxa" w:w="100"/>
              <w:bottom w:type="dxa" w:w="60"/>
              <w:right w:type="dxa" w:w="100"/>
            </w:tcMar>
          </w:tcPr>
          <w:p>
            <w:r>
              <w:rPr>
                <w:b w:val="false"/>
                <w:bCs w:val="false"/>
                <w:sz w:val="20"/>
                <w:szCs w:val="20"/>
              </w:rPr>
              <w:t xml:space="preserve">Secondaire</w:t>
            </w:r>
          </w:p>
        </w:tc>
      </w:tr>
      <w:tr>
        <w:tc>
          <w:tcPr>
            <w:tcW w:type="dxa" w:w="500"/>
            <w:shd w:fill="F2F2F2" w:val="clear"/>
            <w:tcMar>
              <w:top w:type="dxa" w:w="60"/>
              <w:left w:type="dxa" w:w="100"/>
              <w:bottom w:type="dxa" w:w="60"/>
              <w:right w:type="dxa" w:w="100"/>
            </w:tcMar>
          </w:tcPr>
          <w:p>
            <w:r>
              <w:rPr>
                <w:b w:val="false"/>
                <w:bCs w:val="false"/>
                <w:sz w:val="20"/>
                <w:szCs w:val="20"/>
              </w:rPr>
              <w:t xml:space="preserve">8</w:t>
            </w:r>
          </w:p>
        </w:tc>
        <w:tc>
          <w:tcPr>
            <w:tcW w:type="dxa" w:w="2300"/>
            <w:shd w:fill="F2F2F2" w:val="clear"/>
            <w:tcMar>
              <w:top w:type="dxa" w:w="60"/>
              <w:left w:type="dxa" w:w="100"/>
              <w:bottom w:type="dxa" w:w="60"/>
              <w:right w:type="dxa" w:w="100"/>
            </w:tcMar>
          </w:tcPr>
          <w:p>
            <w:r>
              <w:rPr>
                <w:b w:val="false"/>
                <w:bCs w:val="false"/>
                <w:sz w:val="20"/>
                <w:szCs w:val="20"/>
              </w:rPr>
              <w:t xml:space="preserve">Formation</w:t>
            </w:r>
          </w:p>
        </w:tc>
        <w:tc>
          <w:tcPr>
            <w:tcW w:type="dxa" w:w="2100"/>
            <w:shd w:fill="F2F2F2" w:val="clear"/>
            <w:tcMar>
              <w:top w:type="dxa" w:w="60"/>
              <w:left w:type="dxa" w:w="100"/>
              <w:bottom w:type="dxa" w:w="60"/>
              <w:right w:type="dxa" w:w="100"/>
            </w:tcMar>
          </w:tcPr>
          <w:p>
            <w:r>
              <w:rPr>
                <w:b w:val="false"/>
                <w:bCs w:val="false"/>
                <w:sz w:val="20"/>
                <w:szCs w:val="20"/>
              </w:rPr>
              <w:t xml:space="preserve">Reporté (table vide)</w:t>
            </w:r>
          </w:p>
        </w:tc>
        <w:tc>
          <w:tcPr>
            <w:tcW w:type="dxa" w:w="3160"/>
            <w:shd w:fill="F2F2F2" w:val="clear"/>
            <w:tcMar>
              <w:top w:type="dxa" w:w="60"/>
              <w:left w:type="dxa" w:w="100"/>
              <w:bottom w:type="dxa" w:w="60"/>
              <w:right w:type="dxa" w:w="100"/>
            </w:tcMar>
          </w:tcPr>
          <w:p>
            <w:r>
              <w:rPr>
                <w:b w:val="false"/>
                <w:bCs w:val="false"/>
                <w:sz w:val="20"/>
                <w:szCs w:val="20"/>
              </w:rPr>
              <w:t xml:space="preserve">Reporté en phase post-lancement</w:t>
            </w:r>
          </w:p>
        </w:tc>
        <w:tc>
          <w:tcPr>
            <w:tcW w:type="dxa" w:w="1300"/>
            <w:shd w:fill="F2F2F2" w:val="clear"/>
            <w:tcMar>
              <w:top w:type="dxa" w:w="60"/>
              <w:left w:type="dxa" w:w="100"/>
              <w:bottom w:type="dxa" w:w="60"/>
              <w:right w:type="dxa" w:w="100"/>
            </w:tcMar>
          </w:tcPr>
          <w:p>
            <w:r>
              <w:rPr>
                <w:b w:val="false"/>
                <w:bCs w:val="false"/>
                <w:sz w:val="20"/>
                <w:szCs w:val="20"/>
              </w:rPr>
              <w:t xml:space="preserve">Secondaire</w:t>
            </w:r>
          </w:p>
        </w:tc>
      </w:tr>
      <w:tr>
        <w:tc>
          <w:tcPr>
            <w:tcW w:type="dxa" w:w="500"/>
            <w:tcMar>
              <w:top w:type="dxa" w:w="60"/>
              <w:left w:type="dxa" w:w="100"/>
              <w:bottom w:type="dxa" w:w="60"/>
              <w:right w:type="dxa" w:w="100"/>
            </w:tcMar>
          </w:tcPr>
          <w:p>
            <w:r>
              <w:rPr>
                <w:b w:val="false"/>
                <w:bCs w:val="false"/>
                <w:sz w:val="20"/>
                <w:szCs w:val="20"/>
              </w:rPr>
              <w:t xml:space="preserve">9</w:t>
            </w:r>
          </w:p>
        </w:tc>
        <w:tc>
          <w:tcPr>
            <w:tcW w:type="dxa" w:w="2300"/>
            <w:tcMar>
              <w:top w:type="dxa" w:w="60"/>
              <w:left w:type="dxa" w:w="100"/>
              <w:bottom w:type="dxa" w:w="60"/>
              <w:right w:type="dxa" w:w="100"/>
            </w:tcMar>
          </w:tcPr>
          <w:p>
            <w:r>
              <w:rPr>
                <w:b w:val="false"/>
                <w:bCs w:val="false"/>
                <w:sz w:val="20"/>
                <w:szCs w:val="20"/>
              </w:rPr>
              <w:t xml:space="preserve">Évaluation</w:t>
            </w:r>
          </w:p>
        </w:tc>
        <w:tc>
          <w:tcPr>
            <w:tcW w:type="dxa" w:w="2100"/>
            <w:tcMar>
              <w:top w:type="dxa" w:w="60"/>
              <w:left w:type="dxa" w:w="100"/>
              <w:bottom w:type="dxa" w:w="60"/>
              <w:right w:type="dxa" w:w="100"/>
            </w:tcMar>
          </w:tcPr>
          <w:p>
            <w:r>
              <w:rPr>
                <w:b w:val="false"/>
                <w:bCs w:val="false"/>
                <w:sz w:val="20"/>
                <w:szCs w:val="20"/>
              </w:rPr>
              <w:t xml:space="preserve">Reporté (table vide)</w:t>
            </w:r>
          </w:p>
        </w:tc>
        <w:tc>
          <w:tcPr>
            <w:tcW w:type="dxa" w:w="3160"/>
            <w:tcMar>
              <w:top w:type="dxa" w:w="60"/>
              <w:left w:type="dxa" w:w="100"/>
              <w:bottom w:type="dxa" w:w="60"/>
              <w:right w:type="dxa" w:w="100"/>
            </w:tcMar>
          </w:tcPr>
          <w:p>
            <w:r>
              <w:rPr>
                <w:b w:val="false"/>
                <w:bCs w:val="false"/>
                <w:sz w:val="20"/>
                <w:szCs w:val="20"/>
              </w:rPr>
              <w:t xml:space="preserve">Reporté en phase post-lancement</w:t>
            </w:r>
          </w:p>
        </w:tc>
        <w:tc>
          <w:tcPr>
            <w:tcW w:type="dxa" w:w="1300"/>
            <w:tcMar>
              <w:top w:type="dxa" w:w="60"/>
              <w:left w:type="dxa" w:w="100"/>
              <w:bottom w:type="dxa" w:w="60"/>
              <w:right w:type="dxa" w:w="100"/>
            </w:tcMar>
          </w:tcPr>
          <w:p>
            <w:r>
              <w:rPr>
                <w:b w:val="false"/>
                <w:bCs w:val="false"/>
                <w:sz w:val="20"/>
                <w:szCs w:val="20"/>
              </w:rPr>
              <w:t xml:space="preserve">Secondaire</w:t>
            </w:r>
          </w:p>
        </w:tc>
      </w:tr>
      <w:tr>
        <w:tc>
          <w:tcPr>
            <w:tcW w:type="dxa" w:w="500"/>
            <w:shd w:fill="F2F2F2" w:val="clear"/>
            <w:tcMar>
              <w:top w:type="dxa" w:w="60"/>
              <w:left w:type="dxa" w:w="100"/>
              <w:bottom w:type="dxa" w:w="60"/>
              <w:right w:type="dxa" w:w="100"/>
            </w:tcMar>
          </w:tcPr>
          <w:p>
            <w:r>
              <w:rPr>
                <w:b w:val="false"/>
                <w:bCs w:val="false"/>
                <w:sz w:val="20"/>
                <w:szCs w:val="20"/>
              </w:rPr>
              <w:t xml:space="preserve">10</w:t>
            </w:r>
          </w:p>
        </w:tc>
        <w:tc>
          <w:tcPr>
            <w:tcW w:type="dxa" w:w="2300"/>
            <w:shd w:fill="F2F2F2" w:val="clear"/>
            <w:tcMar>
              <w:top w:type="dxa" w:w="60"/>
              <w:left w:type="dxa" w:w="100"/>
              <w:bottom w:type="dxa" w:w="60"/>
              <w:right w:type="dxa" w:w="100"/>
            </w:tcMar>
          </w:tcPr>
          <w:p>
            <w:r>
              <w:rPr>
                <w:b w:val="false"/>
                <w:bCs w:val="false"/>
                <w:sz w:val="20"/>
                <w:szCs w:val="20"/>
              </w:rPr>
              <w:t xml:space="preserve">Documents &amp; éditions</w:t>
            </w:r>
          </w:p>
        </w:tc>
        <w:tc>
          <w:tcPr>
            <w:tcW w:type="dxa" w:w="2100"/>
            <w:shd w:fill="F2F2F2" w:val="clear"/>
            <w:tcMar>
              <w:top w:type="dxa" w:w="60"/>
              <w:left w:type="dxa" w:w="100"/>
              <w:bottom w:type="dxa" w:w="60"/>
              <w:right w:type="dxa" w:w="100"/>
            </w:tcMar>
          </w:tcPr>
          <w:p>
            <w:r>
              <w:rPr>
                <w:b w:val="false"/>
                <w:bCs w:val="false"/>
                <w:sz w:val="20"/>
                <w:szCs w:val="20"/>
              </w:rPr>
              <w:t xml:space="preserve">Terminé</w:t>
            </w:r>
          </w:p>
        </w:tc>
        <w:tc>
          <w:tcPr>
            <w:tcW w:type="dxa" w:w="3160"/>
            <w:shd w:fill="F2F2F2" w:val="clear"/>
            <w:tcMar>
              <w:top w:type="dxa" w:w="60"/>
              <w:left w:type="dxa" w:w="100"/>
              <w:bottom w:type="dxa" w:w="60"/>
              <w:right w:type="dxa" w:w="100"/>
            </w:tcMar>
          </w:tcPr>
          <w:p>
            <w:r>
              <w:rPr>
                <w:b w:val="false"/>
                <w:bCs w:val="false"/>
                <w:sz w:val="20"/>
                <w:szCs w:val="20"/>
              </w:rPr>
              <w:t xml:space="preserve">PDF serveur : bulletins, attestations, certificats, solde de tout compte</w:t>
            </w:r>
          </w:p>
        </w:tc>
        <w:tc>
          <w:tcPr>
            <w:tcW w:type="dxa" w:w="1300"/>
            <w:shd w:fill="F2F2F2" w:val="clear"/>
            <w:tcMar>
              <w:top w:type="dxa" w:w="60"/>
              <w:left w:type="dxa" w:w="100"/>
              <w:bottom w:type="dxa" w:w="60"/>
              <w:right w:type="dxa" w:w="100"/>
            </w:tcMar>
          </w:tcPr>
          <w:p>
            <w:r>
              <w:rPr>
                <w:b w:val="false"/>
                <w:bCs w:val="false"/>
                <w:sz w:val="20"/>
                <w:szCs w:val="20"/>
              </w:rPr>
              <w:t xml:space="preserve">Important</w:t>
            </w:r>
          </w:p>
        </w:tc>
      </w:tr>
      <w:tr>
        <w:tc>
          <w:tcPr>
            <w:tcW w:type="dxa" w:w="500"/>
            <w:tcMar>
              <w:top w:type="dxa" w:w="60"/>
              <w:left w:type="dxa" w:w="100"/>
              <w:bottom w:type="dxa" w:w="60"/>
              <w:right w:type="dxa" w:w="100"/>
            </w:tcMar>
          </w:tcPr>
          <w:p>
            <w:r>
              <w:rPr>
                <w:b w:val="false"/>
                <w:bCs w:val="false"/>
                <w:sz w:val="20"/>
                <w:szCs w:val="20"/>
              </w:rPr>
              <w:t xml:space="preserve">11</w:t>
            </w:r>
          </w:p>
        </w:tc>
        <w:tc>
          <w:tcPr>
            <w:tcW w:type="dxa" w:w="2300"/>
            <w:tcMar>
              <w:top w:type="dxa" w:w="60"/>
              <w:left w:type="dxa" w:w="100"/>
              <w:bottom w:type="dxa" w:w="60"/>
              <w:right w:type="dxa" w:w="100"/>
            </w:tcMar>
          </w:tcPr>
          <w:p>
            <w:r>
              <w:rPr>
                <w:b w:val="false"/>
                <w:bCs w:val="false"/>
                <w:sz w:val="20"/>
                <w:szCs w:val="20"/>
              </w:rPr>
              <w:t xml:space="preserve">Tableau de bord / reporting</w:t>
            </w:r>
          </w:p>
        </w:tc>
        <w:tc>
          <w:tcPr>
            <w:tcW w:type="dxa" w:w="2100"/>
            <w:tcMar>
              <w:top w:type="dxa" w:w="60"/>
              <w:left w:type="dxa" w:w="100"/>
              <w:bottom w:type="dxa" w:w="60"/>
              <w:right w:type="dxa" w:w="100"/>
            </w:tcMar>
          </w:tcPr>
          <w:p>
            <w:r>
              <w:rPr>
                <w:b w:val="false"/>
                <w:bCs w:val="false"/>
                <w:sz w:val="20"/>
                <w:szCs w:val="20"/>
              </w:rPr>
              <w:t xml:space="preserve">Excel fait, Power BI reporté</w:t>
            </w:r>
          </w:p>
        </w:tc>
        <w:tc>
          <w:tcPr>
            <w:tcW w:type="dxa" w:w="3160"/>
            <w:tcMar>
              <w:top w:type="dxa" w:w="60"/>
              <w:left w:type="dxa" w:w="100"/>
              <w:bottom w:type="dxa" w:w="60"/>
              <w:right w:type="dxa" w:w="100"/>
            </w:tcMar>
          </w:tcPr>
          <w:p>
            <w:r>
              <w:rPr>
                <w:b w:val="false"/>
                <w:bCs w:val="false"/>
                <w:sz w:val="20"/>
                <w:szCs w:val="20"/>
              </w:rPr>
              <w:t xml:space="preserve">Dashboard Recharts intégré ; export Excel/CSV ; Power BI optionnel</w:t>
            </w:r>
          </w:p>
        </w:tc>
        <w:tc>
          <w:tcPr>
            <w:tcW w:type="dxa" w:w="1300"/>
            <w:tcMar>
              <w:top w:type="dxa" w:w="60"/>
              <w:left w:type="dxa" w:w="100"/>
              <w:bottom w:type="dxa" w:w="60"/>
              <w:right w:type="dxa" w:w="100"/>
            </w:tcMar>
          </w:tcPr>
          <w:p>
            <w:r>
              <w:rPr>
                <w:b w:val="false"/>
                <w:bCs w:val="false"/>
                <w:sz w:val="20"/>
                <w:szCs w:val="20"/>
              </w:rPr>
              <w:t xml:space="preserve">Important</w:t>
            </w:r>
          </w:p>
        </w:tc>
      </w:tr>
    </w:tbl>
    <w:p>
      <w:pPr>
        <w:spacing w:after="120"/>
      </w:pPr>
      <w:r>
        <w:t xml:space="preserve">La stratégie est identique à celle qui a réussi pour Excel : livrer d'abord le noyau vital (modules 1 à 5), puis enrichir. Les modules 7-8-9, jamais développés en Excel, restent hors périmètre du lancement (MVP).</w:t>
      </w:r>
    </w:p>
    <w:p>
      <w:pPr>
        <w:pStyle w:val="Heading2"/>
        <w:spacing w:after="120" w:before="280"/>
      </w:pPr>
      <w:r>
        <w:rPr>
          <w:color w:val="1F4E79"/>
        </w:rPr>
        <w:t xml:space="preserve">5.1 Nouveautés propres au SaaS (absentes de l'Excel)</w:t>
      </w:r>
    </w:p>
    <w:p>
      <w:pPr>
        <w:pStyle w:val="ListParagraph"/>
        <w:numPr>
          <w:ilvl w:val="0"/>
          <w:numId w:val="2"/>
        </w:numPr>
        <w:spacing w:after="80"/>
      </w:pPr>
      <w:r>
        <w:rPr>
          <w:b/>
          <w:bCs/>
        </w:rPr>
        <w:t xml:space="preserve">Portail employé : </w:t>
      </w:r>
      <w:r>
        <w:t xml:space="preserve">consultation des bulletins, soldes de congés, demandes de congés en ligne — le manager et le RH valident dans l'application au lieu de saisir pour l'employé.</w:t>
      </w:r>
    </w:p>
    <w:p>
      <w:pPr>
        <w:pStyle w:val="ListParagraph"/>
        <w:numPr>
          <w:ilvl w:val="0"/>
          <w:numId w:val="2"/>
        </w:numPr>
        <w:spacing w:after="80"/>
      </w:pPr>
      <w:r>
        <w:rPr>
          <w:b/>
          <w:bCs/>
        </w:rPr>
        <w:t xml:space="preserve">Onboarding self-service : </w:t>
      </w:r>
      <w:r>
        <w:t xml:space="preserve">inscription d'une entreprise, période d'essai (ex. 30 jours), choix du plan, paiement, gestion des utilisateurs par l'admin de l'entreprise.</w:t>
      </w:r>
    </w:p>
    <w:p>
      <w:pPr>
        <w:pStyle w:val="ListParagraph"/>
        <w:numPr>
          <w:ilvl w:val="0"/>
          <w:numId w:val="2"/>
        </w:numPr>
        <w:spacing w:after="80"/>
      </w:pPr>
      <w:r>
        <w:rPr>
          <w:b/>
          <w:bCs/>
        </w:rPr>
        <w:t xml:space="preserve">Notifications : </w:t>
      </w:r>
      <w:r>
        <w:t xml:space="preserve">emails automatiques (demande de congé à valider, bulletin disponible, CDD à échéance).</w:t>
      </w:r>
    </w:p>
    <w:p>
      <w:pPr>
        <w:pStyle w:val="ListParagraph"/>
        <w:numPr>
          <w:ilvl w:val="0"/>
          <w:numId w:val="2"/>
        </w:numPr>
        <w:spacing w:after="80"/>
      </w:pPr>
      <w:r>
        <w:rPr>
          <w:b/>
          <w:bCs/>
        </w:rPr>
        <w:t xml:space="preserve">Migration de données : </w:t>
      </w:r>
      <w:r>
        <w:t xml:space="preserve">import Excel/CSV des employés pour reprendre les données des clients existants du fichier .xlsm.</w:t>
      </w:r>
    </w:p>
    <w:p>
      <w:pPr>
        <w:pStyle w:val="Heading1"/>
        <w:spacing w:after="160" w:before="360"/>
      </w:pPr>
      <w:r>
        <w:rPr>
          <w:color w:val="1F4E79"/>
        </w:rPr>
        <w:t xml:space="preserve">6. Règles métier à porter (référentiel de vérité)</w:t>
      </w:r>
    </w:p>
    <w:p>
      <w:pPr>
        <w:spacing w:after="120"/>
      </w:pPr>
      <w:r>
        <w:t xml:space="preserve">Ces règles, validées en production Excel sur les bulletins GARAYA HOLDING, sont le contrat que le code web doit respecter. Elles seront copiées dans le fichier de règles des agents IA.</w:t>
      </w:r>
    </w:p>
    <w:p>
      <w:pPr>
        <w:pStyle w:val="Heading2"/>
        <w:spacing w:after="120" w:before="280"/>
      </w:pPr>
      <w:r>
        <w:rPr>
          <w:color w:val="1F4E79"/>
        </w:rPr>
        <w:t xml:space="preserve">6.1 Chaîne de calcul de la paie</w:t>
      </w:r>
    </w:p>
    <w:p>
      <w:pPr>
        <w:pStyle w:val="ListParagraph"/>
        <w:numPr>
          <w:ilvl w:val="0"/>
          <w:numId w:val="3"/>
        </w:numPr>
        <w:spacing w:after="80"/>
      </w:pPr>
      <w:r>
        <w:t xml:space="preserve">Total brut = salaire de base + prime d'ancienneté + prime de repas + indemnité de logement + indemnité de transport + indemnité de cherté de vie + heures supplémentaires + autres primes</w:t>
      </w:r>
    </w:p>
    <w:p>
      <w:pPr>
        <w:pStyle w:val="ListParagraph"/>
        <w:numPr>
          <w:ilvl w:val="0"/>
          <w:numId w:val="3"/>
        </w:numPr>
        <w:spacing w:after="80"/>
      </w:pPr>
      <w:r>
        <w:t xml:space="preserve">Base CNSS = MIN(brut ; 2 500 000 GNF)</w:t>
      </w:r>
    </w:p>
    <w:p>
      <w:pPr>
        <w:pStyle w:val="ListParagraph"/>
        <w:numPr>
          <w:ilvl w:val="0"/>
          <w:numId w:val="3"/>
        </w:numPr>
        <w:spacing w:after="80"/>
      </w:pPr>
      <w:r>
        <w:t xml:space="preserve">CNSS salariale = base CNSS × 5 % ; CNSS patronale = base CNSS × 18 %</w:t>
      </w:r>
    </w:p>
    <w:p>
      <w:pPr>
        <w:pStyle w:val="ListParagraph"/>
        <w:numPr>
          <w:ilvl w:val="0"/>
          <w:numId w:val="3"/>
        </w:numPr>
        <w:spacing w:after="80"/>
      </w:pPr>
      <w:r>
        <w:t xml:space="preserve">Net imposable RTS = brut − CNSS salariale − indemnités exonérées (logement, transport, cherté de vie)</w:t>
      </w:r>
    </w:p>
    <w:p>
      <w:pPr>
        <w:pStyle w:val="ListParagraph"/>
        <w:numPr>
          <w:ilvl w:val="0"/>
          <w:numId w:val="3"/>
        </w:numPr>
        <w:spacing w:after="80"/>
      </w:pPr>
      <w:r>
        <w:t xml:space="preserve">RTS = barème progressif appliqué tranche par tranche au net imposable</w:t>
      </w:r>
    </w:p>
    <w:p>
      <w:pPr>
        <w:pStyle w:val="ListParagraph"/>
        <w:numPr>
          <w:ilvl w:val="0"/>
          <w:numId w:val="3"/>
        </w:numPr>
        <w:spacing w:after="80"/>
      </w:pPr>
      <w:r>
        <w:t xml:space="preserve">Versement Forfaitaire (patronal) = (brut − indemnités exonérées) × 6 %</w:t>
      </w:r>
    </w:p>
    <w:p>
      <w:pPr>
        <w:pStyle w:val="ListParagraph"/>
        <w:numPr>
          <w:ilvl w:val="0"/>
          <w:numId w:val="3"/>
        </w:numPr>
        <w:spacing w:after="80"/>
      </w:pPr>
      <w:r>
        <w:t xml:space="preserve">CFPA (patronal) = brut × 1,5 %</w:t>
      </w:r>
    </w:p>
    <w:p>
      <w:pPr>
        <w:pStyle w:val="ListParagraph"/>
        <w:numPr>
          <w:ilvl w:val="0"/>
          <w:numId w:val="3"/>
        </w:numPr>
        <w:spacing w:after="80"/>
      </w:pPr>
      <w:r>
        <w:t xml:space="preserve">Net à payer = brut − CNSS salariale − RTS − avances − prêts − autres retenues</w:t>
      </w:r>
    </w:p>
    <w:p>
      <w:pPr>
        <w:pStyle w:val="Heading2"/>
        <w:spacing w:after="120" w:before="280"/>
      </w:pPr>
      <w:r>
        <w:rPr>
          <w:color w:val="1F4E79"/>
        </w:rPr>
        <w:t xml:space="preserve">6.2 Barème RTS en vigueur (celui du fichier, corrigé en passation)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1400"/>
      </w:tblGrid>
      <w:tr>
        <w:trPr>
          <w:tblHeader/>
        </w:trPr>
        <w:tc>
          <w:tcPr>
            <w:tcW w:type="dxa" w:w="1400"/>
            <w:shd w:fill="1F4E79" w:val="clear"/>
            <w:tcMar>
              <w:top w:type="dxa" w:w="60"/>
              <w:left w:type="dxa" w:w="100"/>
              <w:bottom w:type="dxa" w:w="60"/>
              <w:right w:type="dxa" w:w="100"/>
            </w:tcMar>
          </w:tcPr>
          <w:p>
            <w:r>
              <w:rPr>
                <w:b/>
                <w:bCs/>
                <w:color w:val="FFFFFF"/>
                <w:sz w:val="20"/>
                <w:szCs w:val="20"/>
              </w:rPr>
              <w:t xml:space="preserve">Tranche</w:t>
            </w:r>
          </w:p>
        </w:tc>
        <w:tc>
          <w:tcPr>
            <w:tcW w:type="dxa" w:w="2600"/>
            <w:shd w:fill="1F4E79" w:val="clear"/>
            <w:tcMar>
              <w:top w:type="dxa" w:w="60"/>
              <w:left w:type="dxa" w:w="100"/>
              <w:bottom w:type="dxa" w:w="60"/>
              <w:right w:type="dxa" w:w="100"/>
            </w:tcMar>
          </w:tcPr>
          <w:p>
            <w:r>
              <w:rPr>
                <w:b/>
                <w:bCs/>
                <w:color w:val="FFFFFF"/>
                <w:sz w:val="20"/>
                <w:szCs w:val="20"/>
              </w:rPr>
              <w:t xml:space="preserve">Plancher (GNF)</w:t>
            </w:r>
          </w:p>
        </w:tc>
        <w:tc>
          <w:tcPr>
            <w:tcW w:type="dxa" w:w="2600"/>
            <w:shd w:fill="1F4E79" w:val="clear"/>
            <w:tcMar>
              <w:top w:type="dxa" w:w="60"/>
              <w:left w:type="dxa" w:w="100"/>
              <w:bottom w:type="dxa" w:w="60"/>
              <w:right w:type="dxa" w:w="100"/>
            </w:tcMar>
          </w:tcPr>
          <w:p>
            <w:r>
              <w:rPr>
                <w:b/>
                <w:bCs/>
                <w:color w:val="FFFFFF"/>
                <w:sz w:val="20"/>
                <w:szCs w:val="20"/>
              </w:rPr>
              <w:t xml:space="preserve">Plafond (GNF)</w:t>
            </w:r>
          </w:p>
        </w:tc>
        <w:tc>
          <w:tcPr>
            <w:tcW w:type="dxa" w:w="1400"/>
            <w:shd w:fill="1F4E79" w:val="clear"/>
            <w:tcMar>
              <w:top w:type="dxa" w:w="60"/>
              <w:left w:type="dxa" w:w="100"/>
              <w:bottom w:type="dxa" w:w="60"/>
              <w:right w:type="dxa" w:w="100"/>
            </w:tcMar>
          </w:tcPr>
          <w:p>
            <w:r>
              <w:rPr>
                <w:b/>
                <w:bCs/>
                <w:color w:val="FFFFFF"/>
                <w:sz w:val="20"/>
                <w:szCs w:val="20"/>
              </w:rPr>
              <w:t xml:space="preserve">Taux</w:t>
            </w:r>
          </w:p>
        </w:tc>
      </w:tr>
      <w:tr>
        <w:tc>
          <w:tcPr>
            <w:tcW w:type="dxa" w:w="1400"/>
            <w:tcMar>
              <w:top w:type="dxa" w:w="60"/>
              <w:left w:type="dxa" w:w="100"/>
              <w:bottom w:type="dxa" w:w="60"/>
              <w:right w:type="dxa" w:w="100"/>
            </w:tcMar>
          </w:tcPr>
          <w:p>
            <w:r>
              <w:rPr>
                <w:b w:val="false"/>
                <w:bCs w:val="false"/>
                <w:sz w:val="20"/>
                <w:szCs w:val="20"/>
              </w:rPr>
              <w:t xml:space="preserve">1</w:t>
            </w:r>
          </w:p>
        </w:tc>
        <w:tc>
          <w:tcPr>
            <w:tcW w:type="dxa" w:w="2600"/>
            <w:tcMar>
              <w:top w:type="dxa" w:w="60"/>
              <w:left w:type="dxa" w:w="100"/>
              <w:bottom w:type="dxa" w:w="60"/>
              <w:right w:type="dxa" w:w="100"/>
            </w:tcMar>
          </w:tcPr>
          <w:p>
            <w:r>
              <w:rPr>
                <w:b w:val="false"/>
                <w:bCs w:val="false"/>
                <w:sz w:val="20"/>
                <w:szCs w:val="20"/>
              </w:rPr>
              <w:t xml:space="preserve">0</w:t>
            </w:r>
          </w:p>
        </w:tc>
        <w:tc>
          <w:tcPr>
            <w:tcW w:type="dxa" w:w="2600"/>
            <w:tcMar>
              <w:top w:type="dxa" w:w="60"/>
              <w:left w:type="dxa" w:w="100"/>
              <w:bottom w:type="dxa" w:w="60"/>
              <w:right w:type="dxa" w:w="100"/>
            </w:tcMar>
          </w:tcPr>
          <w:p>
            <w:r>
              <w:rPr>
                <w:b w:val="false"/>
                <w:bCs w:val="false"/>
                <w:sz w:val="20"/>
                <w:szCs w:val="20"/>
              </w:rPr>
              <w:t xml:space="preserve">2 000 000</w:t>
            </w:r>
          </w:p>
        </w:tc>
        <w:tc>
          <w:tcPr>
            <w:tcW w:type="dxa" w:w="1400"/>
            <w:tcMar>
              <w:top w:type="dxa" w:w="60"/>
              <w:left w:type="dxa" w:w="100"/>
              <w:bottom w:type="dxa" w:w="60"/>
              <w:right w:type="dxa" w:w="100"/>
            </w:tcMar>
          </w:tcPr>
          <w:p>
            <w:r>
              <w:rPr>
                <w:b w:val="false"/>
                <w:bCs w:val="false"/>
                <w:sz w:val="20"/>
                <w:szCs w:val="20"/>
              </w:rPr>
              <w:t xml:space="preserve">5 %</w:t>
            </w:r>
          </w:p>
        </w:tc>
      </w:tr>
      <w:tr>
        <w:tc>
          <w:tcPr>
            <w:tcW w:type="dxa" w:w="1400"/>
            <w:shd w:fill="F2F2F2" w:val="clear"/>
            <w:tcMar>
              <w:top w:type="dxa" w:w="60"/>
              <w:left w:type="dxa" w:w="100"/>
              <w:bottom w:type="dxa" w:w="60"/>
              <w:right w:type="dxa" w:w="100"/>
            </w:tcMar>
          </w:tcPr>
          <w:p>
            <w:r>
              <w:rPr>
                <w:b w:val="false"/>
                <w:bCs w:val="false"/>
                <w:sz w:val="20"/>
                <w:szCs w:val="20"/>
              </w:rPr>
              <w:t xml:space="preserve">2</w:t>
            </w:r>
          </w:p>
        </w:tc>
        <w:tc>
          <w:tcPr>
            <w:tcW w:type="dxa" w:w="2600"/>
            <w:shd w:fill="F2F2F2" w:val="clear"/>
            <w:tcMar>
              <w:top w:type="dxa" w:w="60"/>
              <w:left w:type="dxa" w:w="100"/>
              <w:bottom w:type="dxa" w:w="60"/>
              <w:right w:type="dxa" w:w="100"/>
            </w:tcMar>
          </w:tcPr>
          <w:p>
            <w:r>
              <w:rPr>
                <w:b w:val="false"/>
                <w:bCs w:val="false"/>
                <w:sz w:val="20"/>
                <w:szCs w:val="20"/>
              </w:rPr>
              <w:t xml:space="preserve">2 000 000</w:t>
            </w:r>
          </w:p>
        </w:tc>
        <w:tc>
          <w:tcPr>
            <w:tcW w:type="dxa" w:w="2600"/>
            <w:shd w:fill="F2F2F2" w:val="clear"/>
            <w:tcMar>
              <w:top w:type="dxa" w:w="60"/>
              <w:left w:type="dxa" w:w="100"/>
              <w:bottom w:type="dxa" w:w="60"/>
              <w:right w:type="dxa" w:w="100"/>
            </w:tcMar>
          </w:tcPr>
          <w:p>
            <w:r>
              <w:rPr>
                <w:b w:val="false"/>
                <w:bCs w:val="false"/>
                <w:sz w:val="20"/>
                <w:szCs w:val="20"/>
              </w:rPr>
              <w:t xml:space="preserve">5 000 000</w:t>
            </w:r>
          </w:p>
        </w:tc>
        <w:tc>
          <w:tcPr>
            <w:tcW w:type="dxa" w:w="1400"/>
            <w:shd w:fill="F2F2F2" w:val="clear"/>
            <w:tcMar>
              <w:top w:type="dxa" w:w="60"/>
              <w:left w:type="dxa" w:w="100"/>
              <w:bottom w:type="dxa" w:w="60"/>
              <w:right w:type="dxa" w:w="100"/>
            </w:tcMar>
          </w:tcPr>
          <w:p>
            <w:r>
              <w:rPr>
                <w:b w:val="false"/>
                <w:bCs w:val="false"/>
                <w:sz w:val="20"/>
                <w:szCs w:val="20"/>
              </w:rPr>
              <w:t xml:space="preserve">8 %</w:t>
            </w:r>
          </w:p>
        </w:tc>
      </w:tr>
      <w:tr>
        <w:tc>
          <w:tcPr>
            <w:tcW w:type="dxa" w:w="1400"/>
            <w:tcMar>
              <w:top w:type="dxa" w:w="60"/>
              <w:left w:type="dxa" w:w="100"/>
              <w:bottom w:type="dxa" w:w="60"/>
              <w:right w:type="dxa" w:w="100"/>
            </w:tcMar>
          </w:tcPr>
          <w:p>
            <w:r>
              <w:rPr>
                <w:b w:val="false"/>
                <w:bCs w:val="false"/>
                <w:sz w:val="20"/>
                <w:szCs w:val="20"/>
              </w:rPr>
              <w:t xml:space="preserve">3</w:t>
            </w:r>
          </w:p>
        </w:tc>
        <w:tc>
          <w:tcPr>
            <w:tcW w:type="dxa" w:w="2600"/>
            <w:tcMar>
              <w:top w:type="dxa" w:w="60"/>
              <w:left w:type="dxa" w:w="100"/>
              <w:bottom w:type="dxa" w:w="60"/>
              <w:right w:type="dxa" w:w="100"/>
            </w:tcMar>
          </w:tcPr>
          <w:p>
            <w:r>
              <w:rPr>
                <w:b w:val="false"/>
                <w:bCs w:val="false"/>
                <w:sz w:val="20"/>
                <w:szCs w:val="20"/>
              </w:rPr>
              <w:t xml:space="preserve">5 000 000</w:t>
            </w:r>
          </w:p>
        </w:tc>
        <w:tc>
          <w:tcPr>
            <w:tcW w:type="dxa" w:w="2600"/>
            <w:tcMar>
              <w:top w:type="dxa" w:w="60"/>
              <w:left w:type="dxa" w:w="100"/>
              <w:bottom w:type="dxa" w:w="60"/>
              <w:right w:type="dxa" w:w="100"/>
            </w:tcMar>
          </w:tcPr>
          <w:p>
            <w:r>
              <w:rPr>
                <w:b w:val="false"/>
                <w:bCs w:val="false"/>
                <w:sz w:val="20"/>
                <w:szCs w:val="20"/>
              </w:rPr>
              <w:t xml:space="preserve">10 000 000</w:t>
            </w:r>
          </w:p>
        </w:tc>
        <w:tc>
          <w:tcPr>
            <w:tcW w:type="dxa" w:w="1400"/>
            <w:tcMar>
              <w:top w:type="dxa" w:w="60"/>
              <w:left w:type="dxa" w:w="100"/>
              <w:bottom w:type="dxa" w:w="60"/>
              <w:right w:type="dxa" w:w="100"/>
            </w:tcMar>
          </w:tcPr>
          <w:p>
            <w:r>
              <w:rPr>
                <w:b w:val="false"/>
                <w:bCs w:val="false"/>
                <w:sz w:val="20"/>
                <w:szCs w:val="20"/>
              </w:rPr>
              <w:t xml:space="preserve">10 %</w:t>
            </w:r>
          </w:p>
        </w:tc>
      </w:tr>
      <w:tr>
        <w:tc>
          <w:tcPr>
            <w:tcW w:type="dxa" w:w="1400"/>
            <w:shd w:fill="F2F2F2" w:val="clear"/>
            <w:tcMar>
              <w:top w:type="dxa" w:w="60"/>
              <w:left w:type="dxa" w:w="100"/>
              <w:bottom w:type="dxa" w:w="60"/>
              <w:right w:type="dxa" w:w="100"/>
            </w:tcMar>
          </w:tcPr>
          <w:p>
            <w:r>
              <w:rPr>
                <w:b w:val="false"/>
                <w:bCs w:val="false"/>
                <w:sz w:val="20"/>
                <w:szCs w:val="20"/>
              </w:rPr>
              <w:t xml:space="preserve">4</w:t>
            </w:r>
          </w:p>
        </w:tc>
        <w:tc>
          <w:tcPr>
            <w:tcW w:type="dxa" w:w="2600"/>
            <w:shd w:fill="F2F2F2" w:val="clear"/>
            <w:tcMar>
              <w:top w:type="dxa" w:w="60"/>
              <w:left w:type="dxa" w:w="100"/>
              <w:bottom w:type="dxa" w:w="60"/>
              <w:right w:type="dxa" w:w="100"/>
            </w:tcMar>
          </w:tcPr>
          <w:p>
            <w:r>
              <w:rPr>
                <w:b w:val="false"/>
                <w:bCs w:val="false"/>
                <w:sz w:val="20"/>
                <w:szCs w:val="20"/>
              </w:rPr>
              <w:t xml:space="preserve">10 000 000</w:t>
            </w:r>
          </w:p>
        </w:tc>
        <w:tc>
          <w:tcPr>
            <w:tcW w:type="dxa" w:w="2600"/>
            <w:shd w:fill="F2F2F2" w:val="clear"/>
            <w:tcMar>
              <w:top w:type="dxa" w:w="60"/>
              <w:left w:type="dxa" w:w="100"/>
              <w:bottom w:type="dxa" w:w="60"/>
              <w:right w:type="dxa" w:w="100"/>
            </w:tcMar>
          </w:tcPr>
          <w:p>
            <w:r>
              <w:rPr>
                <w:b w:val="false"/>
                <w:bCs w:val="false"/>
                <w:sz w:val="20"/>
                <w:szCs w:val="20"/>
              </w:rPr>
              <w:t xml:space="preserve">999 999 999</w:t>
            </w:r>
          </w:p>
        </w:tc>
        <w:tc>
          <w:tcPr>
            <w:tcW w:type="dxa" w:w="1400"/>
            <w:shd w:fill="F2F2F2" w:val="clear"/>
            <w:tcMar>
              <w:top w:type="dxa" w:w="60"/>
              <w:left w:type="dxa" w:w="100"/>
              <w:bottom w:type="dxa" w:w="60"/>
              <w:right w:type="dxa" w:w="100"/>
            </w:tcMar>
          </w:tcPr>
          <w:p>
            <w:r>
              <w:rPr>
                <w:b w:val="false"/>
                <w:bCs w:val="false"/>
                <w:sz w:val="20"/>
                <w:szCs w:val="20"/>
              </w:rPr>
              <w:t xml:space="preserve">15 %</w:t>
            </w:r>
          </w:p>
        </w:tc>
      </w:tr>
    </w:tbl>
    <w:p>
      <w:pPr>
        <w:spacing w:after="160"/>
      </w:pPr>
      <w:r>
        <w:t xml:space="preserve">Attention : une note antérieure au projet indiquait à tort une tranche à 5 % jusqu'à 5 000 000. Le passage à 8 % dès 2 000 000 est confirmé par le bulletin GARAYA matricule 009 (RTS 5 % sur 2 000 000 + RTS 8 % sur 585 000).</w:t>
      </w:r>
    </w:p>
    <w:p>
      <w:pPr>
        <w:pStyle w:val="Heading2"/>
        <w:spacing w:after="120" w:before="280"/>
      </w:pPr>
      <w:r>
        <w:rPr>
          <w:color w:val="1F4E79"/>
        </w:rPr>
        <w:t xml:space="preserve">6.3 Congés et temps de travail</w:t>
      </w:r>
    </w:p>
    <w:p>
      <w:pPr>
        <w:pStyle w:val="ListParagraph"/>
        <w:numPr>
          <w:ilvl w:val="0"/>
          <w:numId w:val="2"/>
        </w:numPr>
        <w:spacing w:after="80"/>
      </w:pPr>
      <w:r>
        <w:t xml:space="preserve">Congés annuels : 2,5 jours ouvrables par mois (30 j/an), majoration de 1 jour par tranche de 5 ans d'ancienneté.</w:t>
      </w:r>
    </w:p>
    <w:p>
      <w:pPr>
        <w:pStyle w:val="ListParagraph"/>
        <w:numPr>
          <w:ilvl w:val="0"/>
          <w:numId w:val="2"/>
        </w:numPr>
        <w:spacing w:after="80"/>
      </w:pPr>
      <w:r>
        <w:t xml:space="preserve">Jours ouvrables : hors samedis, dimanches et jours fériés guinéens.</w:t>
      </w:r>
    </w:p>
    <w:p>
      <w:pPr>
        <w:pStyle w:val="ListParagraph"/>
        <w:numPr>
          <w:ilvl w:val="0"/>
          <w:numId w:val="2"/>
        </w:numPr>
        <w:spacing w:after="80"/>
      </w:pPr>
      <w:r>
        <w:t xml:space="preserve">Congé maternité : 98 jours (14 semaines).</w:t>
      </w:r>
    </w:p>
    <w:p>
      <w:pPr>
        <w:pStyle w:val="ListParagraph"/>
        <w:numPr>
          <w:ilvl w:val="0"/>
          <w:numId w:val="2"/>
        </w:numPr>
        <w:spacing w:after="80"/>
      </w:pPr>
      <w:r>
        <w:t xml:space="preserve">Heures supplémentaires : +25 % (8 premières heures), +50 % au-delà, +100 % dimanches et jours fériés. Base horaire 173,33 h.</w:t>
      </w:r>
    </w:p>
    <w:p>
      <w:pPr>
        <w:pStyle w:val="ListParagraph"/>
        <w:numPr>
          <w:ilvl w:val="0"/>
          <w:numId w:val="2"/>
        </w:numPr>
        <w:spacing w:after="80"/>
      </w:pPr>
      <w:r>
        <w:t xml:space="preserve">Durée légale : 40 h/semaine. Âge minimum d'embauche : 16 ans.</w:t>
      </w:r>
    </w:p>
    <w:p>
      <w:pPr>
        <w:pStyle w:val="ListParagraph"/>
        <w:numPr>
          <w:ilvl w:val="0"/>
          <w:numId w:val="2"/>
        </w:numPr>
        <w:spacing w:after="80"/>
      </w:pPr>
      <w:r>
        <w:t xml:space="preserve">Workflow congés : demande → validation Manager → validation RH → mise à jour du solde.</w:t>
      </w:r>
    </w:p>
    <w:p>
      <w:pPr>
        <w:pStyle w:val="Heading1"/>
        <w:spacing w:after="160" w:before="360"/>
      </w:pPr>
      <w:r>
        <w:rPr>
          <w:color w:val="1F4E79"/>
        </w:rPr>
        <w:t xml:space="preserve">7. Sécurité, rôles et conformité</w:t>
      </w:r>
    </w:p>
    <w:p>
      <w:pPr>
        <w:pStyle w:val="Heading2"/>
        <w:spacing w:after="120" w:before="280"/>
      </w:pPr>
      <w:r>
        <w:rPr>
          <w:color w:val="1F4E79"/>
        </w:rPr>
        <w:t xml:space="preserve">7.1 Matrice des droits (reprise de l'Excel, étendue au rôle Employé)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1150"/>
        <w:gridCol w:w="1750"/>
        <w:gridCol w:w="1300"/>
        <w:gridCol w:w="1300"/>
      </w:tblGrid>
      <w:tr>
        <w:trPr>
          <w:tblHeader/>
        </w:trPr>
        <w:tc>
          <w:tcPr>
            <w:tcW w:type="dxa" w:w="1900"/>
            <w:shd w:fill="1F4E79" w:val="clear"/>
            <w:tcMar>
              <w:top w:type="dxa" w:w="60"/>
              <w:left w:type="dxa" w:w="100"/>
              <w:bottom w:type="dxa" w:w="60"/>
              <w:right w:type="dxa" w:w="100"/>
            </w:tcMar>
          </w:tcPr>
          <w:p>
            <w:r>
              <w:rPr>
                <w:b/>
                <w:bCs/>
                <w:color w:val="FFFFFF"/>
                <w:sz w:val="20"/>
                <w:szCs w:val="20"/>
              </w:rPr>
              <w:t xml:space="preserve">Module</w:t>
            </w:r>
          </w:p>
        </w:tc>
        <w:tc>
          <w:tcPr>
            <w:tcW w:type="dxa" w:w="1150"/>
            <w:shd w:fill="1F4E79" w:val="clear"/>
            <w:tcMar>
              <w:top w:type="dxa" w:w="60"/>
              <w:left w:type="dxa" w:w="100"/>
              <w:bottom w:type="dxa" w:w="60"/>
              <w:right w:type="dxa" w:w="100"/>
            </w:tcMar>
          </w:tcPr>
          <w:p>
            <w:r>
              <w:rPr>
                <w:b/>
                <w:bCs/>
                <w:color w:val="FFFFFF"/>
                <w:sz w:val="20"/>
                <w:szCs w:val="20"/>
              </w:rPr>
              <w:t xml:space="preserve">Admin</w:t>
            </w:r>
          </w:p>
        </w:tc>
        <w:tc>
          <w:tcPr>
            <w:tcW w:type="dxa" w:w="1150"/>
            <w:shd w:fill="1F4E79" w:val="clear"/>
            <w:tcMar>
              <w:top w:type="dxa" w:w="60"/>
              <w:left w:type="dxa" w:w="100"/>
              <w:bottom w:type="dxa" w:w="60"/>
              <w:right w:type="dxa" w:w="100"/>
            </w:tcMar>
          </w:tcPr>
          <w:p>
            <w:r>
              <w:rPr>
                <w:b/>
                <w:bCs/>
                <w:color w:val="FFFFFF"/>
                <w:sz w:val="20"/>
                <w:szCs w:val="20"/>
              </w:rPr>
              <w:t xml:space="preserve">RH</w:t>
            </w:r>
          </w:p>
        </w:tc>
        <w:tc>
          <w:tcPr>
            <w:tcW w:type="dxa" w:w="1150"/>
            <w:shd w:fill="1F4E79" w:val="clear"/>
            <w:tcMar>
              <w:top w:type="dxa" w:w="60"/>
              <w:left w:type="dxa" w:w="100"/>
              <w:bottom w:type="dxa" w:w="60"/>
              <w:right w:type="dxa" w:w="100"/>
            </w:tcMar>
          </w:tcPr>
          <w:p>
            <w:r>
              <w:rPr>
                <w:b/>
                <w:bCs/>
                <w:color w:val="FFFFFF"/>
                <w:sz w:val="20"/>
                <w:szCs w:val="20"/>
              </w:rPr>
              <w:t xml:space="preserve">DG</w:t>
            </w:r>
          </w:p>
        </w:tc>
        <w:tc>
          <w:tcPr>
            <w:tcW w:type="dxa" w:w="1750"/>
            <w:shd w:fill="1F4E79" w:val="clear"/>
            <w:tcMar>
              <w:top w:type="dxa" w:w="60"/>
              <w:left w:type="dxa" w:w="100"/>
              <w:bottom w:type="dxa" w:w="60"/>
              <w:right w:type="dxa" w:w="100"/>
            </w:tcMar>
          </w:tcPr>
          <w:p>
            <w:r>
              <w:rPr>
                <w:b/>
                <w:bCs/>
                <w:color w:val="FFFFFF"/>
                <w:sz w:val="20"/>
                <w:szCs w:val="20"/>
              </w:rPr>
              <w:t xml:space="preserve">Manager</w:t>
            </w:r>
          </w:p>
        </w:tc>
        <w:tc>
          <w:tcPr>
            <w:tcW w:type="dxa" w:w="1300"/>
            <w:shd w:fill="1F4E79" w:val="clear"/>
            <w:tcMar>
              <w:top w:type="dxa" w:w="60"/>
              <w:left w:type="dxa" w:w="100"/>
              <w:bottom w:type="dxa" w:w="60"/>
              <w:right w:type="dxa" w:w="100"/>
            </w:tcMar>
          </w:tcPr>
          <w:p>
            <w:r>
              <w:rPr>
                <w:b/>
                <w:bCs/>
                <w:color w:val="FFFFFF"/>
                <w:sz w:val="20"/>
                <w:szCs w:val="20"/>
              </w:rPr>
              <w:t xml:space="preserve">Comptable</w:t>
            </w:r>
          </w:p>
        </w:tc>
        <w:tc>
          <w:tcPr>
            <w:tcW w:type="dxa" w:w="1300"/>
            <w:shd w:fill="1F4E79" w:val="clear"/>
            <w:tcMar>
              <w:top w:type="dxa" w:w="60"/>
              <w:left w:type="dxa" w:w="100"/>
              <w:bottom w:type="dxa" w:w="60"/>
              <w:right w:type="dxa" w:w="100"/>
            </w:tcMar>
          </w:tcPr>
          <w:p>
            <w:r>
              <w:rPr>
                <w:b/>
                <w:bCs/>
                <w:color w:val="FFFFFF"/>
                <w:sz w:val="20"/>
                <w:szCs w:val="20"/>
              </w:rPr>
              <w:t xml:space="preserve">Employé</w:t>
            </w:r>
          </w:p>
        </w:tc>
      </w:tr>
      <w:tr>
        <w:tc>
          <w:tcPr>
            <w:tcW w:type="dxa" w:w="1900"/>
            <w:tcMar>
              <w:top w:type="dxa" w:w="60"/>
              <w:left w:type="dxa" w:w="100"/>
              <w:bottom w:type="dxa" w:w="60"/>
              <w:right w:type="dxa" w:w="100"/>
            </w:tcMar>
          </w:tcPr>
          <w:p>
            <w:r>
              <w:rPr>
                <w:b w:val="false"/>
                <w:bCs w:val="false"/>
                <w:sz w:val="20"/>
                <w:szCs w:val="20"/>
              </w:rPr>
              <w:t xml:space="preserve">Paramétrage</w:t>
            </w:r>
          </w:p>
        </w:tc>
        <w:tc>
          <w:tcPr>
            <w:tcW w:type="dxa" w:w="1150"/>
            <w:tcMar>
              <w:top w:type="dxa" w:w="60"/>
              <w:left w:type="dxa" w:w="100"/>
              <w:bottom w:type="dxa" w:w="60"/>
              <w:right w:type="dxa" w:w="100"/>
            </w:tcMar>
          </w:tcPr>
          <w:p>
            <w:r>
              <w:rPr>
                <w:b w:val="false"/>
                <w:bCs w:val="false"/>
                <w:sz w:val="20"/>
                <w:szCs w:val="20"/>
              </w:rPr>
              <w:t xml:space="preserve">Tout</w:t>
            </w:r>
          </w:p>
        </w:tc>
        <w:tc>
          <w:tcPr>
            <w:tcW w:type="dxa" w:w="1150"/>
            <w:tcMar>
              <w:top w:type="dxa" w:w="60"/>
              <w:left w:type="dxa" w:w="100"/>
              <w:bottom w:type="dxa" w:w="60"/>
              <w:right w:type="dxa" w:w="100"/>
            </w:tcMar>
          </w:tcPr>
          <w:p>
            <w:r>
              <w:rPr>
                <w:b w:val="false"/>
                <w:bCs w:val="false"/>
                <w:sz w:val="20"/>
                <w:szCs w:val="20"/>
              </w:rPr>
              <w:t xml:space="preserve">Lecture</w:t>
            </w:r>
          </w:p>
        </w:tc>
        <w:tc>
          <w:tcPr>
            <w:tcW w:type="dxa" w:w="1150"/>
            <w:tcMar>
              <w:top w:type="dxa" w:w="60"/>
              <w:left w:type="dxa" w:w="100"/>
              <w:bottom w:type="dxa" w:w="60"/>
              <w:right w:type="dxa" w:w="100"/>
            </w:tcMar>
          </w:tcPr>
          <w:p>
            <w:r>
              <w:rPr>
                <w:b w:val="false"/>
                <w:bCs w:val="false"/>
                <w:sz w:val="20"/>
                <w:szCs w:val="20"/>
              </w:rPr>
              <w:t xml:space="preserve">—</w:t>
            </w:r>
          </w:p>
        </w:tc>
        <w:tc>
          <w:tcPr>
            <w:tcW w:type="dxa" w:w="1750"/>
            <w:tcMar>
              <w:top w:type="dxa" w:w="60"/>
              <w:left w:type="dxa" w:w="100"/>
              <w:bottom w:type="dxa" w:w="60"/>
              <w:right w:type="dxa" w:w="100"/>
            </w:tcMar>
          </w:tcPr>
          <w:p>
            <w:r>
              <w:rPr>
                <w:b w:val="false"/>
                <w:bCs w:val="false"/>
                <w:sz w:val="20"/>
                <w:szCs w:val="20"/>
              </w:rPr>
              <w:t xml:space="preserve">—</w:t>
            </w:r>
          </w:p>
        </w:tc>
        <w:tc>
          <w:tcPr>
            <w:tcW w:type="dxa" w:w="1300"/>
            <w:tcMar>
              <w:top w:type="dxa" w:w="60"/>
              <w:left w:type="dxa" w:w="100"/>
              <w:bottom w:type="dxa" w:w="60"/>
              <w:right w:type="dxa" w:w="100"/>
            </w:tcMar>
          </w:tcPr>
          <w:p>
            <w:r>
              <w:rPr>
                <w:b w:val="false"/>
                <w:bCs w:val="false"/>
                <w:sz w:val="20"/>
                <w:szCs w:val="20"/>
              </w:rPr>
              <w:t xml:space="preserve">—</w:t>
            </w:r>
          </w:p>
        </w:tc>
        <w:tc>
          <w:tcPr>
            <w:tcW w:type="dxa" w:w="1300"/>
            <w:tcMar>
              <w:top w:type="dxa" w:w="60"/>
              <w:left w:type="dxa" w:w="100"/>
              <w:bottom w:type="dxa" w:w="60"/>
              <w:right w:type="dxa" w:w="100"/>
            </w:tcMar>
          </w:tcPr>
          <w:p>
            <w:r>
              <w:rPr>
                <w:b w:val="false"/>
                <w:bCs w:val="false"/>
                <w:sz w:val="20"/>
                <w:szCs w:val="20"/>
              </w:rPr>
              <w:t xml:space="preserve">—</w:t>
            </w:r>
          </w:p>
        </w:tc>
      </w:tr>
      <w:tr>
        <w:tc>
          <w:tcPr>
            <w:tcW w:type="dxa" w:w="1900"/>
            <w:shd w:fill="F2F2F2" w:val="clear"/>
            <w:tcMar>
              <w:top w:type="dxa" w:w="60"/>
              <w:left w:type="dxa" w:w="100"/>
              <w:bottom w:type="dxa" w:w="60"/>
              <w:right w:type="dxa" w:w="100"/>
            </w:tcMar>
          </w:tcPr>
          <w:p>
            <w:r>
              <w:rPr>
                <w:b w:val="false"/>
                <w:bCs w:val="false"/>
                <w:sz w:val="20"/>
                <w:szCs w:val="20"/>
              </w:rPr>
              <w:t xml:space="preserve">Personnel</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Lecture</w:t>
            </w:r>
          </w:p>
        </w:tc>
        <w:tc>
          <w:tcPr>
            <w:tcW w:type="dxa" w:w="1750"/>
            <w:shd w:fill="F2F2F2" w:val="clear"/>
            <w:tcMar>
              <w:top w:type="dxa" w:w="60"/>
              <w:left w:type="dxa" w:w="100"/>
              <w:bottom w:type="dxa" w:w="60"/>
              <w:right w:type="dxa" w:w="100"/>
            </w:tcMar>
          </w:tcPr>
          <w:p>
            <w:r>
              <w:rPr>
                <w:b w:val="false"/>
                <w:bCs w:val="false"/>
                <w:sz w:val="20"/>
                <w:szCs w:val="20"/>
              </w:rPr>
              <w:t xml:space="preserve">Son équipe (sans salaires)</w:t>
            </w:r>
          </w:p>
        </w:tc>
        <w:tc>
          <w:tcPr>
            <w:tcW w:type="dxa" w:w="1300"/>
            <w:shd w:fill="F2F2F2" w:val="clear"/>
            <w:tcMar>
              <w:top w:type="dxa" w:w="60"/>
              <w:left w:type="dxa" w:w="100"/>
              <w:bottom w:type="dxa" w:w="60"/>
              <w:right w:type="dxa" w:w="100"/>
            </w:tcMar>
          </w:tcPr>
          <w:p>
            <w:r>
              <w:rPr>
                <w:b w:val="false"/>
                <w:bCs w:val="false"/>
                <w:sz w:val="20"/>
                <w:szCs w:val="20"/>
              </w:rPr>
              <w:t xml:space="preserve">—</w:t>
            </w:r>
          </w:p>
        </w:tc>
        <w:tc>
          <w:tcPr>
            <w:tcW w:type="dxa" w:w="1300"/>
            <w:shd w:fill="F2F2F2" w:val="clear"/>
            <w:tcMar>
              <w:top w:type="dxa" w:w="60"/>
              <w:left w:type="dxa" w:w="100"/>
              <w:bottom w:type="dxa" w:w="60"/>
              <w:right w:type="dxa" w:w="100"/>
            </w:tcMar>
          </w:tcPr>
          <w:p>
            <w:r>
              <w:rPr>
                <w:b w:val="false"/>
                <w:bCs w:val="false"/>
                <w:sz w:val="20"/>
                <w:szCs w:val="20"/>
              </w:rPr>
              <w:t xml:space="preserve">Sa fiche</w:t>
            </w:r>
          </w:p>
        </w:tc>
      </w:tr>
      <w:tr>
        <w:tc>
          <w:tcPr>
            <w:tcW w:type="dxa" w:w="1900"/>
            <w:tcMar>
              <w:top w:type="dxa" w:w="60"/>
              <w:left w:type="dxa" w:w="100"/>
              <w:bottom w:type="dxa" w:w="60"/>
              <w:right w:type="dxa" w:w="100"/>
            </w:tcMar>
          </w:tcPr>
          <w:p>
            <w:r>
              <w:rPr>
                <w:b w:val="false"/>
                <w:bCs w:val="false"/>
                <w:sz w:val="20"/>
                <w:szCs w:val="20"/>
              </w:rPr>
              <w:t xml:space="preserve">Paie</w:t>
            </w:r>
          </w:p>
        </w:tc>
        <w:tc>
          <w:tcPr>
            <w:tcW w:type="dxa" w:w="1150"/>
            <w:tcMar>
              <w:top w:type="dxa" w:w="60"/>
              <w:left w:type="dxa" w:w="100"/>
              <w:bottom w:type="dxa" w:w="60"/>
              <w:right w:type="dxa" w:w="100"/>
            </w:tcMar>
          </w:tcPr>
          <w:p>
            <w:r>
              <w:rPr>
                <w:b w:val="false"/>
                <w:bCs w:val="false"/>
                <w:sz w:val="20"/>
                <w:szCs w:val="20"/>
              </w:rPr>
              <w:t xml:space="preserve">Tout</w:t>
            </w:r>
          </w:p>
        </w:tc>
        <w:tc>
          <w:tcPr>
            <w:tcW w:type="dxa" w:w="1150"/>
            <w:tcMar>
              <w:top w:type="dxa" w:w="60"/>
              <w:left w:type="dxa" w:w="100"/>
              <w:bottom w:type="dxa" w:w="60"/>
              <w:right w:type="dxa" w:w="100"/>
            </w:tcMar>
          </w:tcPr>
          <w:p>
            <w:r>
              <w:rPr>
                <w:b w:val="false"/>
                <w:bCs w:val="false"/>
                <w:sz w:val="20"/>
                <w:szCs w:val="20"/>
              </w:rPr>
              <w:t xml:space="preserve">Tout</w:t>
            </w:r>
          </w:p>
        </w:tc>
        <w:tc>
          <w:tcPr>
            <w:tcW w:type="dxa" w:w="1150"/>
            <w:tcMar>
              <w:top w:type="dxa" w:w="60"/>
              <w:left w:type="dxa" w:w="100"/>
              <w:bottom w:type="dxa" w:w="60"/>
              <w:right w:type="dxa" w:w="100"/>
            </w:tcMar>
          </w:tcPr>
          <w:p>
            <w:r>
              <w:rPr>
                <w:b w:val="false"/>
                <w:bCs w:val="false"/>
                <w:sz w:val="20"/>
                <w:szCs w:val="20"/>
              </w:rPr>
              <w:t xml:space="preserve">Lecture</w:t>
            </w:r>
          </w:p>
        </w:tc>
        <w:tc>
          <w:tcPr>
            <w:tcW w:type="dxa" w:w="1750"/>
            <w:tcMar>
              <w:top w:type="dxa" w:w="60"/>
              <w:left w:type="dxa" w:w="100"/>
              <w:bottom w:type="dxa" w:w="60"/>
              <w:right w:type="dxa" w:w="100"/>
            </w:tcMar>
          </w:tcPr>
          <w:p>
            <w:r>
              <w:rPr>
                <w:b w:val="false"/>
                <w:bCs w:val="false"/>
                <w:sz w:val="20"/>
                <w:szCs w:val="20"/>
              </w:rPr>
              <w:t xml:space="preserve">—</w:t>
            </w:r>
          </w:p>
        </w:tc>
        <w:tc>
          <w:tcPr>
            <w:tcW w:type="dxa" w:w="1300"/>
            <w:tcMar>
              <w:top w:type="dxa" w:w="60"/>
              <w:left w:type="dxa" w:w="100"/>
              <w:bottom w:type="dxa" w:w="60"/>
              <w:right w:type="dxa" w:w="100"/>
            </w:tcMar>
          </w:tcPr>
          <w:p>
            <w:r>
              <w:rPr>
                <w:b w:val="false"/>
                <w:bCs w:val="false"/>
                <w:sz w:val="20"/>
                <w:szCs w:val="20"/>
              </w:rPr>
              <w:t xml:space="preserve">Lecture</w:t>
            </w:r>
          </w:p>
        </w:tc>
        <w:tc>
          <w:tcPr>
            <w:tcW w:type="dxa" w:w="1300"/>
            <w:tcMar>
              <w:top w:type="dxa" w:w="60"/>
              <w:left w:type="dxa" w:w="100"/>
              <w:bottom w:type="dxa" w:w="60"/>
              <w:right w:type="dxa" w:w="100"/>
            </w:tcMar>
          </w:tcPr>
          <w:p>
            <w:r>
              <w:rPr>
                <w:b w:val="false"/>
                <w:bCs w:val="false"/>
                <w:sz w:val="20"/>
                <w:szCs w:val="20"/>
              </w:rPr>
              <w:t xml:space="preserve">Ses bulletins</w:t>
            </w:r>
          </w:p>
        </w:tc>
      </w:tr>
      <w:tr>
        <w:tc>
          <w:tcPr>
            <w:tcW w:type="dxa" w:w="1900"/>
            <w:shd w:fill="F2F2F2" w:val="clear"/>
            <w:tcMar>
              <w:top w:type="dxa" w:w="60"/>
              <w:left w:type="dxa" w:w="100"/>
              <w:bottom w:type="dxa" w:w="60"/>
              <w:right w:type="dxa" w:w="100"/>
            </w:tcMar>
          </w:tcPr>
          <w:p>
            <w:r>
              <w:rPr>
                <w:b w:val="false"/>
                <w:bCs w:val="false"/>
                <w:sz w:val="20"/>
                <w:szCs w:val="20"/>
              </w:rPr>
              <w:t xml:space="preserve">Congés / Temps</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Lecture</w:t>
            </w:r>
          </w:p>
        </w:tc>
        <w:tc>
          <w:tcPr>
            <w:tcW w:type="dxa" w:w="1750"/>
            <w:shd w:fill="F2F2F2" w:val="clear"/>
            <w:tcMar>
              <w:top w:type="dxa" w:w="60"/>
              <w:left w:type="dxa" w:w="100"/>
              <w:bottom w:type="dxa" w:w="60"/>
              <w:right w:type="dxa" w:w="100"/>
            </w:tcMar>
          </w:tcPr>
          <w:p>
            <w:r>
              <w:rPr>
                <w:b w:val="false"/>
                <w:bCs w:val="false"/>
                <w:sz w:val="20"/>
                <w:szCs w:val="20"/>
              </w:rPr>
              <w:t xml:space="preserve">Son équipe</w:t>
            </w:r>
          </w:p>
        </w:tc>
        <w:tc>
          <w:tcPr>
            <w:tcW w:type="dxa" w:w="1300"/>
            <w:shd w:fill="F2F2F2" w:val="clear"/>
            <w:tcMar>
              <w:top w:type="dxa" w:w="60"/>
              <w:left w:type="dxa" w:w="100"/>
              <w:bottom w:type="dxa" w:w="60"/>
              <w:right w:type="dxa" w:w="100"/>
            </w:tcMar>
          </w:tcPr>
          <w:p>
            <w:r>
              <w:rPr>
                <w:b w:val="false"/>
                <w:bCs w:val="false"/>
                <w:sz w:val="20"/>
                <w:szCs w:val="20"/>
              </w:rPr>
              <w:t xml:space="preserve">—</w:t>
            </w:r>
          </w:p>
        </w:tc>
        <w:tc>
          <w:tcPr>
            <w:tcW w:type="dxa" w:w="1300"/>
            <w:shd w:fill="F2F2F2" w:val="clear"/>
            <w:tcMar>
              <w:top w:type="dxa" w:w="60"/>
              <w:left w:type="dxa" w:w="100"/>
              <w:bottom w:type="dxa" w:w="60"/>
              <w:right w:type="dxa" w:w="100"/>
            </w:tcMar>
          </w:tcPr>
          <w:p>
            <w:r>
              <w:rPr>
                <w:b w:val="false"/>
                <w:bCs w:val="false"/>
                <w:sz w:val="20"/>
                <w:szCs w:val="20"/>
              </w:rPr>
              <w:t xml:space="preserve">Ses demandes</w:t>
            </w:r>
          </w:p>
        </w:tc>
      </w:tr>
      <w:tr>
        <w:tc>
          <w:tcPr>
            <w:tcW w:type="dxa" w:w="1900"/>
            <w:tcMar>
              <w:top w:type="dxa" w:w="60"/>
              <w:left w:type="dxa" w:w="100"/>
              <w:bottom w:type="dxa" w:w="60"/>
              <w:right w:type="dxa" w:w="100"/>
            </w:tcMar>
          </w:tcPr>
          <w:p>
            <w:r>
              <w:rPr>
                <w:b w:val="false"/>
                <w:bCs w:val="false"/>
                <w:sz w:val="20"/>
                <w:szCs w:val="20"/>
              </w:rPr>
              <w:t xml:space="preserve">Documents</w:t>
            </w:r>
          </w:p>
        </w:tc>
        <w:tc>
          <w:tcPr>
            <w:tcW w:type="dxa" w:w="1150"/>
            <w:tcMar>
              <w:top w:type="dxa" w:w="60"/>
              <w:left w:type="dxa" w:w="100"/>
              <w:bottom w:type="dxa" w:w="60"/>
              <w:right w:type="dxa" w:w="100"/>
            </w:tcMar>
          </w:tcPr>
          <w:p>
            <w:r>
              <w:rPr>
                <w:b w:val="false"/>
                <w:bCs w:val="false"/>
                <w:sz w:val="20"/>
                <w:szCs w:val="20"/>
              </w:rPr>
              <w:t xml:space="preserve">Tout</w:t>
            </w:r>
          </w:p>
        </w:tc>
        <w:tc>
          <w:tcPr>
            <w:tcW w:type="dxa" w:w="1150"/>
            <w:tcMar>
              <w:top w:type="dxa" w:w="60"/>
              <w:left w:type="dxa" w:w="100"/>
              <w:bottom w:type="dxa" w:w="60"/>
              <w:right w:type="dxa" w:w="100"/>
            </w:tcMar>
          </w:tcPr>
          <w:p>
            <w:r>
              <w:rPr>
                <w:b w:val="false"/>
                <w:bCs w:val="false"/>
                <w:sz w:val="20"/>
                <w:szCs w:val="20"/>
              </w:rPr>
              <w:t xml:space="preserve">Tout</w:t>
            </w:r>
          </w:p>
        </w:tc>
        <w:tc>
          <w:tcPr>
            <w:tcW w:type="dxa" w:w="1150"/>
            <w:tcMar>
              <w:top w:type="dxa" w:w="60"/>
              <w:left w:type="dxa" w:w="100"/>
              <w:bottom w:type="dxa" w:w="60"/>
              <w:right w:type="dxa" w:w="100"/>
            </w:tcMar>
          </w:tcPr>
          <w:p>
            <w:r>
              <w:rPr>
                <w:b w:val="false"/>
                <w:bCs w:val="false"/>
                <w:sz w:val="20"/>
                <w:szCs w:val="20"/>
              </w:rPr>
              <w:t xml:space="preserve">Lecture</w:t>
            </w:r>
          </w:p>
        </w:tc>
        <w:tc>
          <w:tcPr>
            <w:tcW w:type="dxa" w:w="1750"/>
            <w:tcMar>
              <w:top w:type="dxa" w:w="60"/>
              <w:left w:type="dxa" w:w="100"/>
              <w:bottom w:type="dxa" w:w="60"/>
              <w:right w:type="dxa" w:w="100"/>
            </w:tcMar>
          </w:tcPr>
          <w:p>
            <w:r>
              <w:rPr>
                <w:b w:val="false"/>
                <w:bCs w:val="false"/>
                <w:sz w:val="20"/>
                <w:szCs w:val="20"/>
              </w:rPr>
              <w:t xml:space="preserve">—</w:t>
            </w:r>
          </w:p>
        </w:tc>
        <w:tc>
          <w:tcPr>
            <w:tcW w:type="dxa" w:w="1300"/>
            <w:tcMar>
              <w:top w:type="dxa" w:w="60"/>
              <w:left w:type="dxa" w:w="100"/>
              <w:bottom w:type="dxa" w:w="60"/>
              <w:right w:type="dxa" w:w="100"/>
            </w:tcMar>
          </w:tcPr>
          <w:p>
            <w:r>
              <w:rPr>
                <w:b w:val="false"/>
                <w:bCs w:val="false"/>
                <w:sz w:val="20"/>
                <w:szCs w:val="20"/>
              </w:rPr>
              <w:t xml:space="preserve">Paie</w:t>
            </w:r>
          </w:p>
        </w:tc>
        <w:tc>
          <w:tcPr>
            <w:tcW w:type="dxa" w:w="1300"/>
            <w:tcMar>
              <w:top w:type="dxa" w:w="60"/>
              <w:left w:type="dxa" w:w="100"/>
              <w:bottom w:type="dxa" w:w="60"/>
              <w:right w:type="dxa" w:w="100"/>
            </w:tcMar>
          </w:tcPr>
          <w:p>
            <w:r>
              <w:rPr>
                <w:b w:val="false"/>
                <w:bCs w:val="false"/>
                <w:sz w:val="20"/>
                <w:szCs w:val="20"/>
              </w:rPr>
              <w:t xml:space="preserve">Ses documents</w:t>
            </w:r>
          </w:p>
        </w:tc>
      </w:tr>
      <w:tr>
        <w:tc>
          <w:tcPr>
            <w:tcW w:type="dxa" w:w="1900"/>
            <w:shd w:fill="F2F2F2" w:val="clear"/>
            <w:tcMar>
              <w:top w:type="dxa" w:w="60"/>
              <w:left w:type="dxa" w:w="100"/>
              <w:bottom w:type="dxa" w:w="60"/>
              <w:right w:type="dxa" w:w="100"/>
            </w:tcMar>
          </w:tcPr>
          <w:p>
            <w:r>
              <w:rPr>
                <w:b w:val="false"/>
                <w:bCs w:val="false"/>
                <w:sz w:val="20"/>
                <w:szCs w:val="20"/>
              </w:rPr>
              <w:t xml:space="preserve">Tableau de bord</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150"/>
            <w:shd w:fill="F2F2F2" w:val="clear"/>
            <w:tcMar>
              <w:top w:type="dxa" w:w="60"/>
              <w:left w:type="dxa" w:w="100"/>
              <w:bottom w:type="dxa" w:w="60"/>
              <w:right w:type="dxa" w:w="100"/>
            </w:tcMar>
          </w:tcPr>
          <w:p>
            <w:r>
              <w:rPr>
                <w:b w:val="false"/>
                <w:bCs w:val="false"/>
                <w:sz w:val="20"/>
                <w:szCs w:val="20"/>
              </w:rPr>
              <w:t xml:space="preserve">Tout</w:t>
            </w:r>
          </w:p>
        </w:tc>
        <w:tc>
          <w:tcPr>
            <w:tcW w:type="dxa" w:w="1750"/>
            <w:shd w:fill="F2F2F2" w:val="clear"/>
            <w:tcMar>
              <w:top w:type="dxa" w:w="60"/>
              <w:left w:type="dxa" w:w="100"/>
              <w:bottom w:type="dxa" w:w="60"/>
              <w:right w:type="dxa" w:w="100"/>
            </w:tcMar>
          </w:tcPr>
          <w:p>
            <w:r>
              <w:rPr>
                <w:b w:val="false"/>
                <w:bCs w:val="false"/>
                <w:sz w:val="20"/>
                <w:szCs w:val="20"/>
              </w:rPr>
              <w:t xml:space="preserve">Son dépt.</w:t>
            </w:r>
          </w:p>
        </w:tc>
        <w:tc>
          <w:tcPr>
            <w:tcW w:type="dxa" w:w="1300"/>
            <w:shd w:fill="F2F2F2" w:val="clear"/>
            <w:tcMar>
              <w:top w:type="dxa" w:w="60"/>
              <w:left w:type="dxa" w:w="100"/>
              <w:bottom w:type="dxa" w:w="60"/>
              <w:right w:type="dxa" w:w="100"/>
            </w:tcMar>
          </w:tcPr>
          <w:p>
            <w:r>
              <w:rPr>
                <w:b w:val="false"/>
                <w:bCs w:val="false"/>
                <w:sz w:val="20"/>
                <w:szCs w:val="20"/>
              </w:rPr>
              <w:t xml:space="preserve">Paie</w:t>
            </w:r>
          </w:p>
        </w:tc>
        <w:tc>
          <w:tcPr>
            <w:tcW w:type="dxa" w:w="1300"/>
            <w:shd w:fill="F2F2F2" w:val="clear"/>
            <w:tcMar>
              <w:top w:type="dxa" w:w="60"/>
              <w:left w:type="dxa" w:w="100"/>
              <w:bottom w:type="dxa" w:w="60"/>
              <w:right w:type="dxa" w:w="100"/>
            </w:tcMar>
          </w:tcPr>
          <w:p>
            <w:r>
              <w:rPr>
                <w:b w:val="false"/>
                <w:bCs w:val="false"/>
                <w:sz w:val="20"/>
                <w:szCs w:val="20"/>
              </w:rPr>
              <w:t xml:space="preserve">—</w:t>
            </w:r>
          </w:p>
        </w:tc>
      </w:tr>
    </w:tbl>
    <w:p>
      <w:pPr>
        <w:pStyle w:val="Heading2"/>
        <w:spacing w:after="120" w:before="280"/>
      </w:pPr>
      <w:r>
        <w:rPr>
          <w:color w:val="1F4E79"/>
        </w:rPr>
        <w:t xml:space="preserve">7.2 Mesures de sécurité</w:t>
      </w:r>
    </w:p>
    <w:p>
      <w:pPr>
        <w:pStyle w:val="ListParagraph"/>
        <w:numPr>
          <w:ilvl w:val="0"/>
          <w:numId w:val="2"/>
        </w:numPr>
        <w:spacing w:after="80"/>
      </w:pPr>
      <w:r>
        <w:t xml:space="preserve">Isolation multi-tenant par RLS : chaque policy vérifie company_id = celui du profil connecté. Tests automatiques d'isolation (un utilisateur A ne doit jamais voir les données de l'entreprise B).</w:t>
      </w:r>
    </w:p>
    <w:p>
      <w:pPr>
        <w:pStyle w:val="ListParagraph"/>
        <w:numPr>
          <w:ilvl w:val="0"/>
          <w:numId w:val="2"/>
        </w:numPr>
        <w:spacing w:after="80"/>
      </w:pPr>
      <w:r>
        <w:t xml:space="preserve">Mots de passe et sessions entièrement délégués à Supabase Auth (plus de hash maison ni de compte admin/admin123 par défaut).</w:t>
      </w:r>
    </w:p>
    <w:p>
      <w:pPr>
        <w:pStyle w:val="ListParagraph"/>
        <w:numPr>
          <w:ilvl w:val="0"/>
          <w:numId w:val="2"/>
        </w:numPr>
        <w:spacing w:after="80"/>
      </w:pPr>
      <w:r>
        <w:t xml:space="preserve">Audit : triggers PostgreSQL journalisant les modifications sur employees, payslips, contribution_rates, tax_brackets et les connexions.</w:t>
      </w:r>
    </w:p>
    <w:p>
      <w:pPr>
        <w:pStyle w:val="ListParagraph"/>
        <w:numPr>
          <w:ilvl w:val="0"/>
          <w:numId w:val="2"/>
        </w:numPr>
        <w:spacing w:after="80"/>
      </w:pPr>
      <w:r>
        <w:t xml:space="preserve">Secrets (clés Supabase service_role, Stripe, Resend) uniquement en variables d'environnement Vercel — jamais dans le dépôt Git.</w:t>
      </w:r>
    </w:p>
    <w:p>
      <w:pPr>
        <w:pStyle w:val="ListParagraph"/>
        <w:numPr>
          <w:ilvl w:val="0"/>
          <w:numId w:val="2"/>
        </w:numPr>
        <w:spacing w:after="80"/>
      </w:pPr>
      <w:r>
        <w:t xml:space="preserve">Les données RH sont sensibles : choisir une région Supabase européenne (proximité/latence acceptable pour Conakry), sauvegardes quotidiennes, HTTPS partout.</w:t>
      </w:r>
    </w:p>
    <w:p>
      <w:pPr>
        <w:pStyle w:val="ListParagraph"/>
        <w:numPr>
          <w:ilvl w:val="0"/>
          <w:numId w:val="2"/>
        </w:numPr>
        <w:spacing w:after="80"/>
      </w:pPr>
      <w:r>
        <w:t xml:space="preserve">Le rôle service_role n'est utilisé que dans les Server Actions/Route Handlers, jamais côté client.</w:t>
      </w:r>
    </w:p>
    <w:p>
      <w:pPr>
        <w:pStyle w:val="Heading1"/>
        <w:spacing w:after="160" w:before="360"/>
      </w:pPr>
      <w:r>
        <w:rPr>
          <w:color w:val="1F4E79"/>
        </w:rPr>
        <w:t xml:space="preserve">8. Modèle SaaS et monétisation</w:t>
      </w:r>
    </w:p>
    <w:p>
      <w:pPr>
        <w:spacing w:after="120"/>
      </w:pPr>
      <w:r>
        <w:t xml:space="preserve">Le système de licence par clé et ID Machine disparaît au profit d'abonnements. Proposition de départ, à ajuster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shd w:fill="1F4E79" w:val="clear"/>
            <w:tcMar>
              <w:top w:type="dxa" w:w="60"/>
              <w:left w:type="dxa" w:w="100"/>
              <w:bottom w:type="dxa" w:w="60"/>
              <w:right w:type="dxa" w:w="100"/>
            </w:tcMar>
          </w:tcPr>
          <w:p>
            <w:r>
              <w:rPr>
                <w:b/>
                <w:bCs/>
                <w:color w:val="FFFFFF"/>
                <w:sz w:val="20"/>
                <w:szCs w:val="20"/>
              </w:rPr>
              <w:t xml:space="preserve">Plan</w:t>
            </w:r>
          </w:p>
        </w:tc>
        <w:tc>
          <w:tcPr>
            <w:tcW w:type="dxa" w:w="2400"/>
            <w:shd w:fill="1F4E79" w:val="clear"/>
            <w:tcMar>
              <w:top w:type="dxa" w:w="60"/>
              <w:left w:type="dxa" w:w="100"/>
              <w:bottom w:type="dxa" w:w="60"/>
              <w:right w:type="dxa" w:w="100"/>
            </w:tcMar>
          </w:tcPr>
          <w:p>
            <w:r>
              <w:rPr>
                <w:b/>
                <w:bCs/>
                <w:color w:val="FFFFFF"/>
                <w:sz w:val="20"/>
                <w:szCs w:val="20"/>
              </w:rPr>
              <w:t xml:space="preserve">Cible</w:t>
            </w:r>
          </w:p>
        </w:tc>
        <w:tc>
          <w:tcPr>
            <w:tcW w:type="dxa" w:w="5160"/>
            <w:shd w:fill="1F4E79" w:val="clear"/>
            <w:tcMar>
              <w:top w:type="dxa" w:w="60"/>
              <w:left w:type="dxa" w:w="100"/>
              <w:bottom w:type="dxa" w:w="60"/>
              <w:right w:type="dxa" w:w="100"/>
            </w:tcMar>
          </w:tcPr>
          <w:p>
            <w:r>
              <w:rPr>
                <w:b/>
                <w:bCs/>
                <w:color w:val="FFFFFF"/>
                <w:sz w:val="20"/>
                <w:szCs w:val="20"/>
              </w:rPr>
              <w:t xml:space="preserve">Contenu indicatif</w:t>
            </w:r>
          </w:p>
        </w:tc>
      </w:tr>
      <w:tr>
        <w:tc>
          <w:tcPr>
            <w:tcW w:type="dxa" w:w="1800"/>
            <w:tcMar>
              <w:top w:type="dxa" w:w="60"/>
              <w:left w:type="dxa" w:w="100"/>
              <w:bottom w:type="dxa" w:w="60"/>
              <w:right w:type="dxa" w:w="100"/>
            </w:tcMar>
          </w:tcPr>
          <w:p>
            <w:r>
              <w:rPr>
                <w:b w:val="false"/>
                <w:bCs w:val="false"/>
                <w:sz w:val="20"/>
                <w:szCs w:val="20"/>
              </w:rPr>
              <w:t xml:space="preserve">Essai gratuit (30 jours)</w:t>
            </w:r>
          </w:p>
        </w:tc>
        <w:tc>
          <w:tcPr>
            <w:tcW w:type="dxa" w:w="2400"/>
            <w:tcMar>
              <w:top w:type="dxa" w:w="60"/>
              <w:left w:type="dxa" w:w="100"/>
              <w:bottom w:type="dxa" w:w="60"/>
              <w:right w:type="dxa" w:w="100"/>
            </w:tcMar>
          </w:tcPr>
          <w:p>
            <w:r>
              <w:rPr>
                <w:b w:val="false"/>
                <w:bCs w:val="false"/>
                <w:sz w:val="20"/>
                <w:szCs w:val="20"/>
              </w:rPr>
              <w:t xml:space="preserve">Toute nouvelle entreprise</w:t>
            </w:r>
          </w:p>
        </w:tc>
        <w:tc>
          <w:tcPr>
            <w:tcW w:type="dxa" w:w="5160"/>
            <w:tcMar>
              <w:top w:type="dxa" w:w="60"/>
              <w:left w:type="dxa" w:w="100"/>
              <w:bottom w:type="dxa" w:w="60"/>
              <w:right w:type="dxa" w:w="100"/>
            </w:tcMar>
          </w:tcPr>
          <w:p>
            <w:r>
              <w:rPr>
                <w:b w:val="false"/>
                <w:bCs w:val="false"/>
                <w:sz w:val="20"/>
                <w:szCs w:val="20"/>
              </w:rPr>
              <w:t xml:space="preserve">Toutes fonctions, limité à 10 salariés, filigrane sur les PDF</w:t>
            </w:r>
          </w:p>
        </w:tc>
      </w:tr>
      <w:tr>
        <w:tc>
          <w:tcPr>
            <w:tcW w:type="dxa" w:w="1800"/>
            <w:shd w:fill="F2F2F2" w:val="clear"/>
            <w:tcMar>
              <w:top w:type="dxa" w:w="60"/>
              <w:left w:type="dxa" w:w="100"/>
              <w:bottom w:type="dxa" w:w="60"/>
              <w:right w:type="dxa" w:w="100"/>
            </w:tcMar>
          </w:tcPr>
          <w:p>
            <w:r>
              <w:rPr>
                <w:b w:val="false"/>
                <w:bCs w:val="false"/>
                <w:sz w:val="20"/>
                <w:szCs w:val="20"/>
              </w:rPr>
              <w:t xml:space="preserve">Starter</w:t>
            </w:r>
          </w:p>
        </w:tc>
        <w:tc>
          <w:tcPr>
            <w:tcW w:type="dxa" w:w="2400"/>
            <w:shd w:fill="F2F2F2" w:val="clear"/>
            <w:tcMar>
              <w:top w:type="dxa" w:w="60"/>
              <w:left w:type="dxa" w:w="100"/>
              <w:bottom w:type="dxa" w:w="60"/>
              <w:right w:type="dxa" w:w="100"/>
            </w:tcMar>
          </w:tcPr>
          <w:p>
            <w:r>
              <w:rPr>
                <w:b w:val="false"/>
                <w:bCs w:val="false"/>
                <w:sz w:val="20"/>
                <w:szCs w:val="20"/>
              </w:rPr>
              <w:t xml:space="preserve">TPE ≤ 15 salariés</w:t>
            </w:r>
          </w:p>
        </w:tc>
        <w:tc>
          <w:tcPr>
            <w:tcW w:type="dxa" w:w="5160"/>
            <w:shd w:fill="F2F2F2" w:val="clear"/>
            <w:tcMar>
              <w:top w:type="dxa" w:w="60"/>
              <w:left w:type="dxa" w:w="100"/>
              <w:bottom w:type="dxa" w:w="60"/>
              <w:right w:type="dxa" w:w="100"/>
            </w:tcMar>
          </w:tcPr>
          <w:p>
            <w:r>
              <w:rPr>
                <w:b w:val="false"/>
                <w:bCs w:val="false"/>
                <w:sz w:val="20"/>
                <w:szCs w:val="20"/>
              </w:rPr>
              <w:t xml:space="preserve">Modules 1-5 + documents ; 3 comptes utilisateurs</w:t>
            </w:r>
          </w:p>
        </w:tc>
      </w:tr>
      <w:tr>
        <w:tc>
          <w:tcPr>
            <w:tcW w:type="dxa" w:w="1800"/>
            <w:tcMar>
              <w:top w:type="dxa" w:w="60"/>
              <w:left w:type="dxa" w:w="100"/>
              <w:bottom w:type="dxa" w:w="60"/>
              <w:right w:type="dxa" w:w="100"/>
            </w:tcMar>
          </w:tcPr>
          <w:p>
            <w:r>
              <w:rPr>
                <w:b w:val="false"/>
                <w:bCs w:val="false"/>
                <w:sz w:val="20"/>
                <w:szCs w:val="20"/>
              </w:rPr>
              <w:t xml:space="preserve">Business</w:t>
            </w:r>
          </w:p>
        </w:tc>
        <w:tc>
          <w:tcPr>
            <w:tcW w:type="dxa" w:w="2400"/>
            <w:tcMar>
              <w:top w:type="dxa" w:w="60"/>
              <w:left w:type="dxa" w:w="100"/>
              <w:bottom w:type="dxa" w:w="60"/>
              <w:right w:type="dxa" w:w="100"/>
            </w:tcMar>
          </w:tcPr>
          <w:p>
            <w:r>
              <w:rPr>
                <w:b w:val="false"/>
                <w:bCs w:val="false"/>
                <w:sz w:val="20"/>
                <w:szCs w:val="20"/>
              </w:rPr>
              <w:t xml:space="preserve">PME ≤ 50 salariés</w:t>
            </w:r>
          </w:p>
        </w:tc>
        <w:tc>
          <w:tcPr>
            <w:tcW w:type="dxa" w:w="5160"/>
            <w:tcMar>
              <w:top w:type="dxa" w:w="60"/>
              <w:left w:type="dxa" w:w="100"/>
              <w:bottom w:type="dxa" w:w="60"/>
              <w:right w:type="dxa" w:w="100"/>
            </w:tcMar>
          </w:tcPr>
          <w:p>
            <w:r>
              <w:rPr>
                <w:b w:val="false"/>
                <w:bCs w:val="false"/>
                <w:sz w:val="20"/>
                <w:szCs w:val="20"/>
              </w:rPr>
              <w:t xml:space="preserve">Tout inclus : temps &amp; présence, portail employé, dashboard, utilisateurs illimités</w:t>
            </w:r>
          </w:p>
        </w:tc>
      </w:tr>
      <w:tr>
        <w:tc>
          <w:tcPr>
            <w:tcW w:type="dxa" w:w="1800"/>
            <w:shd w:fill="F2F2F2" w:val="clear"/>
            <w:tcMar>
              <w:top w:type="dxa" w:w="60"/>
              <w:left w:type="dxa" w:w="100"/>
              <w:bottom w:type="dxa" w:w="60"/>
              <w:right w:type="dxa" w:w="100"/>
            </w:tcMar>
          </w:tcPr>
          <w:p>
            <w:r>
              <w:rPr>
                <w:b w:val="false"/>
                <w:bCs w:val="false"/>
                <w:sz w:val="20"/>
                <w:szCs w:val="20"/>
              </w:rPr>
              <w:t xml:space="preserve">Sur devis</w:t>
            </w:r>
          </w:p>
        </w:tc>
        <w:tc>
          <w:tcPr>
            <w:tcW w:type="dxa" w:w="2400"/>
            <w:shd w:fill="F2F2F2" w:val="clear"/>
            <w:tcMar>
              <w:top w:type="dxa" w:w="60"/>
              <w:left w:type="dxa" w:w="100"/>
              <w:bottom w:type="dxa" w:w="60"/>
              <w:right w:type="dxa" w:w="100"/>
            </w:tcMar>
          </w:tcPr>
          <w:p>
            <w:r>
              <w:rPr>
                <w:b w:val="false"/>
                <w:bCs w:val="false"/>
                <w:sz w:val="20"/>
                <w:szCs w:val="20"/>
              </w:rPr>
              <w:t xml:space="preserve">Cabinets comptables multi-dossiers</w:t>
            </w:r>
          </w:p>
        </w:tc>
        <w:tc>
          <w:tcPr>
            <w:tcW w:type="dxa" w:w="5160"/>
            <w:shd w:fill="F2F2F2" w:val="clear"/>
            <w:tcMar>
              <w:top w:type="dxa" w:w="60"/>
              <w:left w:type="dxa" w:w="100"/>
              <w:bottom w:type="dxa" w:w="60"/>
              <w:right w:type="dxa" w:w="100"/>
            </w:tcMar>
          </w:tcPr>
          <w:p>
            <w:r>
              <w:rPr>
                <w:b w:val="false"/>
                <w:bCs w:val="false"/>
                <w:sz w:val="20"/>
                <w:szCs w:val="20"/>
              </w:rPr>
              <w:t xml:space="preserve">Gestion de plusieurs entreprises depuis un même compte (phase ultérieure)</w:t>
            </w:r>
          </w:p>
        </w:tc>
      </w:tr>
    </w:tbl>
    <w:p>
      <w:pPr>
        <w:pStyle w:val="ListParagraph"/>
        <w:numPr>
          <w:ilvl w:val="0"/>
          <w:numId w:val="2"/>
        </w:numPr>
        <w:spacing w:after="80"/>
      </w:pPr>
      <w:r>
        <w:t xml:space="preserve">Facturation via Stripe (cartes) au lancement ; intégration Orange Money / MTN MoMo à étudier en phase 2 pour le marché guinéen (agrégateurs locaux type CinetPay/PayDunya).</w:t>
      </w:r>
    </w:p>
    <w:p>
      <w:pPr>
        <w:pStyle w:val="ListParagraph"/>
        <w:numPr>
          <w:ilvl w:val="0"/>
          <w:numId w:val="2"/>
        </w:numPr>
        <w:spacing w:after="80"/>
      </w:pPr>
      <w:r>
        <w:t xml:space="preserve">Statuts d'abonnement gérés par webhooks Stripe → table subscriptions ; une entreprise past_due passe en lecture seule après une période de grâce (jamais de suppression de données).</w:t>
      </w:r>
    </w:p>
    <w:p>
      <w:pPr>
        <w:pStyle w:val="ListParagraph"/>
        <w:numPr>
          <w:ilvl w:val="0"/>
          <w:numId w:val="2"/>
        </w:numPr>
        <w:spacing w:after="80"/>
      </w:pPr>
      <w:r>
        <w:t xml:space="preserve">La clé maître de secours n'a plus de sens : le support se fait via un rôle super-admin plateforme, tracé dans l'audit.</w:t>
      </w:r>
    </w:p>
    <w:p>
      <w:pPr>
        <w:pStyle w:val="Heading1"/>
        <w:spacing w:after="160" w:before="360"/>
      </w:pPr>
      <w:r>
        <w:rPr>
          <w:color w:val="1F4E79"/>
        </w:rPr>
        <w:t xml:space="preserve">9. Plan de réalisation en 7 phases</w:t>
      </w:r>
    </w:p>
    <w:p>
      <w:pPr>
        <w:spacing w:after="120"/>
      </w:pPr>
      <w:r>
        <w:t xml:space="preserve">Estimation globale : 8 à 10 semaines en vibe coding à temps partiel (2-3 h/jour), soit environ 35 à 45 jours effectifs. Chaque phase se termine par un livrable démontrable et un tag Git.</w:t>
      </w:r>
    </w:p>
    <w:p>
      <w:pPr>
        <w:pStyle w:val="Heading2"/>
        <w:spacing w:after="120" w:before="280"/>
      </w:pPr>
      <w:r>
        <w:rPr>
          <w:color w:val="1F4E79"/>
        </w:rPr>
        <w:t xml:space="preserve">Phase 0 — Mise en place (2 à 3 jours)</w:t>
      </w:r>
    </w:p>
    <w:p>
      <w:pPr>
        <w:pStyle w:val="ListParagraph"/>
        <w:numPr>
          <w:ilvl w:val="0"/>
          <w:numId w:val="2"/>
        </w:numPr>
        <w:spacing w:after="80"/>
      </w:pPr>
      <w:r>
        <w:t xml:space="preserve">Créer le dépôt GitHub, le projet Vercel et le projet Supabase (environnements dev + prod).</w:t>
      </w:r>
    </w:p>
    <w:p>
      <w:pPr>
        <w:pStyle w:val="ListParagraph"/>
        <w:numPr>
          <w:ilvl w:val="0"/>
          <w:numId w:val="2"/>
        </w:numPr>
        <w:spacing w:after="80"/>
      </w:pPr>
      <w:r>
        <w:t xml:space="preserve">Initialiser Next.js (TypeScript, Tailwind, shadcn/ui), connecter Supabase, déployer un « Hello NexSIRH » sur Vercel.</w:t>
      </w:r>
    </w:p>
    <w:p>
      <w:pPr>
        <w:pStyle w:val="ListParagraph"/>
        <w:numPr>
          <w:ilvl w:val="0"/>
          <w:numId w:val="2"/>
        </w:numPr>
        <w:spacing w:after="80"/>
      </w:pPr>
      <w:r>
        <w:t xml:space="preserve">Rédiger le fichier de règles agents (CLAUDE.md) : stack, conventions, règles de paie (section 6), interdits.</w:t>
      </w:r>
    </w:p>
    <w:p>
      <w:pPr>
        <w:pStyle w:val="ListParagraph"/>
        <w:numPr>
          <w:ilvl w:val="0"/>
          <w:numId w:val="2"/>
        </w:numPr>
        <w:spacing w:after="80"/>
      </w:pPr>
      <w:r>
        <w:t xml:space="preserve">Livrable : application vide déployée, pipeline Git → Vercel fonctionnel.</w:t>
      </w:r>
    </w:p>
    <w:p>
      <w:pPr>
        <w:pStyle w:val="Heading2"/>
        <w:spacing w:after="120" w:before="280"/>
      </w:pPr>
      <w:r>
        <w:rPr>
          <w:color w:val="1F4E79"/>
        </w:rPr>
        <w:t xml:space="preserve">Phase 1 — Socle : auth, multi-tenant, rôles (4 à 5 jours)</w:t>
      </w:r>
    </w:p>
    <w:p>
      <w:pPr>
        <w:pStyle w:val="ListParagraph"/>
        <w:numPr>
          <w:ilvl w:val="0"/>
          <w:numId w:val="2"/>
        </w:numPr>
        <w:spacing w:after="80"/>
      </w:pPr>
      <w:r>
        <w:t xml:space="preserve">Migrations : companies, profiles, rôles ; policies RLS de base ; trigger de création de profil.</w:t>
      </w:r>
    </w:p>
    <w:p>
      <w:pPr>
        <w:pStyle w:val="ListParagraph"/>
        <w:numPr>
          <w:ilvl w:val="0"/>
          <w:numId w:val="2"/>
        </w:numPr>
        <w:spacing w:after="80"/>
      </w:pPr>
      <w:r>
        <w:t xml:space="preserve">Écrans : inscription entreprise, connexion, invitation d'utilisateurs, changement de mot de passe.</w:t>
      </w:r>
    </w:p>
    <w:p>
      <w:pPr>
        <w:pStyle w:val="ListParagraph"/>
        <w:numPr>
          <w:ilvl w:val="0"/>
          <w:numId w:val="2"/>
        </w:numPr>
        <w:spacing w:after="80"/>
      </w:pPr>
      <w:r>
        <w:t xml:space="preserve">Middleware de protection des routes par rôle + layout applicatif (sidebar par modules, équivalent de TDB_Accueil).</w:t>
      </w:r>
    </w:p>
    <w:p>
      <w:pPr>
        <w:pStyle w:val="ListParagraph"/>
        <w:numPr>
          <w:ilvl w:val="0"/>
          <w:numId w:val="2"/>
        </w:numPr>
        <w:spacing w:after="80"/>
      </w:pPr>
      <w:r>
        <w:t xml:space="preserve">Tests d'isolation tenant (obligatoires avant de continuer).</w:t>
      </w:r>
    </w:p>
    <w:p>
      <w:pPr>
        <w:pStyle w:val="ListParagraph"/>
        <w:numPr>
          <w:ilvl w:val="0"/>
          <w:numId w:val="2"/>
        </w:numPr>
        <w:spacing w:after="80"/>
      </w:pPr>
      <w:r>
        <w:t xml:space="preserve">Livrable : deux entreprises de test étanches, 6 rôles opérationnels.</w:t>
      </w:r>
    </w:p>
    <w:p>
      <w:pPr>
        <w:pStyle w:val="Heading2"/>
        <w:spacing w:after="120" w:before="280"/>
      </w:pPr>
      <w:r>
        <w:rPr>
          <w:color w:val="1F4E79"/>
        </w:rPr>
        <w:t xml:space="preserve">Phase 2 — Paramétrage et référentiels (3 à 4 jours)</w:t>
      </w:r>
    </w:p>
    <w:p>
      <w:pPr>
        <w:pStyle w:val="ListParagraph"/>
        <w:numPr>
          <w:ilvl w:val="0"/>
          <w:numId w:val="2"/>
        </w:numPr>
        <w:spacing w:after="80"/>
      </w:pPr>
      <w:r>
        <w:t xml:space="preserve">Tables et écrans : entreprise, départements, postes, types de contrats, types d'absences, primes, jours fériés.</w:t>
      </w:r>
    </w:p>
    <w:p>
      <w:pPr>
        <w:pStyle w:val="ListParagraph"/>
        <w:numPr>
          <w:ilvl w:val="0"/>
          <w:numId w:val="2"/>
        </w:numPr>
        <w:spacing w:after="80"/>
      </w:pPr>
      <w:r>
        <w:t xml:space="preserve">Barème RTS et taux de cotisations versionnés par date d'effet, pré-remplis avec les valeurs de la section 6.</w:t>
      </w:r>
    </w:p>
    <w:p>
      <w:pPr>
        <w:pStyle w:val="ListParagraph"/>
        <w:numPr>
          <w:ilvl w:val="0"/>
          <w:numId w:val="2"/>
        </w:numPr>
        <w:spacing w:after="80"/>
      </w:pPr>
      <w:r>
        <w:t xml:space="preserve">Livrable : paramétrage complet éditable, équivalent de frmParametrage.</w:t>
      </w:r>
    </w:p>
    <w:p>
      <w:pPr>
        <w:pStyle w:val="Heading2"/>
        <w:spacing w:after="120" w:before="280"/>
      </w:pPr>
      <w:r>
        <w:rPr>
          <w:color w:val="1F4E79"/>
        </w:rPr>
        <w:t xml:space="preserve">Phase 3 — Administration du personnel (5 à 6 jours)</w:t>
      </w:r>
    </w:p>
    <w:p>
      <w:pPr>
        <w:pStyle w:val="ListParagraph"/>
        <w:numPr>
          <w:ilvl w:val="0"/>
          <w:numId w:val="2"/>
        </w:numPr>
        <w:spacing w:after="80"/>
      </w:pPr>
      <w:r>
        <w:t xml:space="preserve">Table employees complète (mêmes champs que tbl_Employes) + validations (âge ≥ 16 ans, unicité matricule, CDD ≤ 24 mois…).</w:t>
      </w:r>
    </w:p>
    <w:p>
      <w:pPr>
        <w:pStyle w:val="ListParagraph"/>
        <w:numPr>
          <w:ilvl w:val="0"/>
          <w:numId w:val="2"/>
        </w:numPr>
        <w:spacing w:after="80"/>
      </w:pPr>
      <w:r>
        <w:t xml:space="preserve">Écrans : liste avec recherche/filtres, fiche employé en onglets (identité, coordonnées, pièce, professionnel, contrat, salaire), création/modification.</w:t>
      </w:r>
    </w:p>
    <w:p>
      <w:pPr>
        <w:pStyle w:val="ListParagraph"/>
        <w:numPr>
          <w:ilvl w:val="0"/>
          <w:numId w:val="2"/>
        </w:numPr>
        <w:spacing w:after="80"/>
      </w:pPr>
      <w:r>
        <w:t xml:space="preserve">Historique des mouvements (audit automatique des changements de salaire, poste, statut).</w:t>
      </w:r>
    </w:p>
    <w:p>
      <w:pPr>
        <w:pStyle w:val="ListParagraph"/>
        <w:numPr>
          <w:ilvl w:val="0"/>
          <w:numId w:val="2"/>
        </w:numPr>
        <w:spacing w:after="80"/>
      </w:pPr>
      <w:r>
        <w:t xml:space="preserve">Import CSV/Excel pour reprendre les salariés des clients du fichier .xlsm.</w:t>
      </w:r>
    </w:p>
    <w:p>
      <w:pPr>
        <w:pStyle w:val="ListParagraph"/>
        <w:numPr>
          <w:ilvl w:val="0"/>
          <w:numId w:val="2"/>
        </w:numPr>
        <w:spacing w:after="80"/>
      </w:pPr>
      <w:r>
        <w:t xml:space="preserve">Alertes : CDD à échéance 30 j, pièces expirant, fins de période d'essai — affichées sur le dashboard.</w:t>
      </w:r>
    </w:p>
    <w:p>
      <w:pPr>
        <w:pStyle w:val="ListParagraph"/>
        <w:numPr>
          <w:ilvl w:val="0"/>
          <w:numId w:val="2"/>
        </w:numPr>
        <w:spacing w:after="80"/>
      </w:pPr>
      <w:r>
        <w:t xml:space="preserve">Livrable : gestion complète de 50 salariés en ligne.</w:t>
      </w:r>
    </w:p>
    <w:p>
      <w:pPr>
        <w:pStyle w:val="Heading2"/>
        <w:spacing w:after="120" w:before="280"/>
      </w:pPr>
      <w:r>
        <w:rPr>
          <w:color w:val="1F4E79"/>
        </w:rPr>
        <w:t xml:space="preserve">Phase 4 — Paie (7 à 9 jours, cœur du projet)</w:t>
      </w:r>
    </w:p>
    <w:p>
      <w:pPr>
        <w:pStyle w:val="ListParagraph"/>
        <w:numPr>
          <w:ilvl w:val="0"/>
          <w:numId w:val="2"/>
        </w:numPr>
        <w:spacing w:after="80"/>
      </w:pPr>
      <w:r>
        <w:t xml:space="preserve">Écrire d'abord les tests : les 8 bulletins GARAYA HOLDING en jeux d'essai (brut, CNSS, RTS, VF, CFPA, net attendus au franc près).</w:t>
      </w:r>
    </w:p>
    <w:p>
      <w:pPr>
        <w:pStyle w:val="ListParagraph"/>
        <w:numPr>
          <w:ilvl w:val="0"/>
          <w:numId w:val="2"/>
        </w:numPr>
        <w:spacing w:after="80"/>
      </w:pPr>
      <w:r>
        <w:t xml:space="preserve">Module lib/paie/ : fonctions pures calculBrut, baseCNSS, cnss, netImposable, rts (tranche par tranche), vf, cfpa, netAPayer.</w:t>
      </w:r>
    </w:p>
    <w:p>
      <w:pPr>
        <w:pStyle w:val="ListParagraph"/>
        <w:numPr>
          <w:ilvl w:val="0"/>
          <w:numId w:val="2"/>
        </w:numPr>
        <w:spacing w:after="80"/>
      </w:pPr>
      <w:r>
        <w:t xml:space="preserve">Cycle de paie : création d'un run mensuel → génération des bulletins en brouillon → contrôle → recalcul/suppression possibles → validation → clôture (verrouillage + archivage). Corrige le défaut 13.1 de la passation.</w:t>
      </w:r>
    </w:p>
    <w:p>
      <w:pPr>
        <w:pStyle w:val="ListParagraph"/>
        <w:numPr>
          <w:ilvl w:val="0"/>
          <w:numId w:val="2"/>
        </w:numPr>
        <w:spacing w:after="80"/>
      </w:pPr>
      <w:r>
        <w:t xml:space="preserve">Retenues variables : avances, prêts (échéanciers), autres retenues ; rappels/reprises pour régularisation sur mois suivant.</w:t>
      </w:r>
    </w:p>
    <w:p>
      <w:pPr>
        <w:pStyle w:val="ListParagraph"/>
        <w:numPr>
          <w:ilvl w:val="0"/>
          <w:numId w:val="2"/>
        </w:numPr>
        <w:spacing w:after="80"/>
      </w:pPr>
      <w:r>
        <w:t xml:space="preserve">Bulletin PDF au format GARAYA + journal de paie mensuel + états CNSS/RTS (équivalent modDocumentsAdmin).</w:t>
      </w:r>
    </w:p>
    <w:p>
      <w:pPr>
        <w:pStyle w:val="ListParagraph"/>
        <w:numPr>
          <w:ilvl w:val="0"/>
          <w:numId w:val="2"/>
        </w:numPr>
        <w:spacing w:after="80"/>
      </w:pPr>
      <w:r>
        <w:t xml:space="preserve">Livrable : paie mensuelle complète, validée contre les bulletins de référence.</w:t>
      </w:r>
    </w:p>
    <w:p>
      <w:pPr>
        <w:pStyle w:val="Heading2"/>
        <w:spacing w:after="120" w:before="280"/>
      </w:pPr>
      <w:r>
        <w:rPr>
          <w:color w:val="1F4E79"/>
        </w:rPr>
        <w:t xml:space="preserve">Phase 5 — Congés, temps et portail employé (5 à 6 jours)</w:t>
      </w:r>
    </w:p>
    <w:p>
      <w:pPr>
        <w:pStyle w:val="ListParagraph"/>
        <w:numPr>
          <w:ilvl w:val="0"/>
          <w:numId w:val="2"/>
        </w:numPr>
        <w:spacing w:after="80"/>
      </w:pPr>
      <w:r>
        <w:t xml:space="preserve">Calcul des jours ouvrables (week-ends + fériés), soldes 2,5 j/mois + majoration ancienneté.</w:t>
      </w:r>
    </w:p>
    <w:p>
      <w:pPr>
        <w:pStyle w:val="ListParagraph"/>
        <w:numPr>
          <w:ilvl w:val="0"/>
          <w:numId w:val="2"/>
        </w:numPr>
        <w:spacing w:after="80"/>
      </w:pPr>
      <w:r>
        <w:t xml:space="preserve">Workflow demande → Manager → RH, avec emails de notification et planning d'équipe.</w:t>
      </w:r>
    </w:p>
    <w:p>
      <w:pPr>
        <w:pStyle w:val="ListParagraph"/>
        <w:numPr>
          <w:ilvl w:val="0"/>
          <w:numId w:val="2"/>
        </w:numPr>
        <w:spacing w:after="80"/>
      </w:pPr>
      <w:r>
        <w:t xml:space="preserve">Feuilles de temps et heures supplémentaires (25/50/100 %) alimentant automatiquement la paie.</w:t>
      </w:r>
    </w:p>
    <w:p>
      <w:pPr>
        <w:pStyle w:val="ListParagraph"/>
        <w:numPr>
          <w:ilvl w:val="0"/>
          <w:numId w:val="2"/>
        </w:numPr>
        <w:spacing w:after="80"/>
      </w:pPr>
      <w:r>
        <w:t xml:space="preserve">Portail employé : mes bulletins (PDF), mes soldes, mes demandes.</w:t>
      </w:r>
    </w:p>
    <w:p>
      <w:pPr>
        <w:pStyle w:val="ListParagraph"/>
        <w:numPr>
          <w:ilvl w:val="0"/>
          <w:numId w:val="2"/>
        </w:numPr>
        <w:spacing w:after="80"/>
      </w:pPr>
      <w:r>
        <w:t xml:space="preserve">Livrable : cycle congés + temps complet, portail ouvert aux salariés.</w:t>
      </w:r>
    </w:p>
    <w:p>
      <w:pPr>
        <w:pStyle w:val="Heading2"/>
        <w:spacing w:after="120" w:before="280"/>
      </w:pPr>
      <w:r>
        <w:rPr>
          <w:color w:val="1F4E79"/>
        </w:rPr>
        <w:t xml:space="preserve">Phase 6 — Documents, dashboard, abonnements (5 à 6 jours)</w:t>
      </w:r>
    </w:p>
    <w:p>
      <w:pPr>
        <w:pStyle w:val="ListParagraph"/>
        <w:numPr>
          <w:ilvl w:val="0"/>
          <w:numId w:val="2"/>
        </w:numPr>
        <w:spacing w:after="80"/>
      </w:pPr>
      <w:r>
        <w:t xml:space="preserve">Attestations et certificats de travail, certificat de congé, solde de tout compte (avec indemnités selon Code du travail).</w:t>
      </w:r>
    </w:p>
    <w:p>
      <w:pPr>
        <w:pStyle w:val="ListParagraph"/>
        <w:numPr>
          <w:ilvl w:val="0"/>
          <w:numId w:val="2"/>
        </w:numPr>
        <w:spacing w:after="80"/>
      </w:pPr>
      <w:r>
        <w:t xml:space="preserve">Dashboard : effectif, masse salariale, répartition par département/catégorie, absentéisme, alertes — export Excel/CSV.</w:t>
      </w:r>
    </w:p>
    <w:p>
      <w:pPr>
        <w:pStyle w:val="ListParagraph"/>
        <w:numPr>
          <w:ilvl w:val="0"/>
          <w:numId w:val="2"/>
        </w:numPr>
        <w:spacing w:after="80"/>
      </w:pPr>
      <w:r>
        <w:t xml:space="preserve">Stripe : plans, essai 30 jours, webhooks, page facturation, restriction en cas d'impayé.</w:t>
      </w:r>
    </w:p>
    <w:p>
      <w:pPr>
        <w:pStyle w:val="ListParagraph"/>
        <w:numPr>
          <w:ilvl w:val="0"/>
          <w:numId w:val="2"/>
        </w:numPr>
        <w:spacing w:after="80"/>
      </w:pPr>
      <w:r>
        <w:t xml:space="preserve">Livrable : produit vendable de bout en bout.</w:t>
      </w:r>
    </w:p>
    <w:p>
      <w:pPr>
        <w:pStyle w:val="Heading2"/>
        <w:spacing w:after="120" w:before="280"/>
      </w:pPr>
      <w:r>
        <w:rPr>
          <w:color w:val="1F4E79"/>
        </w:rPr>
        <w:t xml:space="preserve">Phase 7 — Durcissement, migration et lancement (4 à 5 jours)</w:t>
      </w:r>
    </w:p>
    <w:p>
      <w:pPr>
        <w:pStyle w:val="ListParagraph"/>
        <w:numPr>
          <w:ilvl w:val="0"/>
          <w:numId w:val="2"/>
        </w:numPr>
        <w:spacing w:after="80"/>
      </w:pPr>
      <w:r>
        <w:t xml:space="preserve">Tests de bout en bout des cas limites (embauche en cours de mois, congé à cheval sur deux mois, fin de CDD pendant congé, salarié multi-primes).</w:t>
      </w:r>
    </w:p>
    <w:p>
      <w:pPr>
        <w:pStyle w:val="ListParagraph"/>
        <w:numPr>
          <w:ilvl w:val="0"/>
          <w:numId w:val="2"/>
        </w:numPr>
        <w:spacing w:after="80"/>
      </w:pPr>
      <w:r>
        <w:t xml:space="preserve">Revue de sécurité : toutes les policies RLS, audit, secrets, rate limiting.</w:t>
      </w:r>
    </w:p>
    <w:p>
      <w:pPr>
        <w:pStyle w:val="ListParagraph"/>
        <w:numPr>
          <w:ilvl w:val="0"/>
          <w:numId w:val="2"/>
        </w:numPr>
        <w:spacing w:after="80"/>
      </w:pPr>
      <w:r>
        <w:t xml:space="preserve">Migration des clients Excel existants : export depuis le .xlsm → import CSV (employés, soldes de congés, cumuls de paie de l'année en cours).</w:t>
      </w:r>
    </w:p>
    <w:p>
      <w:pPr>
        <w:pStyle w:val="ListParagraph"/>
        <w:numPr>
          <w:ilvl w:val="0"/>
          <w:numId w:val="2"/>
        </w:numPr>
        <w:spacing w:after="80"/>
      </w:pPr>
      <w:r>
        <w:t xml:space="preserve">Documentation utilisateur (adaptation du guide PowerPoint existant), page d'accueil marketing, conditions d'utilisation.</w:t>
      </w:r>
    </w:p>
    <w:p>
      <w:pPr>
        <w:pStyle w:val="ListParagraph"/>
        <w:numPr>
          <w:ilvl w:val="0"/>
          <w:numId w:val="2"/>
        </w:numPr>
        <w:spacing w:after="80"/>
      </w:pPr>
      <w:r>
        <w:t xml:space="preserve">Formation du premier client pilote et lancement.</w:t>
      </w:r>
    </w:p>
    <w:p>
      <w:pPr>
        <w:pStyle w:val="Heading1"/>
        <w:spacing w:after="160" w:before="360"/>
      </w:pPr>
      <w:r>
        <w:rPr>
          <w:color w:val="1F4E79"/>
        </w:rPr>
        <w:t xml:space="preserve">10. Tableau de suivi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000"/>
        <w:gridCol w:w="1300"/>
        <w:gridCol w:w="1080"/>
        <w:gridCol w:w="1080"/>
      </w:tblGrid>
      <w:tr>
        <w:trPr>
          <w:tblHeader/>
        </w:trPr>
        <w:tc>
          <w:tcPr>
            <w:tcW w:type="dxa" w:w="700"/>
            <w:shd w:fill="1F4E79" w:val="clear"/>
            <w:tcMar>
              <w:top w:type="dxa" w:w="60"/>
              <w:left w:type="dxa" w:w="100"/>
              <w:bottom w:type="dxa" w:w="60"/>
              <w:right w:type="dxa" w:w="100"/>
            </w:tcMar>
          </w:tcPr>
          <w:p>
            <w:r>
              <w:rPr>
                <w:b/>
                <w:bCs/>
                <w:color w:val="FFFFFF"/>
                <w:sz w:val="20"/>
                <w:szCs w:val="20"/>
              </w:rPr>
              <w:t xml:space="preserve">Phase</w:t>
            </w:r>
          </w:p>
        </w:tc>
        <w:tc>
          <w:tcPr>
            <w:tcW w:type="dxa" w:w="4200"/>
            <w:shd w:fill="1F4E79" w:val="clear"/>
            <w:tcMar>
              <w:top w:type="dxa" w:w="60"/>
              <w:left w:type="dxa" w:w="100"/>
              <w:bottom w:type="dxa" w:w="60"/>
              <w:right w:type="dxa" w:w="100"/>
            </w:tcMar>
          </w:tcPr>
          <w:p>
            <w:r>
              <w:rPr>
                <w:b/>
                <w:bCs/>
                <w:color w:val="FFFFFF"/>
                <w:sz w:val="20"/>
                <w:szCs w:val="20"/>
              </w:rPr>
              <w:t xml:space="preserve">Contenu</w:t>
            </w:r>
          </w:p>
        </w:tc>
        <w:tc>
          <w:tcPr>
            <w:tcW w:type="dxa" w:w="1000"/>
            <w:shd w:fill="1F4E79" w:val="clear"/>
            <w:tcMar>
              <w:top w:type="dxa" w:w="60"/>
              <w:left w:type="dxa" w:w="100"/>
              <w:bottom w:type="dxa" w:w="60"/>
              <w:right w:type="dxa" w:w="100"/>
            </w:tcMar>
          </w:tcPr>
          <w:p>
            <w:r>
              <w:rPr>
                <w:b/>
                <w:bCs/>
                <w:color w:val="FFFFFF"/>
                <w:sz w:val="20"/>
                <w:szCs w:val="20"/>
              </w:rPr>
              <w:t xml:space="preserve">Durée</w:t>
            </w:r>
          </w:p>
        </w:tc>
        <w:tc>
          <w:tcPr>
            <w:tcW w:type="dxa" w:w="1300"/>
            <w:shd w:fill="1F4E79" w:val="clear"/>
            <w:tcMar>
              <w:top w:type="dxa" w:w="60"/>
              <w:left w:type="dxa" w:w="100"/>
              <w:bottom w:type="dxa" w:w="60"/>
              <w:right w:type="dxa" w:w="100"/>
            </w:tcMar>
          </w:tcPr>
          <w:p>
            <w:r>
              <w:rPr>
                <w:b/>
                <w:bCs/>
                <w:color w:val="FFFFFF"/>
                <w:sz w:val="20"/>
                <w:szCs w:val="20"/>
              </w:rPr>
              <w:t xml:space="preserve">Statut</w:t>
            </w:r>
          </w:p>
        </w:tc>
        <w:tc>
          <w:tcPr>
            <w:tcW w:type="dxa" w:w="1080"/>
            <w:shd w:fill="1F4E79" w:val="clear"/>
            <w:tcMar>
              <w:top w:type="dxa" w:w="60"/>
              <w:left w:type="dxa" w:w="100"/>
              <w:bottom w:type="dxa" w:w="60"/>
              <w:right w:type="dxa" w:w="100"/>
            </w:tcMar>
          </w:tcPr>
          <w:p>
            <w:r>
              <w:rPr>
                <w:b/>
                <w:bCs/>
                <w:color w:val="FFFFFF"/>
                <w:sz w:val="20"/>
                <w:szCs w:val="20"/>
              </w:rPr>
              <w:t xml:space="preserve">Début</w:t>
            </w:r>
          </w:p>
        </w:tc>
        <w:tc>
          <w:tcPr>
            <w:tcW w:type="dxa" w:w="1080"/>
            <w:shd w:fill="1F4E79" w:val="clear"/>
            <w:tcMar>
              <w:top w:type="dxa" w:w="60"/>
              <w:left w:type="dxa" w:w="100"/>
              <w:bottom w:type="dxa" w:w="60"/>
              <w:right w:type="dxa" w:w="100"/>
            </w:tcMar>
          </w:tcPr>
          <w:p>
            <w:r>
              <w:rPr>
                <w:b/>
                <w:bCs/>
                <w:color w:val="FFFFFF"/>
                <w:sz w:val="20"/>
                <w:szCs w:val="20"/>
              </w:rPr>
              <w:t xml:space="preserve">Fin</w:t>
            </w:r>
          </w:p>
        </w:tc>
      </w:tr>
      <w:tr>
        <w:tc>
          <w:tcPr>
            <w:tcW w:type="dxa" w:w="700"/>
            <w:tcMar>
              <w:top w:type="dxa" w:w="60"/>
              <w:left w:type="dxa" w:w="100"/>
              <w:bottom w:type="dxa" w:w="60"/>
              <w:right w:type="dxa" w:w="100"/>
            </w:tcMar>
          </w:tcPr>
          <w:p>
            <w:r>
              <w:rPr>
                <w:b w:val="false"/>
                <w:bCs w:val="false"/>
                <w:sz w:val="20"/>
                <w:szCs w:val="20"/>
              </w:rPr>
              <w:t xml:space="preserve">0</w:t>
            </w:r>
          </w:p>
        </w:tc>
        <w:tc>
          <w:tcPr>
            <w:tcW w:type="dxa" w:w="4200"/>
            <w:tcMar>
              <w:top w:type="dxa" w:w="60"/>
              <w:left w:type="dxa" w:w="100"/>
              <w:bottom w:type="dxa" w:w="60"/>
              <w:right w:type="dxa" w:w="100"/>
            </w:tcMar>
          </w:tcPr>
          <w:p>
            <w:r>
              <w:rPr>
                <w:b w:val="false"/>
                <w:bCs w:val="false"/>
                <w:sz w:val="20"/>
                <w:szCs w:val="20"/>
              </w:rPr>
              <w:t xml:space="preserve">Mise en place (repo, Vercel, Supabase, règles agents)</w:t>
            </w:r>
          </w:p>
        </w:tc>
        <w:tc>
          <w:tcPr>
            <w:tcW w:type="dxa" w:w="1000"/>
            <w:tcMar>
              <w:top w:type="dxa" w:w="60"/>
              <w:left w:type="dxa" w:w="100"/>
              <w:bottom w:type="dxa" w:w="60"/>
              <w:right w:type="dxa" w:w="100"/>
            </w:tcMar>
          </w:tcPr>
          <w:p>
            <w:r>
              <w:rPr>
                <w:b w:val="false"/>
                <w:bCs w:val="false"/>
                <w:sz w:val="20"/>
                <w:szCs w:val="20"/>
              </w:rPr>
              <w:t xml:space="preserve">2-3 j</w:t>
            </w:r>
          </w:p>
        </w:tc>
        <w:tc>
          <w:tcPr>
            <w:tcW w:type="dxa" w:w="1300"/>
            <w:tcMar>
              <w:top w:type="dxa" w:w="60"/>
              <w:left w:type="dxa" w:w="100"/>
              <w:bottom w:type="dxa" w:w="60"/>
              <w:right w:type="dxa" w:w="100"/>
            </w:tcMar>
          </w:tcPr>
          <w:p>
            <w:r>
              <w:rPr>
                <w:b w:val="false"/>
                <w:bCs w:val="false"/>
                <w:sz w:val="20"/>
                <w:szCs w:val="20"/>
              </w:rPr>
              <w:t xml:space="preserve">☐ À faire</w:t>
            </w:r>
          </w:p>
        </w:tc>
        <w:tc>
          <w:tcPr>
            <w:tcW w:type="dxa" w:w="1080"/>
            <w:tcMar>
              <w:top w:type="dxa" w:w="60"/>
              <w:left w:type="dxa" w:w="100"/>
              <w:bottom w:type="dxa" w:w="60"/>
              <w:right w:type="dxa" w:w="100"/>
            </w:tcMar>
          </w:tcPr>
          <w:p>
            <w:r>
              <w:rPr>
                <w:b w:val="false"/>
                <w:bCs w:val="false"/>
                <w:sz w:val="20"/>
                <w:szCs w:val="20"/>
              </w:rPr>
              <w:t xml:space="preserve"/>
            </w:r>
          </w:p>
        </w:tc>
        <w:tc>
          <w:tcPr>
            <w:tcW w:type="dxa" w:w="1080"/>
            <w:tcMar>
              <w:top w:type="dxa" w:w="60"/>
              <w:left w:type="dxa" w:w="100"/>
              <w:bottom w:type="dxa" w:w="60"/>
              <w:right w:type="dxa" w:w="100"/>
            </w:tcMar>
          </w:tcPr>
          <w:p>
            <w:r>
              <w:rPr>
                <w:b w:val="false"/>
                <w:bCs w:val="false"/>
                <w:sz w:val="20"/>
                <w:szCs w:val="20"/>
              </w:rPr>
              <w:t xml:space="preserve"/>
            </w:r>
          </w:p>
        </w:tc>
      </w:tr>
      <w:tr>
        <w:tc>
          <w:tcPr>
            <w:tcW w:type="dxa" w:w="700"/>
            <w:shd w:fill="F2F2F2" w:val="clear"/>
            <w:tcMar>
              <w:top w:type="dxa" w:w="60"/>
              <w:left w:type="dxa" w:w="100"/>
              <w:bottom w:type="dxa" w:w="60"/>
              <w:right w:type="dxa" w:w="100"/>
            </w:tcMar>
          </w:tcPr>
          <w:p>
            <w:r>
              <w:rPr>
                <w:b w:val="false"/>
                <w:bCs w:val="false"/>
                <w:sz w:val="20"/>
                <w:szCs w:val="20"/>
              </w:rPr>
              <w:t xml:space="preserve">1</w:t>
            </w:r>
          </w:p>
        </w:tc>
        <w:tc>
          <w:tcPr>
            <w:tcW w:type="dxa" w:w="4200"/>
            <w:shd w:fill="F2F2F2" w:val="clear"/>
            <w:tcMar>
              <w:top w:type="dxa" w:w="60"/>
              <w:left w:type="dxa" w:w="100"/>
              <w:bottom w:type="dxa" w:w="60"/>
              <w:right w:type="dxa" w:w="100"/>
            </w:tcMar>
          </w:tcPr>
          <w:p>
            <w:r>
              <w:rPr>
                <w:b w:val="false"/>
                <w:bCs w:val="false"/>
                <w:sz w:val="20"/>
                <w:szCs w:val="20"/>
              </w:rPr>
              <w:t xml:space="preserve">Auth, multi-tenant, rôles, RLS</w:t>
            </w:r>
          </w:p>
        </w:tc>
        <w:tc>
          <w:tcPr>
            <w:tcW w:type="dxa" w:w="1000"/>
            <w:shd w:fill="F2F2F2" w:val="clear"/>
            <w:tcMar>
              <w:top w:type="dxa" w:w="60"/>
              <w:left w:type="dxa" w:w="100"/>
              <w:bottom w:type="dxa" w:w="60"/>
              <w:right w:type="dxa" w:w="100"/>
            </w:tcMar>
          </w:tcPr>
          <w:p>
            <w:r>
              <w:rPr>
                <w:b w:val="false"/>
                <w:bCs w:val="false"/>
                <w:sz w:val="20"/>
                <w:szCs w:val="20"/>
              </w:rPr>
              <w:t xml:space="preserve">4-5 j</w:t>
            </w:r>
          </w:p>
        </w:tc>
        <w:tc>
          <w:tcPr>
            <w:tcW w:type="dxa" w:w="1300"/>
            <w:shd w:fill="F2F2F2" w:val="clear"/>
            <w:tcMar>
              <w:top w:type="dxa" w:w="60"/>
              <w:left w:type="dxa" w:w="100"/>
              <w:bottom w:type="dxa" w:w="60"/>
              <w:right w:type="dxa" w:w="100"/>
            </w:tcMar>
          </w:tcPr>
          <w:p>
            <w:r>
              <w:rPr>
                <w:b w:val="false"/>
                <w:bCs w:val="false"/>
                <w:sz w:val="20"/>
                <w:szCs w:val="20"/>
              </w:rPr>
              <w:t xml:space="preserve">☐ À faire</w:t>
            </w:r>
          </w:p>
        </w:tc>
        <w:tc>
          <w:tcPr>
            <w:tcW w:type="dxa" w:w="1080"/>
            <w:shd w:fill="F2F2F2" w:val="clear"/>
            <w:tcMar>
              <w:top w:type="dxa" w:w="60"/>
              <w:left w:type="dxa" w:w="100"/>
              <w:bottom w:type="dxa" w:w="60"/>
              <w:right w:type="dxa" w:w="100"/>
            </w:tcMar>
          </w:tcPr>
          <w:p>
            <w:r>
              <w:rPr>
                <w:b w:val="false"/>
                <w:bCs w:val="false"/>
                <w:sz w:val="20"/>
                <w:szCs w:val="20"/>
              </w:rPr>
              <w:t xml:space="preserve"/>
            </w:r>
          </w:p>
        </w:tc>
        <w:tc>
          <w:tcPr>
            <w:tcW w:type="dxa" w:w="1080"/>
            <w:shd w:fill="F2F2F2" w:val="clear"/>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4200"/>
            <w:tcMar>
              <w:top w:type="dxa" w:w="60"/>
              <w:left w:type="dxa" w:w="100"/>
              <w:bottom w:type="dxa" w:w="60"/>
              <w:right w:type="dxa" w:w="100"/>
            </w:tcMar>
          </w:tcPr>
          <w:p>
            <w:r>
              <w:rPr>
                <w:b w:val="false"/>
                <w:bCs w:val="false"/>
                <w:sz w:val="20"/>
                <w:szCs w:val="20"/>
              </w:rPr>
              <w:t xml:space="preserve">Paramétrage et référentiels</w:t>
            </w:r>
          </w:p>
        </w:tc>
        <w:tc>
          <w:tcPr>
            <w:tcW w:type="dxa" w:w="1000"/>
            <w:tcMar>
              <w:top w:type="dxa" w:w="60"/>
              <w:left w:type="dxa" w:w="100"/>
              <w:bottom w:type="dxa" w:w="60"/>
              <w:right w:type="dxa" w:w="100"/>
            </w:tcMar>
          </w:tcPr>
          <w:p>
            <w:r>
              <w:rPr>
                <w:b w:val="false"/>
                <w:bCs w:val="false"/>
                <w:sz w:val="20"/>
                <w:szCs w:val="20"/>
              </w:rPr>
              <w:t xml:space="preserve">3-4 j</w:t>
            </w:r>
          </w:p>
        </w:tc>
        <w:tc>
          <w:tcPr>
            <w:tcW w:type="dxa" w:w="1300"/>
            <w:tcMar>
              <w:top w:type="dxa" w:w="60"/>
              <w:left w:type="dxa" w:w="100"/>
              <w:bottom w:type="dxa" w:w="60"/>
              <w:right w:type="dxa" w:w="100"/>
            </w:tcMar>
          </w:tcPr>
          <w:p>
            <w:r>
              <w:rPr>
                <w:b w:val="false"/>
                <w:bCs w:val="false"/>
                <w:sz w:val="20"/>
                <w:szCs w:val="20"/>
              </w:rPr>
              <w:t xml:space="preserve">☐ À faire</w:t>
            </w:r>
          </w:p>
        </w:tc>
        <w:tc>
          <w:tcPr>
            <w:tcW w:type="dxa" w:w="1080"/>
            <w:tcMar>
              <w:top w:type="dxa" w:w="60"/>
              <w:left w:type="dxa" w:w="100"/>
              <w:bottom w:type="dxa" w:w="60"/>
              <w:right w:type="dxa" w:w="100"/>
            </w:tcMar>
          </w:tcPr>
          <w:p>
            <w:r>
              <w:rPr>
                <w:b w:val="false"/>
                <w:bCs w:val="false"/>
                <w:sz w:val="20"/>
                <w:szCs w:val="20"/>
              </w:rPr>
              <w:t xml:space="preserve"/>
            </w:r>
          </w:p>
        </w:tc>
        <w:tc>
          <w:tcPr>
            <w:tcW w:type="dxa" w:w="1080"/>
            <w:tcMar>
              <w:top w:type="dxa" w:w="60"/>
              <w:left w:type="dxa" w:w="100"/>
              <w:bottom w:type="dxa" w:w="60"/>
              <w:right w:type="dxa" w:w="100"/>
            </w:tcMar>
          </w:tcPr>
          <w:p>
            <w:r>
              <w:rPr>
                <w:b w:val="false"/>
                <w:bCs w:val="false"/>
                <w:sz w:val="20"/>
                <w:szCs w:val="20"/>
              </w:rPr>
              <w:t xml:space="preserve"/>
            </w:r>
          </w:p>
        </w:tc>
      </w:tr>
      <w:tr>
        <w:tc>
          <w:tcPr>
            <w:tcW w:type="dxa" w:w="700"/>
            <w:shd w:fill="F2F2F2" w:val="clear"/>
            <w:tcMar>
              <w:top w:type="dxa" w:w="60"/>
              <w:left w:type="dxa" w:w="100"/>
              <w:bottom w:type="dxa" w:w="60"/>
              <w:right w:type="dxa" w:w="100"/>
            </w:tcMar>
          </w:tcPr>
          <w:p>
            <w:r>
              <w:rPr>
                <w:b w:val="false"/>
                <w:bCs w:val="false"/>
                <w:sz w:val="20"/>
                <w:szCs w:val="20"/>
              </w:rPr>
              <w:t xml:space="preserve">3</w:t>
            </w:r>
          </w:p>
        </w:tc>
        <w:tc>
          <w:tcPr>
            <w:tcW w:type="dxa" w:w="4200"/>
            <w:shd w:fill="F2F2F2" w:val="clear"/>
            <w:tcMar>
              <w:top w:type="dxa" w:w="60"/>
              <w:left w:type="dxa" w:w="100"/>
              <w:bottom w:type="dxa" w:w="60"/>
              <w:right w:type="dxa" w:w="100"/>
            </w:tcMar>
          </w:tcPr>
          <w:p>
            <w:r>
              <w:rPr>
                <w:b w:val="false"/>
                <w:bCs w:val="false"/>
                <w:sz w:val="20"/>
                <w:szCs w:val="20"/>
              </w:rPr>
              <w:t xml:space="preserve">Administration du personnel + import</w:t>
            </w:r>
          </w:p>
        </w:tc>
        <w:tc>
          <w:tcPr>
            <w:tcW w:type="dxa" w:w="1000"/>
            <w:shd w:fill="F2F2F2" w:val="clear"/>
            <w:tcMar>
              <w:top w:type="dxa" w:w="60"/>
              <w:left w:type="dxa" w:w="100"/>
              <w:bottom w:type="dxa" w:w="60"/>
              <w:right w:type="dxa" w:w="100"/>
            </w:tcMar>
          </w:tcPr>
          <w:p>
            <w:r>
              <w:rPr>
                <w:b w:val="false"/>
                <w:bCs w:val="false"/>
                <w:sz w:val="20"/>
                <w:szCs w:val="20"/>
              </w:rPr>
              <w:t xml:space="preserve">5-6 j</w:t>
            </w:r>
          </w:p>
        </w:tc>
        <w:tc>
          <w:tcPr>
            <w:tcW w:type="dxa" w:w="1300"/>
            <w:shd w:fill="F2F2F2" w:val="clear"/>
            <w:tcMar>
              <w:top w:type="dxa" w:w="60"/>
              <w:left w:type="dxa" w:w="100"/>
              <w:bottom w:type="dxa" w:w="60"/>
              <w:right w:type="dxa" w:w="100"/>
            </w:tcMar>
          </w:tcPr>
          <w:p>
            <w:r>
              <w:rPr>
                <w:b w:val="false"/>
                <w:bCs w:val="false"/>
                <w:sz w:val="20"/>
                <w:szCs w:val="20"/>
              </w:rPr>
              <w:t xml:space="preserve">☐ À faire</w:t>
            </w:r>
          </w:p>
        </w:tc>
        <w:tc>
          <w:tcPr>
            <w:tcW w:type="dxa" w:w="1080"/>
            <w:shd w:fill="F2F2F2" w:val="clear"/>
            <w:tcMar>
              <w:top w:type="dxa" w:w="60"/>
              <w:left w:type="dxa" w:w="100"/>
              <w:bottom w:type="dxa" w:w="60"/>
              <w:right w:type="dxa" w:w="100"/>
            </w:tcMar>
          </w:tcPr>
          <w:p>
            <w:r>
              <w:rPr>
                <w:b w:val="false"/>
                <w:bCs w:val="false"/>
                <w:sz w:val="20"/>
                <w:szCs w:val="20"/>
              </w:rPr>
              <w:t xml:space="preserve"/>
            </w:r>
          </w:p>
        </w:tc>
        <w:tc>
          <w:tcPr>
            <w:tcW w:type="dxa" w:w="1080"/>
            <w:shd w:fill="F2F2F2" w:val="clear"/>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4200"/>
            <w:tcMar>
              <w:top w:type="dxa" w:w="60"/>
              <w:left w:type="dxa" w:w="100"/>
              <w:bottom w:type="dxa" w:w="60"/>
              <w:right w:type="dxa" w:w="100"/>
            </w:tcMar>
          </w:tcPr>
          <w:p>
            <w:r>
              <w:rPr>
                <w:b w:val="false"/>
                <w:bCs w:val="false"/>
                <w:sz w:val="20"/>
                <w:szCs w:val="20"/>
              </w:rPr>
              <w:t xml:space="preserve">Paie (tests GARAYA, moteur, cycle, PDF)</w:t>
            </w:r>
          </w:p>
        </w:tc>
        <w:tc>
          <w:tcPr>
            <w:tcW w:type="dxa" w:w="1000"/>
            <w:tcMar>
              <w:top w:type="dxa" w:w="60"/>
              <w:left w:type="dxa" w:w="100"/>
              <w:bottom w:type="dxa" w:w="60"/>
              <w:right w:type="dxa" w:w="100"/>
            </w:tcMar>
          </w:tcPr>
          <w:p>
            <w:r>
              <w:rPr>
                <w:b w:val="false"/>
                <w:bCs w:val="false"/>
                <w:sz w:val="20"/>
                <w:szCs w:val="20"/>
              </w:rPr>
              <w:t xml:space="preserve">7-9 j</w:t>
            </w:r>
          </w:p>
        </w:tc>
        <w:tc>
          <w:tcPr>
            <w:tcW w:type="dxa" w:w="1300"/>
            <w:tcMar>
              <w:top w:type="dxa" w:w="60"/>
              <w:left w:type="dxa" w:w="100"/>
              <w:bottom w:type="dxa" w:w="60"/>
              <w:right w:type="dxa" w:w="100"/>
            </w:tcMar>
          </w:tcPr>
          <w:p>
            <w:r>
              <w:rPr>
                <w:b w:val="false"/>
                <w:bCs w:val="false"/>
                <w:sz w:val="20"/>
                <w:szCs w:val="20"/>
              </w:rPr>
              <w:t xml:space="preserve">☐ À faire</w:t>
            </w:r>
          </w:p>
        </w:tc>
        <w:tc>
          <w:tcPr>
            <w:tcW w:type="dxa" w:w="1080"/>
            <w:tcMar>
              <w:top w:type="dxa" w:w="60"/>
              <w:left w:type="dxa" w:w="100"/>
              <w:bottom w:type="dxa" w:w="60"/>
              <w:right w:type="dxa" w:w="100"/>
            </w:tcMar>
          </w:tcPr>
          <w:p>
            <w:r>
              <w:rPr>
                <w:b w:val="false"/>
                <w:bCs w:val="false"/>
                <w:sz w:val="20"/>
                <w:szCs w:val="20"/>
              </w:rPr>
              <w:t xml:space="preserve"/>
            </w:r>
          </w:p>
        </w:tc>
        <w:tc>
          <w:tcPr>
            <w:tcW w:type="dxa" w:w="1080"/>
            <w:tcMar>
              <w:top w:type="dxa" w:w="60"/>
              <w:left w:type="dxa" w:w="100"/>
              <w:bottom w:type="dxa" w:w="60"/>
              <w:right w:type="dxa" w:w="100"/>
            </w:tcMar>
          </w:tcPr>
          <w:p>
            <w:r>
              <w:rPr>
                <w:b w:val="false"/>
                <w:bCs w:val="false"/>
                <w:sz w:val="20"/>
                <w:szCs w:val="20"/>
              </w:rPr>
              <w:t xml:space="preserve"/>
            </w:r>
          </w:p>
        </w:tc>
      </w:tr>
      <w:tr>
        <w:tc>
          <w:tcPr>
            <w:tcW w:type="dxa" w:w="700"/>
            <w:shd w:fill="F2F2F2" w:val="clear"/>
            <w:tcMar>
              <w:top w:type="dxa" w:w="60"/>
              <w:left w:type="dxa" w:w="100"/>
              <w:bottom w:type="dxa" w:w="60"/>
              <w:right w:type="dxa" w:w="100"/>
            </w:tcMar>
          </w:tcPr>
          <w:p>
            <w:r>
              <w:rPr>
                <w:b w:val="false"/>
                <w:bCs w:val="false"/>
                <w:sz w:val="20"/>
                <w:szCs w:val="20"/>
              </w:rPr>
              <w:t xml:space="preserve">5</w:t>
            </w:r>
          </w:p>
        </w:tc>
        <w:tc>
          <w:tcPr>
            <w:tcW w:type="dxa" w:w="4200"/>
            <w:shd w:fill="F2F2F2" w:val="clear"/>
            <w:tcMar>
              <w:top w:type="dxa" w:w="60"/>
              <w:left w:type="dxa" w:w="100"/>
              <w:bottom w:type="dxa" w:w="60"/>
              <w:right w:type="dxa" w:w="100"/>
            </w:tcMar>
          </w:tcPr>
          <w:p>
            <w:r>
              <w:rPr>
                <w:b w:val="false"/>
                <w:bCs w:val="false"/>
                <w:sz w:val="20"/>
                <w:szCs w:val="20"/>
              </w:rPr>
              <w:t xml:space="preserve">Congés, temps, portail employé</w:t>
            </w:r>
          </w:p>
        </w:tc>
        <w:tc>
          <w:tcPr>
            <w:tcW w:type="dxa" w:w="1000"/>
            <w:shd w:fill="F2F2F2" w:val="clear"/>
            <w:tcMar>
              <w:top w:type="dxa" w:w="60"/>
              <w:left w:type="dxa" w:w="100"/>
              <w:bottom w:type="dxa" w:w="60"/>
              <w:right w:type="dxa" w:w="100"/>
            </w:tcMar>
          </w:tcPr>
          <w:p>
            <w:r>
              <w:rPr>
                <w:b w:val="false"/>
                <w:bCs w:val="false"/>
                <w:sz w:val="20"/>
                <w:szCs w:val="20"/>
              </w:rPr>
              <w:t xml:space="preserve">5-6 j</w:t>
            </w:r>
          </w:p>
        </w:tc>
        <w:tc>
          <w:tcPr>
            <w:tcW w:type="dxa" w:w="1300"/>
            <w:shd w:fill="F2F2F2" w:val="clear"/>
            <w:tcMar>
              <w:top w:type="dxa" w:w="60"/>
              <w:left w:type="dxa" w:w="100"/>
              <w:bottom w:type="dxa" w:w="60"/>
              <w:right w:type="dxa" w:w="100"/>
            </w:tcMar>
          </w:tcPr>
          <w:p>
            <w:r>
              <w:rPr>
                <w:b w:val="false"/>
                <w:bCs w:val="false"/>
                <w:sz w:val="20"/>
                <w:szCs w:val="20"/>
              </w:rPr>
              <w:t xml:space="preserve">☐ À faire</w:t>
            </w:r>
          </w:p>
        </w:tc>
        <w:tc>
          <w:tcPr>
            <w:tcW w:type="dxa" w:w="1080"/>
            <w:shd w:fill="F2F2F2" w:val="clear"/>
            <w:tcMar>
              <w:top w:type="dxa" w:w="60"/>
              <w:left w:type="dxa" w:w="100"/>
              <w:bottom w:type="dxa" w:w="60"/>
              <w:right w:type="dxa" w:w="100"/>
            </w:tcMar>
          </w:tcPr>
          <w:p>
            <w:r>
              <w:rPr>
                <w:b w:val="false"/>
                <w:bCs w:val="false"/>
                <w:sz w:val="20"/>
                <w:szCs w:val="20"/>
              </w:rPr>
              <w:t xml:space="preserve"/>
            </w:r>
          </w:p>
        </w:tc>
        <w:tc>
          <w:tcPr>
            <w:tcW w:type="dxa" w:w="1080"/>
            <w:shd w:fill="F2F2F2" w:val="clear"/>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4200"/>
            <w:tcMar>
              <w:top w:type="dxa" w:w="60"/>
              <w:left w:type="dxa" w:w="100"/>
              <w:bottom w:type="dxa" w:w="60"/>
              <w:right w:type="dxa" w:w="100"/>
            </w:tcMar>
          </w:tcPr>
          <w:p>
            <w:r>
              <w:rPr>
                <w:b w:val="false"/>
                <w:bCs w:val="false"/>
                <w:sz w:val="20"/>
                <w:szCs w:val="20"/>
              </w:rPr>
              <w:t xml:space="preserve">Documents, dashboard, abonnements Stripe</w:t>
            </w:r>
          </w:p>
        </w:tc>
        <w:tc>
          <w:tcPr>
            <w:tcW w:type="dxa" w:w="1000"/>
            <w:tcMar>
              <w:top w:type="dxa" w:w="60"/>
              <w:left w:type="dxa" w:w="100"/>
              <w:bottom w:type="dxa" w:w="60"/>
              <w:right w:type="dxa" w:w="100"/>
            </w:tcMar>
          </w:tcPr>
          <w:p>
            <w:r>
              <w:rPr>
                <w:b w:val="false"/>
                <w:bCs w:val="false"/>
                <w:sz w:val="20"/>
                <w:szCs w:val="20"/>
              </w:rPr>
              <w:t xml:space="preserve">5-6 j</w:t>
            </w:r>
          </w:p>
        </w:tc>
        <w:tc>
          <w:tcPr>
            <w:tcW w:type="dxa" w:w="1300"/>
            <w:tcMar>
              <w:top w:type="dxa" w:w="60"/>
              <w:left w:type="dxa" w:w="100"/>
              <w:bottom w:type="dxa" w:w="60"/>
              <w:right w:type="dxa" w:w="100"/>
            </w:tcMar>
          </w:tcPr>
          <w:p>
            <w:r>
              <w:rPr>
                <w:b w:val="false"/>
                <w:bCs w:val="false"/>
                <w:sz w:val="20"/>
                <w:szCs w:val="20"/>
              </w:rPr>
              <w:t xml:space="preserve">☐ À faire</w:t>
            </w:r>
          </w:p>
        </w:tc>
        <w:tc>
          <w:tcPr>
            <w:tcW w:type="dxa" w:w="1080"/>
            <w:tcMar>
              <w:top w:type="dxa" w:w="60"/>
              <w:left w:type="dxa" w:w="100"/>
              <w:bottom w:type="dxa" w:w="60"/>
              <w:right w:type="dxa" w:w="100"/>
            </w:tcMar>
          </w:tcPr>
          <w:p>
            <w:r>
              <w:rPr>
                <w:b w:val="false"/>
                <w:bCs w:val="false"/>
                <w:sz w:val="20"/>
                <w:szCs w:val="20"/>
              </w:rPr>
              <w:t xml:space="preserve"/>
            </w:r>
          </w:p>
        </w:tc>
        <w:tc>
          <w:tcPr>
            <w:tcW w:type="dxa" w:w="1080"/>
            <w:tcMar>
              <w:top w:type="dxa" w:w="60"/>
              <w:left w:type="dxa" w:w="100"/>
              <w:bottom w:type="dxa" w:w="60"/>
              <w:right w:type="dxa" w:w="100"/>
            </w:tcMar>
          </w:tcPr>
          <w:p>
            <w:r>
              <w:rPr>
                <w:b w:val="false"/>
                <w:bCs w:val="false"/>
                <w:sz w:val="20"/>
                <w:szCs w:val="20"/>
              </w:rPr>
              <w:t xml:space="preserve"/>
            </w:r>
          </w:p>
        </w:tc>
      </w:tr>
      <w:tr>
        <w:tc>
          <w:tcPr>
            <w:tcW w:type="dxa" w:w="700"/>
            <w:shd w:fill="F2F2F2" w:val="clear"/>
            <w:tcMar>
              <w:top w:type="dxa" w:w="60"/>
              <w:left w:type="dxa" w:w="100"/>
              <w:bottom w:type="dxa" w:w="60"/>
              <w:right w:type="dxa" w:w="100"/>
            </w:tcMar>
          </w:tcPr>
          <w:p>
            <w:r>
              <w:rPr>
                <w:b w:val="false"/>
                <w:bCs w:val="false"/>
                <w:sz w:val="20"/>
                <w:szCs w:val="20"/>
              </w:rPr>
              <w:t xml:space="preserve">7</w:t>
            </w:r>
          </w:p>
        </w:tc>
        <w:tc>
          <w:tcPr>
            <w:tcW w:type="dxa" w:w="4200"/>
            <w:shd w:fill="F2F2F2" w:val="clear"/>
            <w:tcMar>
              <w:top w:type="dxa" w:w="60"/>
              <w:left w:type="dxa" w:w="100"/>
              <w:bottom w:type="dxa" w:w="60"/>
              <w:right w:type="dxa" w:w="100"/>
            </w:tcMar>
          </w:tcPr>
          <w:p>
            <w:r>
              <w:rPr>
                <w:b w:val="false"/>
                <w:bCs w:val="false"/>
                <w:sz w:val="20"/>
                <w:szCs w:val="20"/>
              </w:rPr>
              <w:t xml:space="preserve">Durcissement, migration clients, lancement</w:t>
            </w:r>
          </w:p>
        </w:tc>
        <w:tc>
          <w:tcPr>
            <w:tcW w:type="dxa" w:w="1000"/>
            <w:shd w:fill="F2F2F2" w:val="clear"/>
            <w:tcMar>
              <w:top w:type="dxa" w:w="60"/>
              <w:left w:type="dxa" w:w="100"/>
              <w:bottom w:type="dxa" w:w="60"/>
              <w:right w:type="dxa" w:w="100"/>
            </w:tcMar>
          </w:tcPr>
          <w:p>
            <w:r>
              <w:rPr>
                <w:b w:val="false"/>
                <w:bCs w:val="false"/>
                <w:sz w:val="20"/>
                <w:szCs w:val="20"/>
              </w:rPr>
              <w:t xml:space="preserve">4-5 j</w:t>
            </w:r>
          </w:p>
        </w:tc>
        <w:tc>
          <w:tcPr>
            <w:tcW w:type="dxa" w:w="1300"/>
            <w:shd w:fill="F2F2F2" w:val="clear"/>
            <w:tcMar>
              <w:top w:type="dxa" w:w="60"/>
              <w:left w:type="dxa" w:w="100"/>
              <w:bottom w:type="dxa" w:w="60"/>
              <w:right w:type="dxa" w:w="100"/>
            </w:tcMar>
          </w:tcPr>
          <w:p>
            <w:r>
              <w:rPr>
                <w:b w:val="false"/>
                <w:bCs w:val="false"/>
                <w:sz w:val="20"/>
                <w:szCs w:val="20"/>
              </w:rPr>
              <w:t xml:space="preserve">☐ À faire</w:t>
            </w:r>
          </w:p>
        </w:tc>
        <w:tc>
          <w:tcPr>
            <w:tcW w:type="dxa" w:w="1080"/>
            <w:shd w:fill="F2F2F2" w:val="clear"/>
            <w:tcMar>
              <w:top w:type="dxa" w:w="60"/>
              <w:left w:type="dxa" w:w="100"/>
              <w:bottom w:type="dxa" w:w="60"/>
              <w:right w:type="dxa" w:w="100"/>
            </w:tcMar>
          </w:tcPr>
          <w:p>
            <w:r>
              <w:rPr>
                <w:b w:val="false"/>
                <w:bCs w:val="false"/>
                <w:sz w:val="20"/>
                <w:szCs w:val="20"/>
              </w:rPr>
              <w:t xml:space="preserve"/>
            </w:r>
          </w:p>
        </w:tc>
        <w:tc>
          <w:tcPr>
            <w:tcW w:type="dxa" w:w="1080"/>
            <w:shd w:fill="F2F2F2" w:val="clear"/>
            <w:tcMar>
              <w:top w:type="dxa" w:w="60"/>
              <w:left w:type="dxa" w:w="100"/>
              <w:bottom w:type="dxa" w:w="60"/>
              <w:right w:type="dxa" w:w="100"/>
            </w:tcMar>
          </w:tcPr>
          <w:p>
            <w:r>
              <w:rPr>
                <w:b w:val="false"/>
                <w:bCs w:val="false"/>
                <w:sz w:val="20"/>
                <w:szCs w:val="20"/>
              </w:rPr>
              <w:t xml:space="preserve"/>
            </w:r>
          </w:p>
        </w:tc>
      </w:tr>
    </w:tbl>
    <w:p>
      <w:pPr>
        <w:spacing w:before="120"/>
      </w:pPr>
      <w:r>
        <w:t xml:space="preserve">Légende : ☐ À faire — ◐ En cours — ☑ Terminé. Total : 35 à 45 jours effectifs, soit 8 à 10 semaines à raison de 2-3 h/jour.</w:t>
      </w:r>
    </w:p>
    <w:p>
      <w:pPr>
        <w:pStyle w:val="Heading1"/>
        <w:spacing w:after="160" w:before="360"/>
      </w:pPr>
      <w:r>
        <w:rPr>
          <w:color w:val="1F4E79"/>
        </w:rPr>
        <w:t xml:space="preserve">11. Risques et points de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Risque</w:t>
            </w:r>
          </w:p>
        </w:tc>
        <w:tc>
          <w:tcPr>
            <w:tcW w:type="dxa" w:w="1600"/>
            <w:shd w:fill="1F4E79" w:val="clear"/>
            <w:tcMar>
              <w:top w:type="dxa" w:w="60"/>
              <w:left w:type="dxa" w:w="100"/>
              <w:bottom w:type="dxa" w:w="60"/>
              <w:right w:type="dxa" w:w="100"/>
            </w:tcMar>
          </w:tcPr>
          <w:p>
            <w:r>
              <w:rPr>
                <w:b/>
                <w:bCs/>
                <w:color w:val="FFFFFF"/>
                <w:sz w:val="20"/>
                <w:szCs w:val="20"/>
              </w:rPr>
              <w:t xml:space="preserve">Impact</w:t>
            </w:r>
          </w:p>
        </w:tc>
        <w:tc>
          <w:tcPr>
            <w:tcW w:type="dxa" w:w="4760"/>
            <w:shd w:fill="1F4E79" w:val="clear"/>
            <w:tcMar>
              <w:top w:type="dxa" w:w="60"/>
              <w:left w:type="dxa" w:w="100"/>
              <w:bottom w:type="dxa" w:w="60"/>
              <w:right w:type="dxa" w:w="100"/>
            </w:tcMar>
          </w:tcPr>
          <w:p>
            <w:r>
              <w:rPr>
                <w:b/>
                <w:bCs/>
                <w:color w:val="FFFFFF"/>
                <w:sz w:val="20"/>
                <w:szCs w:val="20"/>
              </w:rPr>
              <w:t xml:space="preserve">Parade</w:t>
            </w:r>
          </w:p>
        </w:tc>
      </w:tr>
      <w:tr>
        <w:tc>
          <w:tcPr>
            <w:tcW w:type="dxa" w:w="3000"/>
            <w:tcMar>
              <w:top w:type="dxa" w:w="60"/>
              <w:left w:type="dxa" w:w="100"/>
              <w:bottom w:type="dxa" w:w="60"/>
              <w:right w:type="dxa" w:w="100"/>
            </w:tcMar>
          </w:tcPr>
          <w:p>
            <w:r>
              <w:rPr>
                <w:b w:val="false"/>
                <w:bCs w:val="false"/>
                <w:sz w:val="20"/>
                <w:szCs w:val="20"/>
              </w:rPr>
              <w:t xml:space="preserve">Erreur de calcul de paie introduite par le code généré</w:t>
            </w:r>
          </w:p>
        </w:tc>
        <w:tc>
          <w:tcPr>
            <w:tcW w:type="dxa" w:w="1600"/>
            <w:tcMar>
              <w:top w:type="dxa" w:w="60"/>
              <w:left w:type="dxa" w:w="100"/>
              <w:bottom w:type="dxa" w:w="60"/>
              <w:right w:type="dxa" w:w="100"/>
            </w:tcMar>
          </w:tcPr>
          <w:p>
            <w:r>
              <w:rPr>
                <w:b w:val="false"/>
                <w:bCs w:val="false"/>
                <w:sz w:val="20"/>
                <w:szCs w:val="20"/>
              </w:rPr>
              <w:t xml:space="preserve">Critique (argent, conformité)</w:t>
            </w:r>
          </w:p>
        </w:tc>
        <w:tc>
          <w:tcPr>
            <w:tcW w:type="dxa" w:w="4760"/>
            <w:tcMar>
              <w:top w:type="dxa" w:w="60"/>
              <w:left w:type="dxa" w:w="100"/>
              <w:bottom w:type="dxa" w:w="60"/>
              <w:right w:type="dxa" w:w="100"/>
            </w:tcMar>
          </w:tcPr>
          <w:p>
            <w:r>
              <w:rPr>
                <w:b w:val="false"/>
                <w:bCs w:val="false"/>
                <w:sz w:val="20"/>
                <w:szCs w:val="20"/>
              </w:rPr>
              <w:t xml:space="preserve">Tests unitaires GARAYA obligatoires et bloquants ; aucune fusion sans tests verts ; barèmes en base, jamais en dur</w:t>
            </w:r>
          </w:p>
        </w:tc>
      </w:tr>
      <w:tr>
        <w:tc>
          <w:tcPr>
            <w:tcW w:type="dxa" w:w="3000"/>
            <w:shd w:fill="F2F2F2" w:val="clear"/>
            <w:tcMar>
              <w:top w:type="dxa" w:w="60"/>
              <w:left w:type="dxa" w:w="100"/>
              <w:bottom w:type="dxa" w:w="60"/>
              <w:right w:type="dxa" w:w="100"/>
            </w:tcMar>
          </w:tcPr>
          <w:p>
            <w:r>
              <w:rPr>
                <w:b w:val="false"/>
                <w:bCs w:val="false"/>
                <w:sz w:val="20"/>
                <w:szCs w:val="20"/>
              </w:rPr>
              <w:t xml:space="preserve">Fuite de données entre entreprises (RLS mal écrite)</w:t>
            </w:r>
          </w:p>
        </w:tc>
        <w:tc>
          <w:tcPr>
            <w:tcW w:type="dxa" w:w="1600"/>
            <w:shd w:fill="F2F2F2" w:val="clear"/>
            <w:tcMar>
              <w:top w:type="dxa" w:w="60"/>
              <w:left w:type="dxa" w:w="100"/>
              <w:bottom w:type="dxa" w:w="60"/>
              <w:right w:type="dxa" w:w="100"/>
            </w:tcMar>
          </w:tcPr>
          <w:p>
            <w:r>
              <w:rPr>
                <w:b w:val="false"/>
                <w:bCs w:val="false"/>
                <w:sz w:val="20"/>
                <w:szCs w:val="20"/>
              </w:rPr>
              <w:t xml:space="preserve">Critique</w:t>
            </w:r>
          </w:p>
        </w:tc>
        <w:tc>
          <w:tcPr>
            <w:tcW w:type="dxa" w:w="4760"/>
            <w:shd w:fill="F2F2F2" w:val="clear"/>
            <w:tcMar>
              <w:top w:type="dxa" w:w="60"/>
              <w:left w:type="dxa" w:w="100"/>
              <w:bottom w:type="dxa" w:w="60"/>
              <w:right w:type="dxa" w:w="100"/>
            </w:tcMar>
          </w:tcPr>
          <w:p>
            <w:r>
              <w:rPr>
                <w:b w:val="false"/>
                <w:bCs w:val="false"/>
                <w:sz w:val="20"/>
                <w:szCs w:val="20"/>
              </w:rPr>
              <w:t xml:space="preserve">Revue humaine de chaque policy ; tests d'isolation automatisés ; jamais de service_role côté client</w:t>
            </w:r>
          </w:p>
        </w:tc>
      </w:tr>
      <w:tr>
        <w:tc>
          <w:tcPr>
            <w:tcW w:type="dxa" w:w="3000"/>
            <w:tcMar>
              <w:top w:type="dxa" w:w="60"/>
              <w:left w:type="dxa" w:w="100"/>
              <w:bottom w:type="dxa" w:w="60"/>
              <w:right w:type="dxa" w:w="100"/>
            </w:tcMar>
          </w:tcPr>
          <w:p>
            <w:r>
              <w:rPr>
                <w:b w:val="false"/>
                <w:bCs w:val="false"/>
                <w:sz w:val="20"/>
                <w:szCs w:val="20"/>
              </w:rPr>
              <w:t xml:space="preserve">Dérive du vibe coding (code incohérent, dette)</w:t>
            </w:r>
          </w:p>
        </w:tc>
        <w:tc>
          <w:tcPr>
            <w:tcW w:type="dxa" w:w="1600"/>
            <w:tcMar>
              <w:top w:type="dxa" w:w="60"/>
              <w:left w:type="dxa" w:w="100"/>
              <w:bottom w:type="dxa" w:w="60"/>
              <w:right w:type="dxa" w:w="100"/>
            </w:tcMar>
          </w:tcPr>
          <w:p>
            <w:r>
              <w:rPr>
                <w:b w:val="false"/>
                <w:bCs w:val="false"/>
                <w:sz w:val="20"/>
                <w:szCs w:val="20"/>
              </w:rPr>
              <w:t xml:space="preserve">Élevé</w:t>
            </w:r>
          </w:p>
        </w:tc>
        <w:tc>
          <w:tcPr>
            <w:tcW w:type="dxa" w:w="4760"/>
            <w:tcMar>
              <w:top w:type="dxa" w:w="60"/>
              <w:left w:type="dxa" w:w="100"/>
              <w:bottom w:type="dxa" w:w="60"/>
              <w:right w:type="dxa" w:w="100"/>
            </w:tcMar>
          </w:tcPr>
          <w:p>
            <w:r>
              <w:rPr>
                <w:b w:val="false"/>
                <w:bCs w:val="false"/>
                <w:sz w:val="20"/>
                <w:szCs w:val="20"/>
              </w:rPr>
              <w:t xml:space="preserve">Fichier de règles agents ; petites itérations ; conventions figées en Phase 0 ; revues ciblées</w:t>
            </w:r>
          </w:p>
        </w:tc>
      </w:tr>
      <w:tr>
        <w:tc>
          <w:tcPr>
            <w:tcW w:type="dxa" w:w="3000"/>
            <w:shd w:fill="F2F2F2" w:val="clear"/>
            <w:tcMar>
              <w:top w:type="dxa" w:w="60"/>
              <w:left w:type="dxa" w:w="100"/>
              <w:bottom w:type="dxa" w:w="60"/>
              <w:right w:type="dxa" w:w="100"/>
            </w:tcMar>
          </w:tcPr>
          <w:p>
            <w:r>
              <w:rPr>
                <w:b w:val="false"/>
                <w:bCs w:val="false"/>
                <w:sz w:val="20"/>
                <w:szCs w:val="20"/>
              </w:rPr>
              <w:t xml:space="preserve">Connectivité internet limitée chez les clients guinéens</w:t>
            </w:r>
          </w:p>
        </w:tc>
        <w:tc>
          <w:tcPr>
            <w:tcW w:type="dxa" w:w="1600"/>
            <w:shd w:fill="F2F2F2" w:val="clear"/>
            <w:tcMar>
              <w:top w:type="dxa" w:w="60"/>
              <w:left w:type="dxa" w:w="100"/>
              <w:bottom w:type="dxa" w:w="60"/>
              <w:right w:type="dxa" w:w="100"/>
            </w:tcMar>
          </w:tcPr>
          <w:p>
            <w:r>
              <w:rPr>
                <w:b w:val="false"/>
                <w:bCs w:val="false"/>
                <w:sz w:val="20"/>
                <w:szCs w:val="20"/>
              </w:rPr>
              <w:t xml:space="preserve">Moyen</w:t>
            </w:r>
          </w:p>
        </w:tc>
        <w:tc>
          <w:tcPr>
            <w:tcW w:type="dxa" w:w="4760"/>
            <w:shd w:fill="F2F2F2" w:val="clear"/>
            <w:tcMar>
              <w:top w:type="dxa" w:w="60"/>
              <w:left w:type="dxa" w:w="100"/>
              <w:bottom w:type="dxa" w:w="60"/>
              <w:right w:type="dxa" w:w="100"/>
            </w:tcMar>
          </w:tcPr>
          <w:p>
            <w:r>
              <w:rPr>
                <w:b w:val="false"/>
                <w:bCs w:val="false"/>
                <w:sz w:val="20"/>
                <w:szCs w:val="20"/>
              </w:rPr>
              <w:t xml:space="preserve">Application légère, pagination, PDF téléchargeables ; envisager un mode consultation dégradé ; conserver l'offre Excel en parallèle pour les zones non connectées</w:t>
            </w:r>
          </w:p>
        </w:tc>
      </w:tr>
      <w:tr>
        <w:tc>
          <w:tcPr>
            <w:tcW w:type="dxa" w:w="3000"/>
            <w:tcMar>
              <w:top w:type="dxa" w:w="60"/>
              <w:left w:type="dxa" w:w="100"/>
              <w:bottom w:type="dxa" w:w="60"/>
              <w:right w:type="dxa" w:w="100"/>
            </w:tcMar>
          </w:tcPr>
          <w:p>
            <w:r>
              <w:rPr>
                <w:b w:val="false"/>
                <w:bCs w:val="false"/>
                <w:sz w:val="20"/>
                <w:szCs w:val="20"/>
              </w:rPr>
              <w:t xml:space="preserve">Paiement par carte peu répandu localement</w:t>
            </w:r>
          </w:p>
        </w:tc>
        <w:tc>
          <w:tcPr>
            <w:tcW w:type="dxa" w:w="1600"/>
            <w:tcMar>
              <w:top w:type="dxa" w:w="60"/>
              <w:left w:type="dxa" w:w="100"/>
              <w:bottom w:type="dxa" w:w="60"/>
              <w:right w:type="dxa" w:w="100"/>
            </w:tcMar>
          </w:tcPr>
          <w:p>
            <w:r>
              <w:rPr>
                <w:b w:val="false"/>
                <w:bCs w:val="false"/>
                <w:sz w:val="20"/>
                <w:szCs w:val="20"/>
              </w:rPr>
              <w:t xml:space="preserve">Moyen</w:t>
            </w:r>
          </w:p>
        </w:tc>
        <w:tc>
          <w:tcPr>
            <w:tcW w:type="dxa" w:w="4760"/>
            <w:tcMar>
              <w:top w:type="dxa" w:w="60"/>
              <w:left w:type="dxa" w:w="100"/>
              <w:bottom w:type="dxa" w:w="60"/>
              <w:right w:type="dxa" w:w="100"/>
            </w:tcMar>
          </w:tcPr>
          <w:p>
            <w:r>
              <w:rPr>
                <w:b w:val="false"/>
                <w:bCs w:val="false"/>
                <w:sz w:val="20"/>
                <w:szCs w:val="20"/>
              </w:rPr>
              <w:t xml:space="preserve">Phase 2 : mobile money via agrégateur local ; en attendant, facturation manuelle possible (virement) avec activation par le super-admin</w:t>
            </w:r>
          </w:p>
        </w:tc>
      </w:tr>
      <w:tr>
        <w:tc>
          <w:tcPr>
            <w:tcW w:type="dxa" w:w="3000"/>
            <w:shd w:fill="F2F2F2" w:val="clear"/>
            <w:tcMar>
              <w:top w:type="dxa" w:w="60"/>
              <w:left w:type="dxa" w:w="100"/>
              <w:bottom w:type="dxa" w:w="60"/>
              <w:right w:type="dxa" w:w="100"/>
            </w:tcMar>
          </w:tcPr>
          <w:p>
            <w:r>
              <w:rPr>
                <w:b w:val="false"/>
                <w:bCs w:val="false"/>
                <w:sz w:val="20"/>
                <w:szCs w:val="20"/>
              </w:rPr>
              <w:t xml:space="preserve">Évolution du barème RTS / taux CNSS</w:t>
            </w:r>
          </w:p>
        </w:tc>
        <w:tc>
          <w:tcPr>
            <w:tcW w:type="dxa" w:w="1600"/>
            <w:shd w:fill="F2F2F2" w:val="clear"/>
            <w:tcMar>
              <w:top w:type="dxa" w:w="60"/>
              <w:left w:type="dxa" w:w="100"/>
              <w:bottom w:type="dxa" w:w="60"/>
              <w:right w:type="dxa" w:w="100"/>
            </w:tcMar>
          </w:tcPr>
          <w:p>
            <w:r>
              <w:rPr>
                <w:b w:val="false"/>
                <w:bCs w:val="false"/>
                <w:sz w:val="20"/>
                <w:szCs w:val="20"/>
              </w:rPr>
              <w:t xml:space="preserve">Moyen</w:t>
            </w:r>
          </w:p>
        </w:tc>
        <w:tc>
          <w:tcPr>
            <w:tcW w:type="dxa" w:w="4760"/>
            <w:shd w:fill="F2F2F2" w:val="clear"/>
            <w:tcMar>
              <w:top w:type="dxa" w:w="60"/>
              <w:left w:type="dxa" w:w="100"/>
              <w:bottom w:type="dxa" w:w="60"/>
              <w:right w:type="dxa" w:w="100"/>
            </w:tcMar>
          </w:tcPr>
          <w:p>
            <w:r>
              <w:rPr>
                <w:b w:val="false"/>
                <w:bCs w:val="false"/>
                <w:sz w:val="20"/>
                <w:szCs w:val="20"/>
              </w:rPr>
              <w:t xml:space="preserve">Barèmes versionnés par date d'effet, éditables sans redéploiement</w:t>
            </w:r>
          </w:p>
        </w:tc>
      </w:tr>
      <w:tr>
        <w:tc>
          <w:tcPr>
            <w:tcW w:type="dxa" w:w="3000"/>
            <w:tcMar>
              <w:top w:type="dxa" w:w="60"/>
              <w:left w:type="dxa" w:w="100"/>
              <w:bottom w:type="dxa" w:w="60"/>
              <w:right w:type="dxa" w:w="100"/>
            </w:tcMar>
          </w:tcPr>
          <w:p>
            <w:r>
              <w:rPr>
                <w:b w:val="false"/>
                <w:bCs w:val="false"/>
                <w:sz w:val="20"/>
                <w:szCs w:val="20"/>
              </w:rPr>
              <w:t xml:space="preserve">Dépendance aux plateformes (Vercel/Supabase)</w:t>
            </w:r>
          </w:p>
        </w:tc>
        <w:tc>
          <w:tcPr>
            <w:tcW w:type="dxa" w:w="1600"/>
            <w:tcMar>
              <w:top w:type="dxa" w:w="60"/>
              <w:left w:type="dxa" w:w="100"/>
              <w:bottom w:type="dxa" w:w="60"/>
              <w:right w:type="dxa" w:w="100"/>
            </w:tcMar>
          </w:tcPr>
          <w:p>
            <w:r>
              <w:rPr>
                <w:b w:val="false"/>
                <w:bCs w:val="false"/>
                <w:sz w:val="20"/>
                <w:szCs w:val="20"/>
              </w:rPr>
              <w:t xml:space="preserve">Faible</w:t>
            </w:r>
          </w:p>
        </w:tc>
        <w:tc>
          <w:tcPr>
            <w:tcW w:type="dxa" w:w="4760"/>
            <w:tcMar>
              <w:top w:type="dxa" w:w="60"/>
              <w:left w:type="dxa" w:w="100"/>
              <w:bottom w:type="dxa" w:w="60"/>
              <w:right w:type="dxa" w:w="100"/>
            </w:tcMar>
          </w:tcPr>
          <w:p>
            <w:r>
              <w:rPr>
                <w:b w:val="false"/>
                <w:bCs w:val="false"/>
                <w:sz w:val="20"/>
                <w:szCs w:val="20"/>
              </w:rPr>
              <w:t xml:space="preserve">Next.js et PostgreSQL sont standards : migration possible vers d'autres hébergeurs ; exports réguliers</w:t>
            </w:r>
          </w:p>
        </w:tc>
      </w:tr>
    </w:tbl>
    <w:p>
      <w:pPr>
        <w:pStyle w:val="Heading1"/>
        <w:spacing w:after="160" w:before="360"/>
      </w:pPr>
      <w:r>
        <w:rPr>
          <w:color w:val="1F4E79"/>
        </w:rPr>
        <w:t xml:space="preserve">12. Évolutions post-lancement</w:t>
      </w:r>
    </w:p>
    <w:p>
      <w:pPr>
        <w:pStyle w:val="ListParagraph"/>
        <w:numPr>
          <w:ilvl w:val="0"/>
          <w:numId w:val="3"/>
        </w:numPr>
        <w:spacing w:after="80"/>
      </w:pPr>
      <w:r>
        <w:t xml:space="preserve">Modules Recrutement, Formation, Évaluation (reportés depuis la version Excel — les besoins fonctionnels sont déjà spécifiés dans le Cahier des Modules).</w:t>
      </w:r>
    </w:p>
    <w:p>
      <w:pPr>
        <w:pStyle w:val="ListParagraph"/>
        <w:numPr>
          <w:ilvl w:val="0"/>
          <w:numId w:val="3"/>
        </w:numPr>
        <w:spacing w:after="80"/>
      </w:pPr>
      <w:r>
        <w:t xml:space="preserve">Paiement mobile money (Orange Money, MTN MoMo) et facturation en GNF.</w:t>
      </w:r>
    </w:p>
    <w:p>
      <w:pPr>
        <w:pStyle w:val="ListParagraph"/>
        <w:numPr>
          <w:ilvl w:val="0"/>
          <w:numId w:val="3"/>
        </w:numPr>
        <w:spacing w:after="80"/>
      </w:pPr>
      <w:r>
        <w:t xml:space="preserve">Compte multi-entreprises pour les cabinets comptables.</w:t>
      </w:r>
    </w:p>
    <w:p>
      <w:pPr>
        <w:pStyle w:val="ListParagraph"/>
        <w:numPr>
          <w:ilvl w:val="0"/>
          <w:numId w:val="3"/>
        </w:numPr>
        <w:spacing w:after="80"/>
      </w:pPr>
      <w:r>
        <w:t xml:space="preserve">Déclarations CNSS/RTS pré-remplies au format eTax (sur le modèle de la déclaration ENGUITRACI).</w:t>
      </w:r>
    </w:p>
    <w:p>
      <w:pPr>
        <w:pStyle w:val="ListParagraph"/>
        <w:numPr>
          <w:ilvl w:val="0"/>
          <w:numId w:val="3"/>
        </w:numPr>
        <w:spacing w:after="80"/>
      </w:pPr>
      <w:r>
        <w:t xml:space="preserve">Application mobile (ou PWA) pour le portail employé.</w:t>
      </w:r>
    </w:p>
    <w:p>
      <w:pPr>
        <w:pStyle w:val="ListParagraph"/>
        <w:numPr>
          <w:ilvl w:val="0"/>
          <w:numId w:val="3"/>
        </w:numPr>
        <w:spacing w:after="80"/>
      </w:pPr>
      <w:r>
        <w:t xml:space="preserve">Connecteur Power BI / exports avancés pour les DG qui le demandent.</w:t>
      </w:r>
    </w:p>
    <w:p>
      <w:pPr>
        <w:spacing w:before="300"/>
      </w:pPr>
      <w:r>
        <w:rPr>
          <w:i/>
          <w:iCs/>
          <w:sz w:val="20"/>
          <w:szCs w:val="20"/>
        </w:rPr>
        <w:t xml:space="preserve">Document établi le 12 juillet 2026 — Base : dossier de passation Nex'SIRH v3.0. Ce plan est le référentiel à fournir aux agents IA (Antigravity, Claude Code) phase par phase.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Nex'SIRH Guinée — Plan SaaS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2026-07-12T02:33:25.392Z</dcterms:created>
  <dcterms:modified xsi:type="dcterms:W3CDTF">2026-07-12T02:33:25.405Z</dcterms:modified>
</cp:coreProperties>
</file>

<file path=docProps/custom.xml><?xml version="1.0" encoding="utf-8"?>
<Properties xmlns="http://schemas.openxmlformats.org/officeDocument/2006/custom-properties" xmlns:vt="http://schemas.openxmlformats.org/officeDocument/2006/docPropsVTypes"/>
</file>