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17A0D">
      <w:pPr>
        <w:pStyle w:val="2"/>
        <w:widowControl/>
        <w:shd w:val="clear" w:color="auto" w:fill="FFFFFF"/>
        <w:spacing w:before="240" w:beforeAutospacing="0" w:after="120" w:afterAutospacing="0"/>
      </w:pPr>
      <w:r>
        <w:rPr>
          <w:rFonts w:hint="default" w:ascii="仿宋_GB2312" w:eastAsia="仿宋_GB2312"/>
          <w:kern w:val="2"/>
          <w:szCs w:val="32"/>
        </w:rPr>
        <w:t>1. 项目概述与迭代规划</w:t>
      </w:r>
      <w:r>
        <w:rPr>
          <w:rFonts w:ascii="仿宋_GB2312" w:eastAsia="仿宋_GB2312"/>
          <w:kern w:val="2"/>
          <w:szCs w:val="32"/>
        </w:rPr>
        <w:t>（</w:t>
      </w:r>
      <w:r>
        <w:rPr>
          <w:rFonts w:hint="default" w:ascii="仿宋_GB2312" w:eastAsia="仿宋_GB2312"/>
          <w:kern w:val="2"/>
          <w:szCs w:val="32"/>
        </w:rPr>
        <w:t>Project overview and iteration planning</w:t>
      </w:r>
      <w:r>
        <w:rPr>
          <w:rFonts w:ascii="仿宋_GB2312" w:eastAsia="仿宋_GB2312"/>
          <w:kern w:val="2"/>
          <w:szCs w:val="32"/>
        </w:rPr>
        <w:t>）</w:t>
      </w:r>
    </w:p>
    <w:p w14:paraId="0337162A">
      <w:pPr>
        <w:pStyle w:val="3"/>
        <w:widowControl/>
        <w:spacing w:before="312" w:beforeLines="100"/>
        <w:rPr>
          <w:rFonts w:hint="eastAsia" w:ascii="仿宋_GB2312" w:hAnsi="宋体"/>
          <w:b/>
          <w:bCs/>
          <w:sz w:val="21"/>
          <w:szCs w:val="32"/>
        </w:rPr>
      </w:pPr>
      <w:r>
        <w:rPr>
          <w:rFonts w:ascii="仿宋_GB2312" w:hAnsi="宋体" w:eastAsia="仿宋_GB2312"/>
          <w:b/>
          <w:bCs/>
          <w:sz w:val="21"/>
          <w:szCs w:val="32"/>
        </w:rPr>
        <w:t>1.1 项目背景与目标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（</w:t>
      </w:r>
      <w:r>
        <w:rPr>
          <w:rFonts w:ascii="仿宋_GB2312" w:hAnsi="宋体" w:eastAsia="仿宋_GB2312"/>
          <w:b/>
          <w:bCs/>
          <w:sz w:val="21"/>
          <w:szCs w:val="32"/>
        </w:rPr>
        <w:t>project background and objectives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）</w:t>
      </w:r>
    </w:p>
    <w:p w14:paraId="10C09ADE">
      <w:pPr>
        <w:pStyle w:val="3"/>
        <w:widowControl/>
        <w:spacing w:before="156" w:beforeLines="50" w:line="360" w:lineRule="auto"/>
        <w:ind w:firstLine="420" w:firstLineChars="200"/>
        <w:rPr>
          <w:rFonts w:ascii="仿宋_GB2312" w:hAnsi="宋体" w:eastAsia="仿宋_GB2312"/>
          <w:b w:val="0"/>
          <w:bCs w:val="0"/>
          <w:sz w:val="21"/>
          <w:szCs w:val="32"/>
        </w:rPr>
      </w:pPr>
      <w:r>
        <w:rPr>
          <w:rFonts w:ascii="仿宋_GB2312" w:hAnsi="宋体" w:eastAsia="仿宋_GB2312"/>
          <w:b w:val="0"/>
          <w:bCs w:val="0"/>
          <w:sz w:val="21"/>
          <w:szCs w:val="32"/>
        </w:rPr>
        <w:t>当前企业客服场景中，存在工单处理效率低、人工分类繁琐、客服资源分配不均、用户问题溯源困难等痛点，导致客户满意度下降和企业服务成本攀升。本系统目标用户涵盖提交问题的普通用户（Customer）、处理工单的客服人员（Agent）、管理系统的管理员（Admin）三类角色。核心价值是通过集成 AI 能力，实现用户问题自动分流、工单全生命周期追踪和会话溯源分析，构建高效、智能的客服工单管理平台，提升客服处理效率与用户体验，降低企业服务运营成本。</w:t>
      </w:r>
    </w:p>
    <w:p w14:paraId="3575BAB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7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qFormat/>
    <w:uiPriority w:val="9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2025-12-14T08:37:52Z</dcterms:created>
  <dc:creator>27577</dc:creator>
  <cp:lastModifiedBy>迷茫</cp:lastModifiedBy>
  <dcterms:modified xsi:type="dcterms:W3CDTF">2025-12-14T08:38:10Z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eyJoZGlkIjoiM2YxOTJlZWMyZTQ5M2I4Yjc4MDU5YzI0NjQ2MzA2NGEiLCJ1c2VySWQiOiIxMDM1NDMxMjcwIn0=</vt:lpwstr>
  </property>
  <property fmtid="{D5CDD505-2E9C-101B-9397-08002B2CF9AE}" pid="4" name="ICV">
    <vt:lpwstr>30F0EA1365BD411798ACB3241655F3D1_12</vt:lpwstr>
  </property>
</Properties>
</file>