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3 pin header: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1 - “dummy load switch”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2 - “primary no sunlight”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3 - “secondary no sunlight”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 pin header: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1 - “dummy load top”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2 - “dummy load bottom”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3 - “battery left”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4 - “battery right”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7 pin header: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1 - “solar panel 1”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2 - “solar panel 2”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3 - Battery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4 - Load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5 - GND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6 - GND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7 - GND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Q1 - leftmost diode on schematic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Q2 - middle diode on schematic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Q3 - rightmost diode on schematic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JP1: diode after solar panel test point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JP2: between resistors near Q5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JP3: pinout 6 on DC/DC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JP4: pinout 1/ between diode and inductor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JP5: VIN regulator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JP6: VOUT regulator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JP7: Potentiometer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JP8: battery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