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 Insurance Agent Staffing – Cost Evaluation &amp; Engagement Models</w:t>
      </w:r>
    </w:p>
    <w:p>
      <w:r>
        <w:t>This document outlines pricing, key performance indicators (KPIs), and return‑on‑investment (ROI) scenarios for Hired Billing Support (HBS) remote insurance‑agent pods. Use it as an at‑a‑glance reference when evaluating domain‑specific staffing for Revenue Cycle Management (RCM) or broader Management Services Organization (MSO) engagements.</w:t>
      </w:r>
    </w:p>
    <w:p>
      <w:pPr>
        <w:pStyle w:val="Heading2"/>
      </w:pPr>
      <w:r>
        <w:t>1 ▪ Hourly Pricing Matrix</w:t>
      </w:r>
    </w:p>
    <w:tbl>
      <w:tblPr>
        <w:tblW w:type="auto" w:w="0"/>
        <w:tblLook w:firstColumn="1" w:firstRow="1" w:lastColumn="0" w:lastRow="0" w:noHBand="0" w:noVBand="1" w:val="04A0"/>
      </w:tblPr>
      <w:tblGrid>
        <w:gridCol w:w="2160"/>
        <w:gridCol w:w="2160"/>
        <w:gridCol w:w="2160"/>
        <w:gridCol w:w="2160"/>
      </w:tblGrid>
      <w:tr>
        <w:tc>
          <w:tcPr>
            <w:tcW w:type="dxa" w:w="2160"/>
          </w:tcPr>
          <w:p>
            <w:r>
              <w:t>Complexity Tier</w:t>
            </w:r>
          </w:p>
        </w:tc>
        <w:tc>
          <w:tcPr>
            <w:tcW w:type="dxa" w:w="2160"/>
          </w:tcPr>
          <w:p>
            <w:r>
              <w:t>Typical Task Mix</w:t>
            </w:r>
          </w:p>
        </w:tc>
        <w:tc>
          <w:tcPr>
            <w:tcW w:type="dxa" w:w="2160"/>
          </w:tcPr>
          <w:p>
            <w:r>
              <w:t>Hourly Rate (USD)</w:t>
            </w:r>
          </w:p>
        </w:tc>
        <w:tc>
          <w:tcPr>
            <w:tcW w:type="dxa" w:w="2160"/>
          </w:tcPr>
          <w:p>
            <w:r>
              <w:t>When This Tier Applies</w:t>
            </w:r>
          </w:p>
        </w:tc>
      </w:tr>
      <w:tr>
        <w:tc>
          <w:tcPr>
            <w:tcW w:type="dxa" w:w="2160"/>
          </w:tcPr>
          <w:p>
            <w:r>
              <w:t>Standard</w:t>
            </w:r>
          </w:p>
        </w:tc>
        <w:tc>
          <w:tcPr>
            <w:tcW w:type="dxa" w:w="2160"/>
          </w:tcPr>
          <w:p>
            <w:r>
              <w:t>Eligibility checks, ERA posting, basic claim‑status calls</w:t>
            </w:r>
          </w:p>
        </w:tc>
        <w:tc>
          <w:tcPr>
            <w:tcW w:type="dxa" w:w="2160"/>
          </w:tcPr>
          <w:p>
            <w:r>
              <w:t>$10 / hour</w:t>
            </w:r>
          </w:p>
        </w:tc>
        <w:tc>
          <w:tcPr>
            <w:tcW w:type="dxa" w:w="2160"/>
          </w:tcPr>
          <w:p>
            <w:r>
              <w:t>High‑volume, rule‑based tasks with clear SOPs</w:t>
            </w:r>
          </w:p>
        </w:tc>
      </w:tr>
      <w:tr>
        <w:tc>
          <w:tcPr>
            <w:tcW w:type="dxa" w:w="2160"/>
          </w:tcPr>
          <w:p>
            <w:r>
              <w:t>Advanced</w:t>
            </w:r>
          </w:p>
        </w:tc>
        <w:tc>
          <w:tcPr>
            <w:tcW w:type="dxa" w:w="2160"/>
          </w:tcPr>
          <w:p>
            <w:r>
              <w:t>Prior authorization, denial triage, secondary billing</w:t>
            </w:r>
          </w:p>
        </w:tc>
        <w:tc>
          <w:tcPr>
            <w:tcW w:type="dxa" w:w="2160"/>
          </w:tcPr>
          <w:p>
            <w:r>
              <w:t>$15 / hour</w:t>
            </w:r>
          </w:p>
        </w:tc>
        <w:tc>
          <w:tcPr>
            <w:tcW w:type="dxa" w:w="2160"/>
          </w:tcPr>
          <w:p>
            <w:r>
              <w:t>Requires multi‑payer portal skill or modifier expertise</w:t>
            </w:r>
          </w:p>
        </w:tc>
      </w:tr>
      <w:tr>
        <w:tc>
          <w:tcPr>
            <w:tcW w:type="dxa" w:w="2160"/>
          </w:tcPr>
          <w:p>
            <w:r>
              <w:t>Specialized</w:t>
            </w:r>
          </w:p>
        </w:tc>
        <w:tc>
          <w:tcPr>
            <w:tcW w:type="dxa" w:w="2160"/>
          </w:tcPr>
          <w:p>
            <w:r>
              <w:t>Contract audits, OON negotiation, coding QA w/ modifiers</w:t>
            </w:r>
          </w:p>
        </w:tc>
        <w:tc>
          <w:tcPr>
            <w:tcW w:type="dxa" w:w="2160"/>
          </w:tcPr>
          <w:p>
            <w:r>
              <w:t>$20 / hour</w:t>
            </w:r>
          </w:p>
        </w:tc>
        <w:tc>
          <w:tcPr>
            <w:tcW w:type="dxa" w:w="2160"/>
          </w:tcPr>
          <w:p>
            <w:r>
              <w:t>Deep payer policy knowledge or direct revenue‑dispute work</w:t>
            </w:r>
          </w:p>
        </w:tc>
      </w:tr>
    </w:tbl>
    <w:p/>
    <w:p>
      <w:pPr>
        <w:pStyle w:val="Heading2"/>
      </w:pPr>
      <w:r>
        <w:t>2 ▪ Engagement Tiers</w:t>
      </w:r>
    </w:p>
    <w:tbl>
      <w:tblPr>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Team Composition</w:t>
            </w:r>
          </w:p>
        </w:tc>
        <w:tc>
          <w:tcPr>
            <w:tcW w:type="dxa" w:w="2160"/>
          </w:tcPr>
          <w:p>
            <w:r>
              <w:t>Ideal For</w:t>
            </w:r>
          </w:p>
        </w:tc>
        <w:tc>
          <w:tcPr>
            <w:tcW w:type="dxa" w:w="2160"/>
          </w:tcPr>
          <w:p>
            <w:r>
              <w:t>Sample Monthly Scope</w:t>
            </w:r>
          </w:p>
        </w:tc>
      </w:tr>
      <w:tr>
        <w:tc>
          <w:tcPr>
            <w:tcW w:type="dxa" w:w="2160"/>
          </w:tcPr>
          <w:p>
            <w:r>
              <w:t>Micro‑Unit</w:t>
            </w:r>
          </w:p>
        </w:tc>
        <w:tc>
          <w:tcPr>
            <w:tcW w:type="dxa" w:w="2160"/>
          </w:tcPr>
          <w:p>
            <w:r>
              <w:t>1 FTE agent</w:t>
            </w:r>
          </w:p>
        </w:tc>
        <w:tc>
          <w:tcPr>
            <w:tcW w:type="dxa" w:w="2160"/>
          </w:tcPr>
          <w:p>
            <w:r>
              <w:t>Small practices fixing one choke‑point</w:t>
            </w:r>
          </w:p>
        </w:tc>
        <w:tc>
          <w:tcPr>
            <w:tcW w:type="dxa" w:w="2160"/>
          </w:tcPr>
          <w:p>
            <w:r>
              <w:t>≈ 600 eligibility checks &amp; PA submissions</w:t>
            </w:r>
          </w:p>
        </w:tc>
      </w:tr>
      <w:tr>
        <w:tc>
          <w:tcPr>
            <w:tcW w:type="dxa" w:w="2160"/>
          </w:tcPr>
          <w:p>
            <w:r>
              <w:t>Specialty Pod</w:t>
            </w:r>
          </w:p>
        </w:tc>
        <w:tc>
          <w:tcPr>
            <w:tcW w:type="dxa" w:w="2160"/>
          </w:tcPr>
          <w:p>
            <w:r>
              <w:t>3–5 agents + pod lead</w:t>
            </w:r>
          </w:p>
        </w:tc>
        <w:tc>
          <w:tcPr>
            <w:tcW w:type="dxa" w:w="2160"/>
          </w:tcPr>
          <w:p>
            <w:r>
              <w:t>Multi‑site groups needing shift coverage</w:t>
            </w:r>
          </w:p>
        </w:tc>
        <w:tc>
          <w:tcPr>
            <w:tcW w:type="dxa" w:w="2160"/>
          </w:tcPr>
          <w:p>
            <w:r>
              <w:t>≈ 2,000 PA / eligibility tasks + 400 denial appeals</w:t>
            </w:r>
          </w:p>
        </w:tc>
      </w:tr>
      <w:tr>
        <w:tc>
          <w:tcPr>
            <w:tcW w:type="dxa" w:w="2160"/>
          </w:tcPr>
          <w:p>
            <w:r>
              <w:t>Enterprise Hub</w:t>
            </w:r>
          </w:p>
        </w:tc>
        <w:tc>
          <w:tcPr>
            <w:tcW w:type="dxa" w:w="2160"/>
          </w:tcPr>
          <w:p>
            <w:r>
              <w:t>8+ agents, QA analyst, workflow manager</w:t>
            </w:r>
          </w:p>
        </w:tc>
        <w:tc>
          <w:tcPr>
            <w:tcW w:type="dxa" w:w="2160"/>
          </w:tcPr>
          <w:p>
            <w:r>
              <w:t>Hospitals / IDNs offloading an entire back‑office lane</w:t>
            </w:r>
          </w:p>
        </w:tc>
        <w:tc>
          <w:tcPr>
            <w:tcW w:type="dxa" w:w="2160"/>
          </w:tcPr>
          <w:p>
            <w:r>
              <w:t>≈ 10,000 claim‑status actions + weekly analytics</w:t>
            </w:r>
          </w:p>
        </w:tc>
      </w:tr>
    </w:tbl>
    <w:p/>
    <w:p>
      <w:pPr>
        <w:pStyle w:val="Heading2"/>
      </w:pPr>
      <w:r>
        <w:t>3 ▪ KPI Targets by Tier</w:t>
      </w:r>
    </w:p>
    <w:tbl>
      <w:tblPr>
        <w:tblW w:type="auto" w:w="0"/>
        <w:tblLook w:firstColumn="1" w:firstRow="1" w:lastColumn="0" w:lastRow="0" w:noHBand="0" w:noVBand="1" w:val="04A0"/>
      </w:tblPr>
      <w:tblGrid>
        <w:gridCol w:w="2160"/>
        <w:gridCol w:w="2160"/>
        <w:gridCol w:w="2160"/>
        <w:gridCol w:w="2160"/>
      </w:tblGrid>
      <w:tr>
        <w:tc>
          <w:tcPr>
            <w:tcW w:type="dxa" w:w="2160"/>
          </w:tcPr>
          <w:p>
            <w:r>
              <w:t>KPI Bucket</w:t>
            </w:r>
          </w:p>
        </w:tc>
        <w:tc>
          <w:tcPr>
            <w:tcW w:type="dxa" w:w="2160"/>
          </w:tcPr>
          <w:p>
            <w:r>
              <w:t>Standard Tier Target</w:t>
            </w:r>
          </w:p>
        </w:tc>
        <w:tc>
          <w:tcPr>
            <w:tcW w:type="dxa" w:w="2160"/>
          </w:tcPr>
          <w:p>
            <w:r>
              <w:t>Advanced Tier Target</w:t>
            </w:r>
          </w:p>
        </w:tc>
        <w:tc>
          <w:tcPr>
            <w:tcW w:type="dxa" w:w="2160"/>
          </w:tcPr>
          <w:p>
            <w:r>
              <w:t>Specialized Tier Target</w:t>
            </w:r>
          </w:p>
        </w:tc>
      </w:tr>
      <w:tr>
        <w:tc>
          <w:tcPr>
            <w:tcW w:type="dxa" w:w="2160"/>
          </w:tcPr>
          <w:p>
            <w:r>
              <w:t>Clean‑Claim Rate</w:t>
            </w:r>
          </w:p>
        </w:tc>
        <w:tc>
          <w:tcPr>
            <w:tcW w:type="dxa" w:w="2160"/>
          </w:tcPr>
          <w:p>
            <w:r>
              <w:t>≥ 97 %</w:t>
            </w:r>
          </w:p>
        </w:tc>
        <w:tc>
          <w:tcPr>
            <w:tcW w:type="dxa" w:w="2160"/>
          </w:tcPr>
          <w:p>
            <w:r>
              <w:t>≥ 98 %</w:t>
            </w:r>
          </w:p>
        </w:tc>
        <w:tc>
          <w:tcPr>
            <w:tcW w:type="dxa" w:w="2160"/>
          </w:tcPr>
          <w:p>
            <w:r>
              <w:t>≥ 99 %</w:t>
            </w:r>
          </w:p>
        </w:tc>
      </w:tr>
      <w:tr>
        <w:tc>
          <w:tcPr>
            <w:tcW w:type="dxa" w:w="2160"/>
          </w:tcPr>
          <w:p>
            <w:r>
              <w:t>PA Approval Cycle</w:t>
            </w:r>
          </w:p>
        </w:tc>
        <w:tc>
          <w:tcPr>
            <w:tcW w:type="dxa" w:w="2160"/>
          </w:tcPr>
          <w:p>
            <w:r>
              <w:t>≤ 5 days</w:t>
            </w:r>
          </w:p>
        </w:tc>
        <w:tc>
          <w:tcPr>
            <w:tcW w:type="dxa" w:w="2160"/>
          </w:tcPr>
          <w:p>
            <w:r>
              <w:t>≤ 3 days</w:t>
            </w:r>
          </w:p>
        </w:tc>
        <w:tc>
          <w:tcPr>
            <w:tcW w:type="dxa" w:w="2160"/>
          </w:tcPr>
          <w:p>
            <w:r>
              <w:t>≤ 2 days</w:t>
            </w:r>
          </w:p>
        </w:tc>
      </w:tr>
      <w:tr>
        <w:tc>
          <w:tcPr>
            <w:tcW w:type="dxa" w:w="2160"/>
          </w:tcPr>
          <w:p>
            <w:r>
              <w:t>AR &gt; 60 Days</w:t>
            </w:r>
          </w:p>
        </w:tc>
        <w:tc>
          <w:tcPr>
            <w:tcW w:type="dxa" w:w="2160"/>
          </w:tcPr>
          <w:p>
            <w:r>
              <w:t>≤ 15 %</w:t>
            </w:r>
          </w:p>
        </w:tc>
        <w:tc>
          <w:tcPr>
            <w:tcW w:type="dxa" w:w="2160"/>
          </w:tcPr>
          <w:p>
            <w:r>
              <w:t>≤ 10 %</w:t>
            </w:r>
          </w:p>
        </w:tc>
        <w:tc>
          <w:tcPr>
            <w:tcW w:type="dxa" w:w="2160"/>
          </w:tcPr>
          <w:p>
            <w:r>
              <w:t>≤ 7 %</w:t>
            </w:r>
          </w:p>
        </w:tc>
      </w:tr>
      <w:tr>
        <w:tc>
          <w:tcPr>
            <w:tcW w:type="dxa" w:w="2160"/>
          </w:tcPr>
          <w:p>
            <w:r>
              <w:t>Initial Denial Rate</w:t>
            </w:r>
          </w:p>
        </w:tc>
        <w:tc>
          <w:tcPr>
            <w:tcW w:type="dxa" w:w="2160"/>
          </w:tcPr>
          <w:p>
            <w:r>
              <w:t>≤ 8 %</w:t>
            </w:r>
          </w:p>
        </w:tc>
        <w:tc>
          <w:tcPr>
            <w:tcW w:type="dxa" w:w="2160"/>
          </w:tcPr>
          <w:p>
            <w:r>
              <w:t>≤ 6 %</w:t>
            </w:r>
          </w:p>
        </w:tc>
        <w:tc>
          <w:tcPr>
            <w:tcW w:type="dxa" w:w="2160"/>
          </w:tcPr>
          <w:p>
            <w:r>
              <w:t>≤ 4 %</w:t>
            </w:r>
          </w:p>
        </w:tc>
      </w:tr>
      <w:tr>
        <w:tc>
          <w:tcPr>
            <w:tcW w:type="dxa" w:w="2160"/>
          </w:tcPr>
          <w:p>
            <w:r>
              <w:t>Under‑payment Detection</w:t>
            </w:r>
          </w:p>
        </w:tc>
        <w:tc>
          <w:tcPr>
            <w:tcW w:type="dxa" w:w="2160"/>
          </w:tcPr>
          <w:p>
            <w:r>
              <w:t>—</w:t>
            </w:r>
          </w:p>
        </w:tc>
        <w:tc>
          <w:tcPr>
            <w:tcW w:type="dxa" w:w="2160"/>
          </w:tcPr>
          <w:p>
            <w:r>
              <w:t>≥ 85 % caught</w:t>
            </w:r>
          </w:p>
        </w:tc>
        <w:tc>
          <w:tcPr>
            <w:tcW w:type="dxa" w:w="2160"/>
          </w:tcPr>
          <w:p>
            <w:r>
              <w:t>≥ 95 % caught</w:t>
            </w:r>
          </w:p>
        </w:tc>
      </w:tr>
    </w:tbl>
    <w:p/>
    <w:p>
      <w:pPr>
        <w:pStyle w:val="Heading2"/>
      </w:pPr>
      <w:r>
        <w:t>4 ▪ Illustrative 90‑Day ROI Scenarios</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Domain</w:t>
            </w:r>
          </w:p>
        </w:tc>
        <w:tc>
          <w:tcPr>
            <w:tcW w:type="dxa" w:w="1080"/>
          </w:tcPr>
          <w:p>
            <w:r>
              <w:t>Pain Point</w:t>
            </w:r>
          </w:p>
        </w:tc>
        <w:tc>
          <w:tcPr>
            <w:tcW w:type="dxa" w:w="1080"/>
          </w:tcPr>
          <w:p>
            <w:r>
              <w:t>Baseline KPI</w:t>
            </w:r>
          </w:p>
        </w:tc>
        <w:tc>
          <w:tcPr>
            <w:tcW w:type="dxa" w:w="1080"/>
          </w:tcPr>
          <w:p>
            <w:r>
              <w:t>After HBS</w:t>
            </w:r>
          </w:p>
        </w:tc>
        <w:tc>
          <w:tcPr>
            <w:tcW w:type="dxa" w:w="1080"/>
          </w:tcPr>
          <w:p>
            <w:r>
              <w:t>Hours / mo.</w:t>
            </w:r>
          </w:p>
        </w:tc>
        <w:tc>
          <w:tcPr>
            <w:tcW w:type="dxa" w:w="1080"/>
          </w:tcPr>
          <w:p>
            <w:r>
              <w:t>Cost / mo.</w:t>
            </w:r>
          </w:p>
        </w:tc>
        <w:tc>
          <w:tcPr>
            <w:tcW w:type="dxa" w:w="1080"/>
          </w:tcPr>
          <w:p>
            <w:r>
              <w:t>Net Lift / mo.</w:t>
            </w:r>
          </w:p>
        </w:tc>
        <w:tc>
          <w:tcPr>
            <w:tcW w:type="dxa" w:w="1080"/>
          </w:tcPr>
          <w:p>
            <w:r>
              <w:t>120‑Day ROI</w:t>
            </w:r>
          </w:p>
        </w:tc>
      </w:tr>
      <w:tr>
        <w:tc>
          <w:tcPr>
            <w:tcW w:type="dxa" w:w="1080"/>
          </w:tcPr>
          <w:p>
            <w:r>
              <w:t>Eligibility</w:t>
            </w:r>
          </w:p>
        </w:tc>
        <w:tc>
          <w:tcPr>
            <w:tcW w:type="dxa" w:w="1080"/>
          </w:tcPr>
          <w:p>
            <w:r>
              <w:t>Coverage‑not‑in‑effect denials (7 %)</w:t>
            </w:r>
          </w:p>
        </w:tc>
        <w:tc>
          <w:tcPr>
            <w:tcW w:type="dxa" w:w="1080"/>
          </w:tcPr>
          <w:p>
            <w:r>
              <w:t>93 % accuracy</w:t>
            </w:r>
          </w:p>
        </w:tc>
        <w:tc>
          <w:tcPr>
            <w:tcW w:type="dxa" w:w="1080"/>
          </w:tcPr>
          <w:p>
            <w:r>
              <w:t>98 %</w:t>
            </w:r>
          </w:p>
        </w:tc>
        <w:tc>
          <w:tcPr>
            <w:tcW w:type="dxa" w:w="1080"/>
          </w:tcPr>
          <w:p>
            <w:r>
              <w:t>160</w:t>
            </w:r>
          </w:p>
        </w:tc>
        <w:tc>
          <w:tcPr>
            <w:tcW w:type="dxa" w:w="1080"/>
          </w:tcPr>
          <w:p>
            <w:r>
              <w:t>$1 600</w:t>
            </w:r>
          </w:p>
        </w:tc>
        <w:tc>
          <w:tcPr>
            <w:tcW w:type="dxa" w:w="1080"/>
          </w:tcPr>
          <w:p>
            <w:r>
              <w:t>$22 800</w:t>
            </w:r>
          </w:p>
        </w:tc>
        <w:tc>
          <w:tcPr>
            <w:tcW w:type="dxa" w:w="1080"/>
          </w:tcPr>
          <w:p>
            <w:r>
              <w:t>14×</w:t>
            </w:r>
          </w:p>
        </w:tc>
      </w:tr>
      <w:tr>
        <w:tc>
          <w:tcPr>
            <w:tcW w:type="dxa" w:w="1080"/>
          </w:tcPr>
          <w:p>
            <w:r>
              <w:t>Prior Auth</w:t>
            </w:r>
          </w:p>
        </w:tc>
        <w:tc>
          <w:tcPr>
            <w:tcW w:type="dxa" w:w="1080"/>
          </w:tcPr>
          <w:p>
            <w:r>
              <w:t>12‑day approval cycle</w:t>
            </w:r>
          </w:p>
        </w:tc>
        <w:tc>
          <w:tcPr>
            <w:tcW w:type="dxa" w:w="1080"/>
          </w:tcPr>
          <w:p>
            <w:r>
              <w:t>12 days</w:t>
            </w:r>
          </w:p>
        </w:tc>
        <w:tc>
          <w:tcPr>
            <w:tcW w:type="dxa" w:w="1080"/>
          </w:tcPr>
          <w:p>
            <w:r>
              <w:t>3 days</w:t>
            </w:r>
          </w:p>
        </w:tc>
        <w:tc>
          <w:tcPr>
            <w:tcW w:type="dxa" w:w="1080"/>
          </w:tcPr>
          <w:p>
            <w:r>
              <w:t>180</w:t>
            </w:r>
          </w:p>
        </w:tc>
        <w:tc>
          <w:tcPr>
            <w:tcW w:type="dxa" w:w="1080"/>
          </w:tcPr>
          <w:p>
            <w:r>
              <w:t>$2 700</w:t>
            </w:r>
          </w:p>
        </w:tc>
        <w:tc>
          <w:tcPr>
            <w:tcW w:type="dxa" w:w="1080"/>
          </w:tcPr>
          <w:p>
            <w:r>
              <w:t>$13 600*</w:t>
            </w:r>
          </w:p>
        </w:tc>
        <w:tc>
          <w:tcPr>
            <w:tcW w:type="dxa" w:w="1080"/>
          </w:tcPr>
          <w:p>
            <w:r>
              <w:t>5×</w:t>
            </w:r>
          </w:p>
        </w:tc>
      </w:tr>
      <w:tr>
        <w:tc>
          <w:tcPr>
            <w:tcW w:type="dxa" w:w="1080"/>
          </w:tcPr>
          <w:p>
            <w:r>
              <w:t>AR &gt; 90d</w:t>
            </w:r>
          </w:p>
        </w:tc>
        <w:tc>
          <w:tcPr>
            <w:tcW w:type="dxa" w:w="1080"/>
          </w:tcPr>
          <w:p>
            <w:r>
              <w:t>$2 M aged AR</w:t>
            </w:r>
          </w:p>
        </w:tc>
        <w:tc>
          <w:tcPr>
            <w:tcW w:type="dxa" w:w="1080"/>
          </w:tcPr>
          <w:p>
            <w:r>
              <w:t>$2 M</w:t>
            </w:r>
          </w:p>
        </w:tc>
        <w:tc>
          <w:tcPr>
            <w:tcW w:type="dxa" w:w="1080"/>
          </w:tcPr>
          <w:p>
            <w:r>
              <w:t>↓ 60 %</w:t>
            </w:r>
          </w:p>
        </w:tc>
        <w:tc>
          <w:tcPr>
            <w:tcW w:type="dxa" w:w="1080"/>
          </w:tcPr>
          <w:p>
            <w:r>
              <w:t>200</w:t>
            </w:r>
          </w:p>
        </w:tc>
        <w:tc>
          <w:tcPr>
            <w:tcW w:type="dxa" w:w="1080"/>
          </w:tcPr>
          <w:p>
            <w:r>
              <w:t>$3 000</w:t>
            </w:r>
          </w:p>
        </w:tc>
        <w:tc>
          <w:tcPr>
            <w:tcW w:type="dxa" w:w="1080"/>
          </w:tcPr>
          <w:p>
            <w:r>
              <w:t>$130 000</w:t>
            </w:r>
          </w:p>
        </w:tc>
        <w:tc>
          <w:tcPr>
            <w:tcW w:type="dxa" w:w="1080"/>
          </w:tcPr>
          <w:p>
            <w:r>
              <w:t>43×</w:t>
            </w:r>
          </w:p>
        </w:tc>
      </w:tr>
      <w:tr>
        <w:tc>
          <w:tcPr>
            <w:tcW w:type="dxa" w:w="1080"/>
          </w:tcPr>
          <w:p>
            <w:r>
              <w:t>Denial Appeals</w:t>
            </w:r>
          </w:p>
        </w:tc>
        <w:tc>
          <w:tcPr>
            <w:tcW w:type="dxa" w:w="1080"/>
          </w:tcPr>
          <w:p>
            <w:r>
              <w:t>14 % initial denial</w:t>
            </w:r>
          </w:p>
        </w:tc>
        <w:tc>
          <w:tcPr>
            <w:tcW w:type="dxa" w:w="1080"/>
          </w:tcPr>
          <w:p>
            <w:r>
              <w:t>14 %</w:t>
            </w:r>
          </w:p>
        </w:tc>
        <w:tc>
          <w:tcPr>
            <w:tcW w:type="dxa" w:w="1080"/>
          </w:tcPr>
          <w:p>
            <w:r>
              <w:t>5 %</w:t>
            </w:r>
          </w:p>
        </w:tc>
        <w:tc>
          <w:tcPr>
            <w:tcW w:type="dxa" w:w="1080"/>
          </w:tcPr>
          <w:p>
            <w:r>
              <w:t>140</w:t>
            </w:r>
          </w:p>
        </w:tc>
        <w:tc>
          <w:tcPr>
            <w:tcW w:type="dxa" w:w="1080"/>
          </w:tcPr>
          <w:p>
            <w:r>
              <w:t>$2 100</w:t>
            </w:r>
          </w:p>
        </w:tc>
        <w:tc>
          <w:tcPr>
            <w:tcW w:type="dxa" w:w="1080"/>
          </w:tcPr>
          <w:p>
            <w:r>
              <w:t>$45 000</w:t>
            </w:r>
          </w:p>
        </w:tc>
        <w:tc>
          <w:tcPr>
            <w:tcW w:type="dxa" w:w="1080"/>
          </w:tcPr>
          <w:p>
            <w:r>
              <w:t>21×</w:t>
            </w:r>
          </w:p>
        </w:tc>
      </w:tr>
      <w:tr>
        <w:tc>
          <w:tcPr>
            <w:tcW w:type="dxa" w:w="1080"/>
          </w:tcPr>
          <w:p>
            <w:r>
              <w:t>Coding QA</w:t>
            </w:r>
          </w:p>
        </w:tc>
        <w:tc>
          <w:tcPr>
            <w:tcW w:type="dxa" w:w="1080"/>
          </w:tcPr>
          <w:p>
            <w:r>
              <w:t>High‑RVU modifier errors</w:t>
            </w:r>
          </w:p>
        </w:tc>
        <w:tc>
          <w:tcPr>
            <w:tcW w:type="dxa" w:w="1080"/>
          </w:tcPr>
          <w:p>
            <w:r>
              <w:t>$68 k denied</w:t>
            </w:r>
          </w:p>
        </w:tc>
        <w:tc>
          <w:tcPr>
            <w:tcW w:type="dxa" w:w="1080"/>
          </w:tcPr>
          <w:p>
            <w:r>
              <w:t>↓ 85 %</w:t>
            </w:r>
          </w:p>
        </w:tc>
        <w:tc>
          <w:tcPr>
            <w:tcW w:type="dxa" w:w="1080"/>
          </w:tcPr>
          <w:p>
            <w:r>
              <w:t>120</w:t>
            </w:r>
          </w:p>
        </w:tc>
        <w:tc>
          <w:tcPr>
            <w:tcW w:type="dxa" w:w="1080"/>
          </w:tcPr>
          <w:p>
            <w:r>
              <w:t>$2 400</w:t>
            </w:r>
          </w:p>
        </w:tc>
        <w:tc>
          <w:tcPr>
            <w:tcW w:type="dxa" w:w="1080"/>
          </w:tcPr>
          <w:p>
            <w:r>
              <w:t>$57 800</w:t>
            </w:r>
          </w:p>
        </w:tc>
        <w:tc>
          <w:tcPr>
            <w:tcW w:type="dxa" w:w="1080"/>
          </w:tcPr>
          <w:p>
            <w:r>
              <w:t>24×</w:t>
            </w:r>
          </w:p>
        </w:tc>
      </w:tr>
    </w:tbl>
    <w:p>
      <w:r>
        <w:t>*Assumes surgical margin $800 × 17 extra cases.</w:t>
      </w:r>
    </w:p>
    <w:p>
      <w:r>
        <w:t>Performance Guarantee: If agreed KPI uplift is not achieved within the first 90 days, HBS credits 20 % of agent hours on the next invoice. Scale‑up or scale‑down with five‑business‑day notice to match seasonal volume.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