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Projeto</w:t>
      </w:r>
      <w:r>
        <w:t xml:space="preserve"> </w:t>
      </w:r>
      <w:r>
        <w:t xml:space="preserve">de</w:t>
      </w:r>
      <w:r>
        <w:t xml:space="preserve"> </w:t>
      </w:r>
      <w:r>
        <w:t xml:space="preserve">dissertação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Antonio</w:t>
      </w:r>
      <w:r>
        <w:t xml:space="preserve"> </w:t>
      </w:r>
      <w:r>
        <w:t xml:space="preserve">Cardoso</w:t>
      </w:r>
      <w:r>
        <w:t xml:space="preserve"> </w:t>
      </w:r>
      <w:r>
        <w:t xml:space="preserve">Ramalho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introdução"/>
    <w:p>
      <w:pPr>
        <w:pStyle w:val="Heading2"/>
      </w:pPr>
      <w:r>
        <w:t xml:space="preserve">1 Introdução</w:t>
      </w:r>
    </w:p>
    <w:p>
      <w:pPr>
        <w:pStyle w:val="FirstParagraph"/>
      </w:pPr>
      <w:r>
        <w:t xml:space="preserve">Durante décadas, a maior parte dos Brasileiro que conseguia poupar algum dinheiro acabava usando mecanismos de renda fixa que rendiam muito pouco no médio prazo, como a poupança, ou simplesmente usava o depósito bancário para acumular dinheiro sem usufruir dos retornos de renda fixa ou variável. Essa cultura perdura até hoje</w:t>
      </w:r>
      <w:r>
        <w:t xml:space="preserve"> </w:t>
      </w:r>
      <w:r>
        <w:t xml:space="preserve">(SPC, 2018)</w:t>
      </w:r>
      <w:r>
        <w:t xml:space="preserve">, porém, tem diminuído diante do aumento de opções de produtos e ativos de investimento e da popularização de plataformas digitais que facilitam o acesso de pessoas físicas a renda variável.</w:t>
      </w:r>
    </w:p>
    <w:p>
      <w:pPr>
        <w:pStyle w:val="BodyText"/>
      </w:pPr>
      <w:r>
        <w:t xml:space="preserve">Um dos tipos de ativos que se tornou muito popular nos últimos 5 anos são os fundos de investimento imobiliário (FII)</w:t>
      </w:r>
      <w:r>
        <w:t xml:space="preserve"> </w:t>
      </w:r>
      <w:r>
        <w:t xml:space="preserve">(B3, 2023)</w:t>
      </w:r>
      <w:r>
        <w:t xml:space="preserve"> </w:t>
      </w:r>
      <w:r>
        <w:t xml:space="preserve">que por suas características fiscais e nível de risco relativamente baixo acaba se encaixando bem às preferências do pequeno investidor brasileiro, que tem como característica a aversão ao risco, preferindo investir em imóveis e outras opções de renda fixa.</w:t>
      </w:r>
    </w:p>
    <w:p>
      <w:pPr>
        <w:pStyle w:val="BodyText"/>
      </w:pPr>
      <w:r>
        <w:t xml:space="preserve">Outro fator que contribuiu para o aumento no número de investidores do tipo pesoa física no mercado dos FII foi a oscilação negativa na taxa SELIC (Sistema Especial de Liquidação e de Custodia)</w:t>
      </w:r>
      <w:r>
        <w:t xml:space="preserve">(Jacomassi &amp; Oliveira, 2022)</w:t>
      </w:r>
      <w:r>
        <w:t xml:space="preserve"> </w:t>
      </w:r>
      <w:r>
        <w:t xml:space="preserve">como pode ser visto no</w:t>
      </w:r>
      <w:r>
        <w:t xml:space="preserve"> </w:t>
      </w:r>
      <w:hyperlink w:anchor="fig-selic">
        <w:r>
          <w:rPr>
            <w:rStyle w:val="Hyperlink"/>
          </w:rPr>
          <w:t xml:space="preserve">gráfico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selic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Projeto_dissertacao_files/figure-docx/fig-selic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Gráfico 1: Elaboração própria - fonte: Banco Central do Brasil</w:t>
            </w:r>
          </w:p>
          <w:bookmarkEnd w:id="23"/>
        </w:tc>
      </w:tr>
    </w:tbl>
    <w:p>
      <w:pPr>
        <w:pStyle w:val="BodyText"/>
      </w:pPr>
      <w:r>
        <w:t xml:space="preserve">A taxa básica de juros da economia é definida periodicamente pelo COPOM (Comitê de Política Monetária), ela é uma das principais ferramentas da política monetária e serve como referência para as demais taxas do mercado</w:t>
      </w:r>
      <w:r>
        <w:t xml:space="preserve"> </w:t>
      </w:r>
      <w:r>
        <w:t xml:space="preserve">(Jacomassi &amp; Oliveira, 2022)</w:t>
      </w:r>
      <w:r>
        <w:t xml:space="preserve">. No Brasil o Banco Central usa esse mecanismo principalmente para controle da inflação , porém, historicamente o país sempre teve taxas altas, o que trouxe problemas no controle da dívida publica e na estabilidade do mercado</w:t>
      </w:r>
      <w:r>
        <w:t xml:space="preserve">(Jabr H. D. Omar, 2008)</w:t>
      </w:r>
      <w:r>
        <w:t xml:space="preserve">.</w:t>
      </w:r>
    </w:p>
    <w:p>
      <w:pPr>
        <w:pStyle w:val="BodyText"/>
      </w:pPr>
      <w:r>
        <w:t xml:space="preserve">Ainda sobre o crescimento do número de investidores em 2020, foi possível observar um movimento que segundo Jacomassi</w:t>
      </w:r>
      <w:r>
        <w:t xml:space="preserve"> </w:t>
      </w:r>
      <w:r>
        <w:t xml:space="preserve">(Jacomassi &amp; Oliveira, 2022)</w:t>
      </w:r>
      <w:r>
        <w:t xml:space="preserve"> </w:t>
      </w:r>
      <w:r>
        <w:t xml:space="preserve">também ocorreu em outros períodos de declínio da taxa SELIC, não necessariamente com um aumento significativo no número de investidores, mas com um aumento no volume de negócios em 2006, o que denota que o aumento no número de investidores do tipo pessoa física não necessáriamente está ligado somente a variação da SELIC em 2020 mas também a outros fatores como os retornos das diversas categorias de fundos, o pagamento de dividendos, e outras variáveis ainda pouco exploradas pela literatura como a popularização de plataformas digitais de investimento e o crescimento de canais de influenciadores financeiros, algo recente e que segundo pesquisa realizada pela B3 vai de encontro ao fato de que 60% dos investidores do tipo pessoa física entrevistados buscam informações relacionadas a investimento junto a influenciadores financeiros em mídias como o</w:t>
      </w:r>
      <w:r>
        <w:t xml:space="preserve"> </w:t>
      </w:r>
      <w:r>
        <w:rPr>
          <w:iCs/>
          <w:i/>
        </w:rPr>
        <w:t xml:space="preserve">Youtube</w:t>
      </w:r>
      <w:r>
        <w:t xml:space="preserve"> </w:t>
      </w:r>
      <w:r>
        <w:t xml:space="preserve">(B3, 2020)</w:t>
      </w:r>
      <w:r>
        <w:t xml:space="preserve">, esse fator também é denotado ao verificarmos o</w:t>
      </w:r>
      <w:r>
        <w:t xml:space="preserve"> </w:t>
      </w:r>
      <w:hyperlink w:anchor="fig-popularity">
        <w:r>
          <w:rPr>
            <w:rStyle w:val="Hyperlink"/>
          </w:rPr>
          <w:t xml:space="preserve">gráfico 2</w:t>
        </w:r>
      </w:hyperlink>
      <w:r>
        <w:t xml:space="preserve"> </w:t>
      </w:r>
      <w:r>
        <w:t xml:space="preserve">que mostra o crescimento da popularidade do termo de pesquisa FII no Youtube nos último 10 anos</w:t>
      </w:r>
      <w:r>
        <w:rPr>
          <w:iCs/>
          <w:i/>
        </w:rP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popularity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rojeto_dissertacao_files/figure-docx/fig-popularity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Gráfico 2: fonte: Google trends Youtube</w:t>
            </w:r>
          </w:p>
          <w:bookmarkEnd w:id="27"/>
        </w:tc>
      </w:tr>
    </w:tbl>
    <w:p>
      <w:pPr>
        <w:pStyle w:val="BodyText"/>
      </w:pPr>
      <w:r>
        <w:t xml:space="preserve">Isso se confirma ao verificarmos que mesmo com o aumento da taxa SELIC durante a pandemia o número pessoas investindo nos fundos de investimento imobiliário continuou aumentando significativamente como mostra o</w:t>
      </w:r>
      <w:r>
        <w:t xml:space="preserve"> </w:t>
      </w:r>
      <w:hyperlink w:anchor="fig-investors">
        <w:r>
          <w:rPr>
            <w:rStyle w:val="Hyperlink"/>
          </w:rPr>
          <w:t xml:space="preserve">gráfico 3</w:t>
        </w:r>
      </w:hyperlink>
      <w:r>
        <w:t xml:space="preserve"> </w:t>
      </w:r>
      <w:r>
        <w:t xml:space="preserve">obtido do relatório mensal sobre os FII’s da B3.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investors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Projeto_dissertacao_files/figure-docx/fig-investor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Gráfico 3: fonte: Boletim mensal fundos imobiliários (FIIs) B3</w:t>
            </w:r>
          </w:p>
          <w:bookmarkEnd w:id="31"/>
        </w:tc>
      </w:tr>
    </w:tbl>
    <w:p>
      <w:pPr>
        <w:pStyle w:val="BodyText"/>
      </w:pPr>
      <w:r>
        <w:t xml:space="preserve">A diversidade dos tipos de fundos de investimento imobiliário também pode ajudar a entender sua popularização. Os fundos são um tipo de produto do mercado financeiro que permite o investimento no mercado imobiliário, ou seja, o administrador do fundo, que possui um ou mais imóveis pode ofertar cotas no mercado, onde investidores de diversas naturezas podem comprar e revender suas cotas, auferindo retornos referentes a variação dos preços ou os dividendos que podem ser distribuidos pelo fundo.</w:t>
      </w:r>
    </w:p>
    <w:bookmarkEnd w:id="32"/>
    <w:bookmarkStart w:id="33" w:name="problema"/>
    <w:p>
      <w:pPr>
        <w:pStyle w:val="Heading2"/>
      </w:pPr>
      <w:r>
        <w:t xml:space="preserve">2 Problema</w:t>
      </w:r>
    </w:p>
    <w:p>
      <w:pPr>
        <w:pStyle w:val="FirstParagraph"/>
      </w:pPr>
      <w:r>
        <w:t xml:space="preserve">Tendo em vista o contexto que se apresenta este trabalho, surge a oportunidade de colaborar com o desenvolvimento das pesquisas na área de fundos de investimento imobiliário através da investigação dos fatores que hipoteticamente podem colaborar com o crescimento no número de investidores e no volume de negócio num contexto de alta volatilidade da taxa SELIC e do mercado financeiro em geral e de recessão causada pela pandemia de COVID-19, com aumento do desemprego e fechamento de imóveis comerciais, que são os principais ativos dos fundos em questão, assim, a pergunta que se põe é:</w:t>
      </w:r>
      <w:r>
        <w:t xml:space="preserve"> </w:t>
      </w:r>
      <w:r>
        <w:t xml:space="preserve">Quais foram os determinantes do crescimento no número de investidores em fundos imobiliários no período de crise sanitária?</w:t>
      </w:r>
    </w:p>
    <w:bookmarkEnd w:id="33"/>
    <w:bookmarkStart w:id="34" w:name="objetivos"/>
    <w:p>
      <w:pPr>
        <w:pStyle w:val="Heading2"/>
      </w:pPr>
      <w:r>
        <w:t xml:space="preserve">3 Objetivos</w:t>
      </w:r>
    </w:p>
    <w:p>
      <w:pPr>
        <w:pStyle w:val="FirstParagraph"/>
      </w:pPr>
      <w:r>
        <w:t xml:space="preserve">Considerando as diversas variáveis que podem estar envolvidas nas dinâmicas de retorno sobre investimento dos FII’s, este trabalho realizará uma pesquisa exploratória quantitativa que buscará entender o grau de influência de indicadores como a taxa SELIC, retorno do benchmark do mercado de fundos, pagamento de dividendos e retorno dos 10 fundos com maior volume de negócios em cada categoria no período de 2017 até 2022, período que envolve o pós crise política e a crise sanitária de COVID-19. Apesar de ser uma pesquisa quantitativa, também se pretende analisar os resultados de forma qualitativa, de forma a distcutir os achados com outras referências sobre o assunto.</w:t>
      </w:r>
      <w:r>
        <w:t xml:space="preserve"> </w:t>
      </w:r>
      <w:r>
        <w:t xml:space="preserve">Além disso, também se pretende verificar as correlações entre a performance dos fundos de investimento imobiliário e as diversas variáveis macroeconomicas antes e durante a pandemia de corona vírus, considerando que apesar da taxa SELIC historicamente ser a que mais está relacionada aos FII’s, outras variáveis como, o PIB, a taxa de desemprego e a inflação podem ter tido impacto nos resultados das diversas categorias de fundos, dado o ambiente atípico causado pela Pandemia.</w:t>
      </w:r>
    </w:p>
    <w:bookmarkEnd w:id="34"/>
    <w:bookmarkStart w:id="35" w:name="objeto"/>
    <w:p>
      <w:pPr>
        <w:pStyle w:val="Heading2"/>
      </w:pPr>
      <w:r>
        <w:t xml:space="preserve">4 Objeto</w:t>
      </w:r>
    </w:p>
    <w:bookmarkEnd w:id="35"/>
    <w:bookmarkStart w:id="36" w:name="objetivo-da-pesquisa"/>
    <w:p>
      <w:pPr>
        <w:pStyle w:val="Heading2"/>
      </w:pPr>
      <w:r>
        <w:t xml:space="preserve">5 Objetivo da pesquisa</w:t>
      </w:r>
    </w:p>
    <w:bookmarkEnd w:id="36"/>
    <w:bookmarkStart w:id="37" w:name="justificativa"/>
    <w:p>
      <w:pPr>
        <w:pStyle w:val="Heading2"/>
      </w:pPr>
      <w:r>
        <w:t xml:space="preserve">6 Justificativa</w:t>
      </w:r>
    </w:p>
    <w:bookmarkEnd w:id="37"/>
    <w:bookmarkStart w:id="38" w:name="referencial-teórico"/>
    <w:p>
      <w:pPr>
        <w:pStyle w:val="Heading2"/>
      </w:pPr>
      <w:r>
        <w:t xml:space="preserve">7 Referencial Teórico</w:t>
      </w:r>
    </w:p>
    <w:bookmarkEnd w:id="38"/>
    <w:bookmarkStart w:id="39" w:name="metodologia"/>
    <w:p>
      <w:pPr>
        <w:pStyle w:val="Heading2"/>
      </w:pPr>
      <w:r>
        <w:t xml:space="preserve">8 Metodologia</w:t>
      </w:r>
    </w:p>
    <w:bookmarkEnd w:id="39"/>
    <w:bookmarkStart w:id="40" w:name="cronograma"/>
    <w:p>
      <w:pPr>
        <w:pStyle w:val="Heading2"/>
      </w:pPr>
      <w:r>
        <w:t xml:space="preserve">9 Cronograma</w:t>
      </w:r>
    </w:p>
    <w:bookmarkEnd w:id="40"/>
    <w:bookmarkStart w:id="41" w:name="resultados-esperados"/>
    <w:p>
      <w:pPr>
        <w:pStyle w:val="Heading2"/>
      </w:pPr>
      <w:r>
        <w:t xml:space="preserve">10 Resultados esperados</w:t>
      </w:r>
    </w:p>
    <w:p>
      <w:r>
        <w:br w:type="page"/>
      </w:r>
    </w:p>
    <w:bookmarkEnd w:id="41"/>
    <w:bookmarkStart w:id="51" w:name="bibliografia"/>
    <w:p>
      <w:pPr>
        <w:pStyle w:val="Heading2"/>
      </w:pPr>
      <w:r>
        <w:t xml:space="preserve">11 Bibliografia</w:t>
      </w:r>
    </w:p>
    <w:bookmarkStart w:id="50" w:name="refs"/>
    <w:bookmarkStart w:id="42" w:name="ref-b32020"/>
    <w:p>
      <w:pPr>
        <w:pStyle w:val="Bibliography"/>
      </w:pPr>
      <w:r>
        <w:t xml:space="preserve">B3. (2020).</w:t>
      </w:r>
      <w:r>
        <w:t xml:space="preserve"> </w:t>
      </w:r>
      <w:r>
        <w:rPr>
          <w:iCs/>
          <w:i/>
        </w:rPr>
        <w:t xml:space="preserve">A descoberta da bolsa pelo investidor brasileiro</w:t>
      </w:r>
      <w:r>
        <w:t xml:space="preserve">.</w:t>
      </w:r>
    </w:p>
    <w:bookmarkEnd w:id="42"/>
    <w:bookmarkStart w:id="44" w:name="ref-b32023"/>
    <w:p>
      <w:pPr>
        <w:pStyle w:val="Bibliography"/>
      </w:pPr>
      <w:r>
        <w:t xml:space="preserve">B3. (2023).</w:t>
      </w:r>
      <w:r>
        <w:t xml:space="preserve"> </w:t>
      </w:r>
      <w:r>
        <w:rPr>
          <w:iCs/>
          <w:i/>
        </w:rPr>
        <w:t xml:space="preserve">Boletim mensal FII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https://www.b3.com.br/data/files/FC/D2/01/14/E020881064456178AC094EA8/Boletim%20FII%20-%2004M23.pdf</w:t>
        </w:r>
      </w:hyperlink>
    </w:p>
    <w:bookmarkEnd w:id="44"/>
    <w:bookmarkStart w:id="45" w:name="ref-jabrh.d.omar2008"/>
    <w:p>
      <w:pPr>
        <w:pStyle w:val="Bibliography"/>
      </w:pPr>
      <w:r>
        <w:t xml:space="preserve">Jabr H. D. Omar. (2008).</w:t>
      </w:r>
      <w:r>
        <w:t xml:space="preserve"> </w:t>
      </w:r>
      <w:r>
        <w:rPr>
          <w:iCs/>
          <w:i/>
        </w:rPr>
        <w:t xml:space="preserve">Taxa de juros: comportamento, determinação e implicações para a economia brasileira</w:t>
      </w:r>
      <w:r>
        <w:t xml:space="preserve">.</w:t>
      </w:r>
    </w:p>
    <w:bookmarkEnd w:id="45"/>
    <w:bookmarkStart w:id="47" w:name="ref-jacomassi2022"/>
    <w:p>
      <w:pPr>
        <w:pStyle w:val="Bibliography"/>
      </w:pPr>
      <w:r>
        <w:t xml:space="preserve">Jacomassi, G. A., &amp; Oliveira, E. C. D. (2022). TAXA SELIC E INVESTIDORES (PESSOA FÍSICA) EM RENDA VARIÁVEL: ESTUDO COM DADOS DA B3.</w:t>
      </w:r>
      <w:r>
        <w:t xml:space="preserve"> </w:t>
      </w:r>
      <w:r>
        <w:rPr>
          <w:iCs/>
          <w:i/>
        </w:rPr>
        <w:t xml:space="preserve">REVISTA FOCO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(2), e352.</w:t>
      </w:r>
      <w:r>
        <w:t xml:space="preserve"> </w:t>
      </w:r>
      <w:hyperlink r:id="rId46">
        <w:r>
          <w:rPr>
            <w:rStyle w:val="Hyperlink"/>
          </w:rPr>
          <w:t xml:space="preserve">https://doi.org/10.54751/revistafoco.v15n2-009</w:t>
        </w:r>
      </w:hyperlink>
    </w:p>
    <w:bookmarkEnd w:id="47"/>
    <w:bookmarkStart w:id="49" w:name="ref-spc2018"/>
    <w:p>
      <w:pPr>
        <w:pStyle w:val="Bibliography"/>
      </w:pPr>
      <w:r>
        <w:t xml:space="preserve">SPC. (2018).</w:t>
      </w:r>
      <w:r>
        <w:t xml:space="preserve"> </w:t>
      </w:r>
      <w:r>
        <w:rPr>
          <w:iCs/>
          <w:i/>
        </w:rPr>
        <w:t xml:space="preserve">Cenário da poupança e dos investimentos dos brasileiros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https://conteudo.cvm.gov.br/export/sites/cvm/menu/investidor/estudos/pesquisas/20181002_estudo_spc_cenario_da_poupanca_e_dos_investimentos_dos_brasileiros.pdf</w:t>
        </w:r>
      </w:hyperlink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hyperlink" Id="rId48" Target="https://conteudo.cvm.gov.br/export/sites/cvm/menu/investidor/estudos/pesquisas/20181002_estudo_spc_cenario_da_poupanca_e_dos_investimentos_dos_brasileiros.pdf" TargetMode="External" /><Relationship Type="http://schemas.openxmlformats.org/officeDocument/2006/relationships/hyperlink" Id="rId46" Target="https://doi.org/10.54751/revistafoco.v15n2-009" TargetMode="External" /><Relationship Type="http://schemas.openxmlformats.org/officeDocument/2006/relationships/hyperlink" Id="rId43" Target="https://www.b3.com.br/data/files/FC/D2/01/14/E020881064456178AC094EA8/Boletim%20FII%20-%2004M2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onteudo.cvm.gov.br/export/sites/cvm/menu/investidor/estudos/pesquisas/20181002_estudo_spc_cenario_da_poupanca_e_dos_investimentos_dos_brasileiros.pdf" TargetMode="External" /><Relationship Type="http://schemas.openxmlformats.org/officeDocument/2006/relationships/hyperlink" Id="rId46" Target="https://doi.org/10.54751/revistafoco.v15n2-009" TargetMode="External" /><Relationship Type="http://schemas.openxmlformats.org/officeDocument/2006/relationships/hyperlink" Id="rId43" Target="https://www.b3.com.br/data/files/FC/D2/01/14/E020881064456178AC094EA8/Boletim%20FII%20-%2004M2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dissertação</dc:title>
  <dc:creator>Marcus Antonio Cardoso Ramalho</dc:creator>
  <cp:keywords/>
  <dcterms:created xsi:type="dcterms:W3CDTF">2023-06-15T23:13:34Z</dcterms:created>
  <dcterms:modified xsi:type="dcterms:W3CDTF">2023-06-15T23:13:34Z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apa.csl</vt:lpwstr>
  </property>
  <property fmtid="{D5CDD505-2E9C-101B-9397-08002B2CF9AE}" pid="8" name="editor">
    <vt:lpwstr>visual</vt:lpwstr>
  </property>
  <property fmtid="{D5CDD505-2E9C-101B-9397-08002B2CF9AE}" pid="9" name="fontsize">
    <vt:lpwstr>12pt</vt:lpwstr>
  </property>
  <property fmtid="{D5CDD505-2E9C-101B-9397-08002B2CF9AE}" pid="10" name="geometry">
    <vt:lpwstr>left=2.54cm, top=2.54cm, right=2.54cm, bottom=2.54cm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atex_engine">
    <vt:lpwstr>xelatex</vt:lpwstr>
  </property>
  <property fmtid="{D5CDD505-2E9C-101B-9397-08002B2CF9AE}" pid="16" name="lineheight">
    <vt:lpwstr>1.5</vt:lpwstr>
  </property>
  <property fmtid="{D5CDD505-2E9C-101B-9397-08002B2CF9AE}" pid="17" name="sansfont">
    <vt:lpwstr>Times New Roman</vt:lpwstr>
  </property>
  <property fmtid="{D5CDD505-2E9C-101B-9397-08002B2CF9AE}" pid="18" name="toc-title">
    <vt:lpwstr>Sumário</vt:lpwstr>
  </property>
</Properties>
</file>