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TreeQ Project Governance Package</w:t>
      </w:r>
    </w:p>
    <w:p>
      <w:pPr>
        <w:spacing w:after="100"/>
        <w:jc w:val="center"/>
      </w:pPr>
      <w:r>
        <w:t xml:space="preserve">Effective Date: May 9, 2026</w:t>
      </w:r>
    </w:p>
    <w:p>
      <w:pPr>
        <w:spacing w:after="120"/>
      </w:pPr>
      <w:r>
        <w:t xml:space="preserve"/>
      </w:r>
    </w:p>
    <w:p>
      <w:pPr>
        <w:spacing w:after="100"/>
        <w:jc w:val="center"/>
      </w:pPr>
      <w:r>
        <w:t xml:space="preserve">This package contains two documents:</w:t>
      </w:r>
    </w:p>
    <w:p>
      <w:pPr>
        <w:spacing w:after="100"/>
        <w:jc w:val="center"/>
      </w:pPr>
      <w:r>
        <w:t xml:space="preserve">(1) Intellectual Property Assignment Agreement</w:t>
      </w:r>
    </w:p>
    <w:p>
      <w:pPr>
        <w:spacing w:after="100"/>
        <w:jc w:val="center"/>
      </w:pPr>
      <w:r>
        <w:t xml:space="preserve">(2) TreeQ Project Operating Memorandum</w:t>
      </w:r>
    </w:p>
    <w:p>
      <w:pPr>
        <w:spacing w:after="120"/>
      </w:pPr>
      <w:r>
        <w:t xml:space="preserve"/>
      </w:r>
    </w:p>
    <w:p>
      <w:pPr>
        <w:spacing w:after="100"/>
        <w:jc w:val="center"/>
      </w:pPr>
      <w:r>
        <w:rPr>
          <w:i/>
          <w:iCs/>
        </w:rPr>
        <w:t xml:space="preserve">Both documents should be executed and retained in NMC's corporate records.</w:t>
      </w:r>
    </w:p>
    <w:p>
      <w:pPr>
        <w:pageBreakBefore/>
      </w:pPr>
      <w:r>
        <w:br/>
      </w:r>
    </w:p>
    <w:p>
      <w:pPr>
        <w:pStyle w:val="Heading1"/>
        <w:jc w:val="center"/>
      </w:pPr>
      <w:r>
        <w:t xml:space="preserve">Intellectual Property Assignment Agreement</w:t>
      </w:r>
    </w:p>
    <w:p>
      <w:pPr>
        <w:spacing w:after="120"/>
      </w:pPr>
      <w:r>
        <w:t xml:space="preserve"/>
      </w:r>
    </w:p>
    <w:p>
      <w:pPr>
        <w:spacing w:after="160"/>
      </w:pPr>
      <w:r>
        <w:t xml:space="preserve">This Intellectual Property Assignment Agreement (the </w:t>
      </w:r>
      <w:r>
        <w:rPr>
          <w:b/>
          <w:bCs/>
        </w:rPr>
        <w:t xml:space="preserve">“Agreement”</w:t>
      </w:r>
      <w:r>
        <w:t xml:space="preserve">) is made and entered into as of </w:t>
      </w:r>
      <w:r>
        <w:rPr>
          <w:b/>
          <w:bCs/>
        </w:rPr>
        <w:t xml:space="preserve">May 9, 2026</w:t>
      </w:r>
      <w:r>
        <w:t xml:space="preserve"> (the </w:t>
      </w:r>
      <w:r>
        <w:rPr>
          <w:b/>
          <w:bCs/>
        </w:rPr>
        <w:t xml:space="preserve">“Effective Date”</w:t>
      </w:r>
      <w:r>
        <w:t xml:space="preserve">), by and between </w:t>
      </w:r>
      <w:r>
        <w:rPr>
          <w:b/>
          <w:bCs/>
        </w:rPr>
        <w:t xml:space="preserve">Cameron Miller</w:t>
      </w:r>
      <w:r>
        <w:t xml:space="preserve">, an individual residing at 45 Nelson St, Fairport, NY 14450, telephone (585) 683-3999 (the </w:t>
      </w:r>
      <w:r>
        <w:rPr>
          <w:b/>
          <w:bCs/>
        </w:rPr>
        <w:t xml:space="preserve">“Assignor”</w:t>
      </w:r>
      <w:r>
        <w:t xml:space="preserve">), and </w:t>
      </w:r>
      <w:r>
        <w:rPr>
          <w:b/>
          <w:bCs/>
        </w:rPr>
        <w:t xml:space="preserve">Next Million Consulting LLC</w:t>
      </w:r>
      <w:r>
        <w:t xml:space="preserve">, a Florida limited liability company with its principal place of business at 45 Nelson St, Fairport, NY 14450, email zeus@nextmill.ai, telephone (585) 888-5528, acting by and through its authorized signatory Cameron Miller, Founder (the </w:t>
      </w:r>
      <w:r>
        <w:rPr>
          <w:b/>
          <w:bCs/>
        </w:rPr>
        <w:t xml:space="preserve">“Assignee”</w:t>
      </w:r>
      <w:r>
        <w:t xml:space="preserve">). The Assignor and the Assignee are collectively referred to as the </w:t>
      </w:r>
      <w:r>
        <w:rPr>
          <w:b/>
          <w:bCs/>
        </w:rPr>
        <w:t xml:space="preserve">“Parties”</w:t>
      </w:r>
      <w:r>
        <w:t xml:space="preserve"> and individually as a </w:t>
      </w:r>
      <w:r>
        <w:rPr>
          <w:b/>
          <w:bCs/>
        </w:rPr>
        <w:t xml:space="preserve">“Party.”</w:t>
      </w:r>
    </w:p>
    <w:p>
      <w:pPr>
        <w:pStyle w:val="Heading2"/>
      </w:pPr>
      <w:r>
        <w:t xml:space="preserve">Recitals</w:t>
      </w:r>
    </w:p>
    <w:p>
      <w:pPr>
        <w:spacing w:after="160"/>
      </w:pPr>
      <w:r>
        <w:rPr>
          <w:b/>
          <w:bCs/>
        </w:rPr>
        <w:t xml:space="preserve">WHEREAS</w:t>
      </w:r>
      <w:r>
        <w:t xml:space="preserve">, the Assignor is the sole member and managing member of the Assignee;</w:t>
      </w:r>
    </w:p>
    <w:p>
      <w:pPr>
        <w:spacing w:after="160"/>
      </w:pPr>
      <w:r>
        <w:rPr>
          <w:b/>
          <w:bCs/>
        </w:rPr>
        <w:t xml:space="preserve">WHEREAS</w:t>
      </w:r>
      <w:r>
        <w:t xml:space="preserve">, the Assignor has developed and continues to develop a software product and related materials known as </w:t>
      </w:r>
      <w:r>
        <w:rPr>
          <w:b/>
          <w:bCs/>
        </w:rPr>
        <w:t xml:space="preserve">“TreeQ”</w:t>
      </w:r>
      <w:r>
        <w:t xml:space="preserve">, a tree-service estimating application currently accessible at the domain treeqapp.com (the </w:t>
      </w:r>
      <w:r>
        <w:rPr>
          <w:b/>
          <w:bCs/>
        </w:rPr>
        <w:t xml:space="preserve">“TreeQ Project”</w:t>
      </w:r>
      <w:r>
        <w:t xml:space="preserve">);</w:t>
      </w:r>
    </w:p>
    <w:p>
      <w:pPr>
        <w:spacing w:after="160"/>
      </w:pPr>
      <w:r>
        <w:rPr>
          <w:b/>
          <w:bCs/>
        </w:rPr>
        <w:t xml:space="preserve">WHEREAS</w:t>
      </w:r>
      <w:r>
        <w:t xml:space="preserve">, as a matter of United States copyright law and other applicable intellectual property law, original works of authorship are owned by their individual creator absent a written assignment or qualifying work-for-hire arrangement, with the result that intellectual property created by the Assignor in connection with the TreeQ Project may, absent this Agreement, be owned by the Assignor in the Assignor's individual capacity rather than by the Assignee; and</w:t>
      </w:r>
    </w:p>
    <w:p>
      <w:pPr>
        <w:spacing w:after="160"/>
      </w:pPr>
      <w:r>
        <w:rPr>
          <w:b/>
          <w:bCs/>
        </w:rPr>
        <w:t xml:space="preserve">WHEREAS</w:t>
      </w:r>
      <w:r>
        <w:t xml:space="preserve">, the Parties desire to memorialize the assignment of all such intellectual property rights to the Assignee, both for intellectual property already created and for intellectual property to be created in the future, in order to ensure that the Assignee holds clear and unencumbered title to all TreeQ Project intellectual property.</w:t>
      </w:r>
    </w:p>
    <w:p>
      <w:pPr>
        <w:spacing w:after="160"/>
      </w:pPr>
      <w:r>
        <w:rPr>
          <w:b/>
          <w:bCs/>
        </w:rPr>
        <w:t xml:space="preserve">NOW, THEREFORE</w:t>
      </w:r>
      <w:r>
        <w:t xml:space="preserve">, in consideration of the mutual covenants set forth herein, the Assignor's continuing membership interest in the Assignee, and other good and valuable consideration, the receipt and sufficiency of which are hereby acknowledged, the Parties agree as follows:</w:t>
      </w:r>
    </w:p>
    <w:p>
      <w:pPr>
        <w:pStyle w:val="Heading2"/>
      </w:pPr>
      <w:r>
        <w:t xml:space="preserve">1. Definitions</w:t>
      </w:r>
    </w:p>
    <w:p>
      <w:pPr>
        <w:spacing w:after="160"/>
      </w:pPr>
      <w:r>
        <w:rPr>
          <w:b/>
          <w:bCs/>
        </w:rPr>
        <w:t xml:space="preserve">“Intellectual Property”</w:t>
      </w:r>
      <w:r>
        <w:t xml:space="preserve"> means all intellectual property rights of every kind and description, whether arising under the laws of the United States, any state thereof, or any foreign jurisdiction, including without limitation: (a) all copyrights and copyrightable subject matter, including source code, object code, software libraries, scripts, schemas, databases, designs, user interfaces, user-experience flows, graphical assets, written content, documentation, and audiovisual works; (b) all trademarks, service marks, trade names, trade dress, logos, slogans, and goodwill associated therewith, including without limitation the mark TREEQ and any variants, stylizations, and translations thereof; (c) all patents, patent applications, and inventions, whether or not patentable; (d) all trade secrets, know-how, methodologies, formulas, algorithms, training data, model weights, prompts, and confidential information; (e) all internet domain names, including without limitation treeqapp.com, and all related social media handles, accounts, and online identifiers; (f) all rights in and to data, databases, and compilations of data; and (g) all renewals, extensions, restorations, and reversions thereof, together with the right to sue for and recover damages, profits, and any other relief for any past, present, or future infringement or misappropriation thereof.</w:t>
      </w:r>
    </w:p>
    <w:p>
      <w:pPr>
        <w:spacing w:after="160"/>
      </w:pPr>
      <w:r>
        <w:rPr>
          <w:b/>
          <w:bCs/>
        </w:rPr>
        <w:t xml:space="preserve">“TreeQ Project Intellectual Property”</w:t>
      </w:r>
      <w:r>
        <w:t xml:space="preserve"> means all Intellectual Property that has been or is hereafter created, conceived, developed, reduced to practice, acquired, or otherwise obtained by the Assignor in connection with, related to, or arising out of the TreeQ Project, including without limitation all software, codebases, repositories, designs, brand assets, marketing materials, customer lists, user data, and the domain treeqapp.com.</w:t>
      </w:r>
    </w:p>
    <w:p>
      <w:pPr>
        <w:pStyle w:val="Heading2"/>
      </w:pPr>
      <w:r>
        <w:t xml:space="preserve">2. Assignment</w:t>
      </w:r>
    </w:p>
    <w:p>
      <w:pPr>
        <w:spacing w:after="160"/>
      </w:pPr>
      <w:r>
        <w:rPr>
          <w:b/>
          <w:bCs/>
        </w:rPr>
        <w:t xml:space="preserve">2.1 Present Assignment of Existing Intellectual Property.</w:t>
      </w:r>
      <w:r>
        <w:t xml:space="preserve"> The Assignor hereby irrevocably assigns, transfers, conveys, and delivers to the Assignee, and the Assignee hereby accepts, all of the Assignor's right, title, and interest in and to the TreeQ Project Intellectual Property existing as of the Effective Date, in each case throughout the universe and in perpetuity, free and clear of all liens, encumbrances, and claims of any third party.</w:t>
      </w:r>
    </w:p>
    <w:p>
      <w:pPr>
        <w:spacing w:after="160"/>
      </w:pPr>
      <w:r>
        <w:rPr>
          <w:b/>
          <w:bCs/>
        </w:rPr>
        <w:t xml:space="preserve">2.2 Present Assignment of Future Intellectual Property.</w:t>
      </w:r>
      <w:r>
        <w:t xml:space="preserve"> The Assignor further irrevocably assigns, transfers, conveys, and delivers to the Assignee, and the Assignee hereby accepts, all of the Assignor's right, title, and interest in and to all TreeQ Project Intellectual Property that the Assignor creates, conceives, develops, reduces to practice, acquires, or otherwise obtains at any time after the Effective Date, with such assignment to be effective automatically and without further action upon the creation, conception, development, reduction to practice, acquisition, or obtaining of such Intellectual Property.</w:t>
      </w:r>
    </w:p>
    <w:p>
      <w:pPr>
        <w:spacing w:after="160"/>
      </w:pPr>
      <w:r>
        <w:rPr>
          <w:b/>
          <w:bCs/>
        </w:rPr>
        <w:t xml:space="preserve">2.3 Moral Rights Waiver.</w:t>
      </w:r>
      <w:r>
        <w:t xml:space="preserve"> To the maximum extent permitted by applicable law, the Assignor hereby irrevocably waives, and agrees never to assert against the Assignee or any of its successors, assigns, licensees, or transferees, any and all moral rights, droit moral, rights of paternity, rights of integrity, rights of disclosure, rights of withdrawal, and any similar rights of any kind that the Assignor may now have or may hereafter acquire in any of the TreeQ Project Intellectual Property.</w:t>
      </w:r>
    </w:p>
    <w:p>
      <w:pPr>
        <w:pStyle w:val="Heading2"/>
      </w:pPr>
      <w:r>
        <w:t xml:space="preserve">3. Consideration</w:t>
      </w:r>
    </w:p>
    <w:p>
      <w:pPr>
        <w:spacing w:after="160"/>
      </w:pPr>
      <w:r>
        <w:t xml:space="preserve">The assignment set forth in Section 2 is made in consideration of (a) the Assignor's continuing membership interest in the Assignee and the value the Assignee provides to the Assignor in such capacity, (b) the Assignee's bearing of the costs of operating the TreeQ Project (including software-as-a-service subscriptions, hosting, domain registration, and related infrastructure), and (c) other good and valuable consideration, the receipt and sufficiency of which are acknowledged. The Parties agree and intend that this Agreement shall qualify as a tax-free transaction under Section 351 of the Internal Revenue Code in the event of any future contribution of the TreeQ Project Intellectual Property to a successor corporate entity.</w:t>
      </w:r>
    </w:p>
    <w:p>
      <w:pPr>
        <w:pStyle w:val="Heading2"/>
      </w:pPr>
      <w:r>
        <w:t xml:space="preserve">4. Representations and Warranties of Assignor</w:t>
      </w:r>
    </w:p>
    <w:p>
      <w:pPr>
        <w:spacing w:after="160"/>
      </w:pPr>
      <w:r>
        <w:t xml:space="preserve">The Assignor represents and warrants that: (a) the Assignor is the sole creator and original author of the TreeQ Project Intellectual Property existing as of the Effective Date; (b) no other person or entity has any right, title, or interest in or to such Intellectual Property; (c) the TreeQ Project Intellectual Property does not, to the best of the Assignor's knowledge, infringe upon, misappropriate, or violate the rights of any third party; (d) the Assignor has full right, power, and authority to enter into this Agreement and to make the assignments contemplated hereby; and (e) the Assignor has not previously assigned, licensed, encumbered, or transferred any of the TreeQ Project Intellectual Property to any other person or entity.</w:t>
      </w:r>
    </w:p>
    <w:p>
      <w:pPr>
        <w:pStyle w:val="Heading2"/>
      </w:pPr>
      <w:r>
        <w:t xml:space="preserve">5. Further Assurances</w:t>
      </w:r>
    </w:p>
    <w:p>
      <w:pPr>
        <w:spacing w:after="160"/>
      </w:pPr>
      <w:r>
        <w:t xml:space="preserve">The Assignor agrees to execute and deliver, at the Assignee's request and without additional consideration, all such further instruments, documents, and assurances, and to take all such further actions, as the Assignee may reasonably deem necessary or desirable to perfect, confirm, evidence, register, record, or enforce the assignment effected hereby, including without limitation executing trademark assignments for recordation with the United States Patent and Trademark Office, copyright assignments for recordation with the United States Copyright Office, and domain-name transfer documentation.</w:t>
      </w:r>
    </w:p>
    <w:p>
      <w:pPr>
        <w:pStyle w:val="Heading2"/>
      </w:pPr>
      <w:r>
        <w:t xml:space="preserve">6. Power of Attorney</w:t>
      </w:r>
    </w:p>
    <w:p>
      <w:pPr>
        <w:spacing w:after="160"/>
      </w:pPr>
      <w:r>
        <w:t xml:space="preserve">The Assignor hereby irrevocably constitutes and appoints the Assignee, and the Assignee's authorized officers and agents, as the Assignor's attorney-in-fact, with full power of substitution, to execute, acknowledge, and deliver in the Assignor's name and on the Assignor's behalf all such further instruments and to take all such further actions described in Section 5 in the event the Assignor fails or refuses to do so within fifteen (15) days after written request. This power of attorney is coupled with an interest and shall be irrevocable.</w:t>
      </w:r>
    </w:p>
    <w:p>
      <w:pPr>
        <w:pStyle w:val="Heading2"/>
      </w:pPr>
      <w:r>
        <w:t xml:space="preserve">7. Miscellaneous</w:t>
      </w:r>
    </w:p>
    <w:p>
      <w:pPr>
        <w:spacing w:after="160"/>
      </w:pPr>
      <w:r>
        <w:rPr>
          <w:b/>
          <w:bCs/>
        </w:rPr>
        <w:t xml:space="preserve">7.1 Governing Law.</w:t>
      </w:r>
      <w:r>
        <w:t xml:space="preserve"> This Agreement shall be governed by and construed in accordance with the laws of the State of Florida, without regard to its conflict-of-laws principles.</w:t>
      </w:r>
    </w:p>
    <w:p>
      <w:pPr>
        <w:spacing w:after="160"/>
      </w:pPr>
      <w:r>
        <w:rPr>
          <w:b/>
          <w:bCs/>
        </w:rPr>
        <w:t xml:space="preserve">7.2 Entire Agreement.</w:t>
      </w:r>
      <w:r>
        <w:t xml:space="preserve"> This Agreement constitutes the entire agreement between the Parties with respect to the subject matter hereof and supersedes all prior or contemporaneous understandings, agreements, representations, and warranties, whether written or oral.</w:t>
      </w:r>
    </w:p>
    <w:p>
      <w:pPr>
        <w:spacing w:after="160"/>
      </w:pPr>
      <w:r>
        <w:rPr>
          <w:b/>
          <w:bCs/>
        </w:rPr>
        <w:t xml:space="preserve">7.3 Amendment.</w:t>
      </w:r>
      <w:r>
        <w:t xml:space="preserve"> This Agreement may be amended only by a written instrument signed by both Parties.</w:t>
      </w:r>
    </w:p>
    <w:p>
      <w:pPr>
        <w:spacing w:after="160"/>
      </w:pPr>
      <w:r>
        <w:rPr>
          <w:b/>
          <w:bCs/>
        </w:rPr>
        <w:t xml:space="preserve">7.4 Severability.</w:t>
      </w:r>
      <w:r>
        <w:t xml:space="preserve"> If any provision of this Agreement is held to be invalid or unenforceable, the remaining provisions shall remain in full force and effect, and the invalid or unenforceable provision shall be modified to the minimum extent necessary to render it valid and enforceable while preserving the intent of the Parties.</w:t>
      </w:r>
    </w:p>
    <w:p>
      <w:pPr>
        <w:spacing w:after="160"/>
      </w:pPr>
      <w:r>
        <w:rPr>
          <w:b/>
          <w:bCs/>
        </w:rPr>
        <w:t xml:space="preserve">7.5 Counterparts; Electronic Signatures.</w:t>
      </w:r>
      <w:r>
        <w:t xml:space="preserve"> This Agreement may be executed in counterparts, each of which shall be deemed an original, and all of which together shall constitute one and the same instrument. Electronic signatures and signatures delivered by PDF, DocuSign, or similar means shall be deemed original signatures for all purposes.</w:t>
      </w:r>
    </w:p>
    <w:p>
      <w:pPr>
        <w:spacing w:after="160"/>
      </w:pPr>
      <w:r>
        <w:rPr>
          <w:b/>
          <w:bCs/>
        </w:rPr>
        <w:t xml:space="preserve">7.6 Successors and Assigns.</w:t>
      </w:r>
      <w:r>
        <w:t xml:space="preserve"> This Agreement shall be binding upon and inure to the benefit of the Parties and their respective heirs, successors, and permitted assigns.</w:t>
      </w:r>
    </w:p>
    <w:p>
      <w:pPr>
        <w:spacing w:after="120"/>
      </w:pPr>
      <w:r>
        <w:t xml:space="preserve"/>
      </w:r>
    </w:p>
    <w:p>
      <w:pPr>
        <w:spacing w:after="100"/>
      </w:pPr>
      <w:r>
        <w:rPr>
          <w:b/>
          <w:bCs/>
        </w:rPr>
        <w:t xml:space="preserve">IN WITNESS WHEREOF, the Parties have executed this Agreement as of the Effective Date.</w:t>
      </w:r>
    </w:p>
    <w:p>
      <w:pPr>
        <w:spacing w:after="120"/>
      </w:pPr>
      <w:r>
        <w:t xml:space="preserve"/>
      </w:r>
    </w:p>
    <w:p>
      <w:pPr>
        <w:spacing w:after="100"/>
      </w:pPr>
      <w:r>
        <w:rPr>
          <w:b/>
          <w:bCs/>
        </w:rPr>
        <w:t xml:space="preserve">ASSIGNOR:</w:t>
      </w:r>
    </w:p>
    <w:p>
      <w:pPr>
        <w:spacing w:after="100"/>
      </w:pPr>
      <w:r>
        <w:t xml:space="preserve">Cameron Miller, individually</w:t>
      </w:r>
    </w:p>
    <w:p>
      <w:pPr>
        <w:spacing w:after="100"/>
      </w:pPr>
      <w:r>
        <w:t xml:space="preserve">Address: 45 Nelson St, Fairport, NY 14450</w:t>
      </w:r>
    </w:p>
    <w:p>
      <w:pPr>
        <w:spacing w:after="100"/>
      </w:pPr>
      <w:r>
        <w:t xml:space="preserve">Phone: (585) 683-3999</w:t>
      </w:r>
    </w:p>
    <w:p>
      <w:pPr>
        <w:spacing w:after="80" w:before="400"/>
      </w:pPr>
      <w:r>
        <w:rPr>
          <w:color w:val="FFFFFF"/>
          <w:sz w:val="4"/>
          <w:szCs w:val="4"/>
        </w:rPr>
        <w:t xml:space="preserve">\sig1\</w:t>
      </w:r>
      <w:r>
        <w:t xml:space="preserve">_____________________________________</w:t>
      </w:r>
      <w:r>
        <w:t xml:space="preserve">	Signature</w:t>
      </w:r>
    </w:p>
    <w:p>
      <w:pPr>
        <w:spacing w:after="160"/>
      </w:pPr>
      <w:r>
        <w:t xml:space="preserve">Date: </w:t>
      </w:r>
      <w:r>
        <w:rPr>
          <w:color w:val="FFFFFF"/>
          <w:sz w:val="4"/>
          <w:szCs w:val="4"/>
        </w:rPr>
        <w:t xml:space="preserve">\date1\</w:t>
      </w:r>
      <w:r>
        <w:t xml:space="preserve">____________________</w:t>
      </w:r>
    </w:p>
    <w:p>
      <w:pPr>
        <w:spacing w:after="120"/>
      </w:pPr>
      <w:r>
        <w:t xml:space="preserve"/>
      </w:r>
    </w:p>
    <w:p>
      <w:pPr>
        <w:spacing w:after="100"/>
      </w:pPr>
      <w:r>
        <w:rPr>
          <w:b/>
          <w:bCs/>
        </w:rPr>
        <w:t xml:space="preserve">ASSIGNEE:</w:t>
      </w:r>
    </w:p>
    <w:p>
      <w:pPr>
        <w:spacing w:after="100"/>
      </w:pPr>
      <w:r>
        <w:rPr>
          <w:b/>
          <w:bCs/>
        </w:rPr>
        <w:t xml:space="preserve">NEXT MILLION CONSULTING LLC</w:t>
      </w:r>
    </w:p>
    <w:p>
      <w:pPr>
        <w:spacing w:after="100"/>
      </w:pPr>
      <w:r>
        <w:t xml:space="preserve">A Florida limited liability company</w:t>
      </w:r>
    </w:p>
    <w:p>
      <w:pPr>
        <w:spacing w:after="100"/>
      </w:pPr>
      <w:r>
        <w:t xml:space="preserve">Principal place of business: 45 Nelson St, Fairport, NY 14450</w:t>
      </w:r>
    </w:p>
    <w:p>
      <w:pPr>
        <w:spacing w:after="100"/>
      </w:pPr>
      <w:r>
        <w:t xml:space="preserve">Email: zeus@nextmill.ai</w:t>
      </w:r>
    </w:p>
    <w:p>
      <w:pPr>
        <w:spacing w:after="100"/>
      </w:pPr>
      <w:r>
        <w:t xml:space="preserve">Phone: (585) 888-5528</w:t>
      </w:r>
    </w:p>
    <w:p>
      <w:pPr>
        <w:spacing w:after="80" w:before="400"/>
      </w:pPr>
      <w:r>
        <w:rPr>
          <w:color w:val="FFFFFF"/>
          <w:sz w:val="4"/>
          <w:szCs w:val="4"/>
        </w:rPr>
        <w:t xml:space="preserve">\sig2\</w:t>
      </w:r>
      <w:r>
        <w:t xml:space="preserve">_____________________________________</w:t>
      </w:r>
      <w:r>
        <w:t xml:space="preserve">	By: Cameron Miller, Founder and Authorized Signatory</w:t>
      </w:r>
    </w:p>
    <w:p>
      <w:pPr>
        <w:spacing w:after="160"/>
      </w:pPr>
      <w:r>
        <w:t xml:space="preserve">Date: </w:t>
      </w:r>
      <w:r>
        <w:rPr>
          <w:color w:val="FFFFFF"/>
          <w:sz w:val="4"/>
          <w:szCs w:val="4"/>
        </w:rPr>
        <w:t xml:space="preserve">\date2\</w:t>
      </w:r>
      <w:r>
        <w:t xml:space="preserve">____________________</w:t>
      </w:r>
    </w:p>
    <w:p>
      <w:pPr>
        <w:pageBreakBefore/>
      </w:pPr>
      <w:r>
        <w:br/>
      </w:r>
    </w:p>
    <w:p>
      <w:pPr>
        <w:pStyle w:val="Heading1"/>
        <w:jc w:val="center"/>
      </w:pPr>
      <w:r>
        <w:t xml:space="preserve">TreeQ Project Operating Memorandum</w:t>
      </w:r>
    </w:p>
    <w:p>
      <w:pPr>
        <w:spacing w:after="100"/>
        <w:jc w:val="center"/>
      </w:pPr>
      <w:r>
        <w:rPr>
          <w:i/>
          <w:iCs/>
        </w:rPr>
        <w:t xml:space="preserve">An internal governance document of Next Million Consulting LLC</w:t>
      </w:r>
    </w:p>
    <w:p>
      <w:pPr>
        <w:spacing w:after="100"/>
        <w:jc w:val="center"/>
      </w:pPr>
      <w:r>
        <w:t xml:space="preserve">Effective Date: May 9, 2026</w:t>
      </w:r>
    </w:p>
    <w:p>
      <w:pPr>
        <w:spacing w:after="120"/>
      </w:pPr>
      <w:r>
        <w:t xml:space="preserve"/>
      </w:r>
    </w:p>
    <w:p>
      <w:pPr>
        <w:pStyle w:val="Heading2"/>
      </w:pPr>
      <w:r>
        <w:t xml:space="preserve">1. Purpose</w:t>
      </w:r>
    </w:p>
    <w:p>
      <w:pPr>
        <w:spacing w:after="160"/>
      </w:pPr>
      <w:r>
        <w:t xml:space="preserve">This Operating Memorandum (the </w:t>
      </w:r>
      <w:r>
        <w:rPr>
          <w:b/>
          <w:bCs/>
        </w:rPr>
        <w:t xml:space="preserve">“Memorandum”</w:t>
      </w:r>
      <w:r>
        <w:t xml:space="preserve">) is adopted by Next Million Consulting LLC, a Florida limited liability company with its principal place of business at 45 Nelson St, Fairport, NY 14450, email zeus@nextmill.ai, telephone (585) 888-5528 (“</w:t>
      </w:r>
      <w:r>
        <w:rPr>
          <w:b/>
          <w:bCs/>
        </w:rPr>
        <w:t xml:space="preserve">NMC</w:t>
      </w:r>
      <w:r>
        <w:t xml:space="preserve">”) to document the establishment, operation, and intended future trajectory of the TreeQ Project (the “</w:t>
      </w:r>
      <w:r>
        <w:rPr>
          <w:b/>
          <w:bCs/>
        </w:rPr>
        <w:t xml:space="preserve">Project</w:t>
      </w:r>
      <w:r>
        <w:t xml:space="preserve">”) as a distinct cost center and prospective spin-out within NMC. The Memorandum is intended to provide a clear documentary record of NMC's treatment of the Project for purposes of (a) internal cost allocation, (b) intellectual property ownership, (c) future tax-free reorganization under Section 351 of the Internal Revenue Code, and (d) intercompany contractual relationships if and when the Project is incorporated into a separate legal entity.</w:t>
      </w:r>
    </w:p>
    <w:p>
      <w:pPr>
        <w:pStyle w:val="Heading2"/>
      </w:pPr>
      <w:r>
        <w:t xml:space="preserve">2. Establishment of TreeQ as a Distinct Project</w:t>
      </w:r>
    </w:p>
    <w:p>
      <w:pPr>
        <w:spacing w:after="160"/>
      </w:pPr>
      <w:r>
        <w:t xml:space="preserve">NMC hereby establishes the TreeQ Project as a distinct internal project and cost center within NMC, dedicated to the development, marketing, and commercialization of TreeQ -- a tree-service estimating software application currently accessible at treeqapp.com and intended for distribution through the Apple App Store, Google Play Store, and direct web access. The Project is operationally distinct from NMC's general consulting activities and shall be tracked separately in NMC's books and records.</w:t>
      </w:r>
    </w:p>
    <w:p>
      <w:pPr>
        <w:pStyle w:val="Heading2"/>
      </w:pPr>
      <w:r>
        <w:t xml:space="preserve">3. Intellectual Property Ownership</w:t>
      </w:r>
    </w:p>
    <w:p>
      <w:pPr>
        <w:spacing w:after="160"/>
      </w:pPr>
      <w:r>
        <w:t xml:space="preserve">All intellectual property created in connection with the Project, including without limitation source code, designs, brand assets, the TREEQ trademark, the treeqapp.com domain, customer lists, user data, marketing materials, and trade secrets, is and shall be the sole and exclusive property of NMC. To the extent any such intellectual property was or is created by Cameron Miller in his individual capacity, such intellectual property has been irrevocably assigned to NMC pursuant to the Intellectual Property Assignment Agreement of even date herewith. NMC acknowledges its ownership and shall maintain such intellectual property as a corporate asset.</w:t>
      </w:r>
    </w:p>
    <w:p>
      <w:pPr>
        <w:pStyle w:val="Heading2"/>
      </w:pPr>
      <w:r>
        <w:t xml:space="preserve">4. Cost Allocation Methodology</w:t>
      </w:r>
    </w:p>
    <w:p>
      <w:pPr>
        <w:spacing w:after="160"/>
      </w:pPr>
      <w:r>
        <w:t xml:space="preserve">NMC currently incurs expenses for various software-as-a-service subscriptions, infrastructure, and digital tools that benefit both the TreeQ Project and NMC's other activities, including without limitation Anthropic Claude (AI tooling), Netlify (hosting), Namecheap (domain registration), and various digital marketing platforms. NMC shall allocate the costs of such shared resources between the Project and NMC's other activities on a reasonable and consistent basis, using one or more of the following methodologies as appropriate:</w:t>
      </w:r>
    </w:p>
    <w:p>
      <w:pPr>
        <w:pStyle w:val="ListParagraph"/>
        <w:numPr>
          <w:ilvl w:val="0"/>
          <w:numId w:val="2"/>
        </w:numPr>
      </w:pPr>
      <w:r>
        <w:t xml:space="preserve">Pro rata allocation by usage (e.g., percentage of compute hours, requests, or seats attributable to the Project);</w:t>
      </w:r>
    </w:p>
    <w:p>
      <w:pPr>
        <w:pStyle w:val="ListParagraph"/>
        <w:numPr>
          <w:ilvl w:val="0"/>
          <w:numId w:val="2"/>
        </w:numPr>
      </w:pPr>
      <w:r>
        <w:t xml:space="preserve">Direct attribution where a service or expense is exclusively used by the Project (e.g., the treeqapp.com domain registration, App Store and Play Store developer fees);</w:t>
      </w:r>
    </w:p>
    <w:p>
      <w:pPr>
        <w:pStyle w:val="ListParagraph"/>
        <w:numPr>
          <w:ilvl w:val="0"/>
          <w:numId w:val="2"/>
        </w:numPr>
      </w:pPr>
      <w:r>
        <w:t xml:space="preserve">Reasonable estimation, where direct attribution or pro rata allocation is impractical, applied consistently from period to period.</w:t>
      </w:r>
    </w:p>
    <w:p>
      <w:pPr>
        <w:spacing w:after="160"/>
      </w:pPr>
      <w:r>
        <w:t xml:space="preserve">NMC shall maintain documentation of cost allocations sufficient to support the methodology in the event of audit by the Internal Revenue Service or by any prospective investor or acquirer. Allocations shall be reviewed and adjusted at least annually.</w:t>
      </w:r>
    </w:p>
    <w:p>
      <w:pPr>
        <w:pStyle w:val="Heading2"/>
      </w:pPr>
      <w:r>
        <w:t xml:space="preserve">5. Cost Recovery and Arm's-Length Pricing</w:t>
      </w:r>
    </w:p>
    <w:p>
      <w:pPr>
        <w:spacing w:after="160"/>
      </w:pPr>
      <w:r>
        <w:t xml:space="preserve">Until the Project is incorporated into a separate legal entity, NMC shall absorb the allocated costs of the Project as part of NMC's general operations and treat them as ordinary and necessary business expenses for federal income tax purposes. If and when the Project is incorporated into a separate legal entity (“</w:t>
      </w:r>
      <w:r>
        <w:rPr>
          <w:b/>
          <w:bCs/>
        </w:rPr>
        <w:t xml:space="preserve">TreeQ Entity</w:t>
      </w:r>
      <w:r>
        <w:t xml:space="preserve">”), NMC and the TreeQ Entity shall enter into a Master Services Agreement under which NMC continues to provide infrastructure, technology, and consulting services to the TreeQ Entity on an arm's-length basis. The arm's-length pricing shall be determined using a cost-plus methodology, with a markup of five percent (5%) to ten percent (10%) above NMC's actual allocated costs, consistent with applicable transfer-pricing principles for intercompany services between commonly controlled entities.</w:t>
      </w:r>
    </w:p>
    <w:p>
      <w:pPr>
        <w:pStyle w:val="Heading2"/>
      </w:pPr>
      <w:r>
        <w:t xml:space="preserve">6. Bookkeeping and Records</w:t>
      </w:r>
    </w:p>
    <w:p>
      <w:pPr>
        <w:spacing w:after="160"/>
      </w:pPr>
      <w:r>
        <w:t xml:space="preserve">NMC shall maintain books and records for the Project that are sufficient to permit, at any future date, the preparation of separate financial statements for the Project and the calculation of the fair market value of the Project's assets. At minimum, NMC shall:</w:t>
      </w:r>
    </w:p>
    <w:p>
      <w:pPr>
        <w:pStyle w:val="ListParagraph"/>
        <w:numPr>
          <w:ilvl w:val="0"/>
          <w:numId w:val="2"/>
        </w:numPr>
      </w:pPr>
      <w:r>
        <w:t xml:space="preserve">Track all Project-related expenses in a dedicated cost-center category (e.g., a QuickBooks class, sub-account, or department code);</w:t>
      </w:r>
    </w:p>
    <w:p>
      <w:pPr>
        <w:pStyle w:val="ListParagraph"/>
        <w:numPr>
          <w:ilvl w:val="0"/>
          <w:numId w:val="2"/>
        </w:numPr>
      </w:pPr>
      <w:r>
        <w:t xml:space="preserve">Track all Project-related revenue separately if and when revenue is generated;</w:t>
      </w:r>
    </w:p>
    <w:p>
      <w:pPr>
        <w:pStyle w:val="ListParagraph"/>
        <w:numPr>
          <w:ilvl w:val="0"/>
          <w:numId w:val="2"/>
        </w:numPr>
      </w:pPr>
      <w:r>
        <w:t xml:space="preserve">Maintain copies of all Project-related contracts, third-party agreements, and intellectual property registrations in a dedicated file;</w:t>
      </w:r>
    </w:p>
    <w:p>
      <w:pPr>
        <w:pStyle w:val="ListParagraph"/>
        <w:numPr>
          <w:ilvl w:val="0"/>
          <w:numId w:val="2"/>
        </w:numPr>
      </w:pPr>
      <w:r>
        <w:t xml:space="preserve">Document any contributions of personal time or property by Cameron Miller (in his individual capacity) to the Project for future reference in valuation analyses.</w:t>
      </w:r>
    </w:p>
    <w:p>
      <w:pPr>
        <w:pStyle w:val="Heading2"/>
      </w:pPr>
      <w:r>
        <w:t xml:space="preserve">7. Intent to Spin Out</w:t>
      </w:r>
    </w:p>
    <w:p>
      <w:pPr>
        <w:spacing w:after="160"/>
      </w:pPr>
      <w:r>
        <w:t xml:space="preserve">NMC and Cameron Miller acknowledge and intend that the Project will, at an appropriate future milestone (such as approaching a fundraising event, achieving a material revenue threshold, or other strategic trigger), be contributed to a separate legal entity, anticipated to be a Delaware C-corporation operating under the name TreeQ, Inc. or a similar name. The contribution is intended to qualify as a tax-free transaction under Section 351 of the Internal Revenue Code, with NMC (and/or Cameron Miller individually) receiving founder common stock of the TreeQ Entity in exchange for the contribution of the Project's assets. Upon such contribution, this Memorandum shall be superseded by a Master Services Agreement between NMC and the TreeQ Entity governing post-spin-out intercompany services.</w:t>
      </w:r>
    </w:p>
    <w:p>
      <w:pPr>
        <w:pStyle w:val="Heading2"/>
      </w:pPr>
      <w:r>
        <w:t xml:space="preserve">8. Liability and Insurance</w:t>
      </w:r>
    </w:p>
    <w:p>
      <w:pPr>
        <w:spacing w:after="160"/>
      </w:pPr>
      <w:r>
        <w:t xml:space="preserve">NMC's existing limited liability company status provides liability protection for the Project's operations during the period the Project is held within NMC. As the Project approaches public launch and begins generating user activity, NMC shall obtain appropriate insurance coverage, which may include general commercial liability, technology errors and omissions (E&amp;O) coverage, and cyber liability coverage, in amounts customary for early-stage software businesses.</w:t>
      </w:r>
    </w:p>
    <w:p>
      <w:pPr>
        <w:pStyle w:val="Heading2"/>
      </w:pPr>
      <w:r>
        <w:t xml:space="preserve">9. Amendment</w:t>
      </w:r>
    </w:p>
    <w:p>
      <w:pPr>
        <w:spacing w:after="160"/>
      </w:pPr>
      <w:r>
        <w:t xml:space="preserve">This Memorandum may be amended at any time by written instrument adopted by NMC's sole member. Any such amendment shall be filed with NMC's corporate records.</w:t>
      </w:r>
    </w:p>
    <w:p>
      <w:pPr>
        <w:spacing w:after="120"/>
      </w:pPr>
      <w:r>
        <w:t xml:space="preserve"/>
      </w:r>
    </w:p>
    <w:p>
      <w:pPr>
        <w:spacing w:after="100"/>
      </w:pPr>
      <w:r>
        <w:rPr>
          <w:b/>
          <w:bCs/>
        </w:rPr>
        <w:t xml:space="preserve">Adopted as of the Effective Date set forth above.</w:t>
      </w:r>
    </w:p>
    <w:p>
      <w:pPr>
        <w:spacing w:after="120"/>
      </w:pPr>
      <w:r>
        <w:t xml:space="preserve"/>
      </w:r>
    </w:p>
    <w:p>
      <w:pPr>
        <w:spacing w:after="100"/>
      </w:pPr>
      <w:r>
        <w:rPr>
          <w:b/>
          <w:bCs/>
        </w:rPr>
        <w:t xml:space="preserve">NEXT MILLION CONSULTING LLC</w:t>
      </w:r>
    </w:p>
    <w:p>
      <w:pPr>
        <w:spacing w:after="100"/>
      </w:pPr>
      <w:r>
        <w:t xml:space="preserve">A Florida limited liability company</w:t>
      </w:r>
    </w:p>
    <w:p>
      <w:pPr>
        <w:spacing w:after="100"/>
      </w:pPr>
      <w:r>
        <w:t xml:space="preserve">Principal place of business: 45 Nelson St, Fairport, NY 14450</w:t>
      </w:r>
    </w:p>
    <w:p>
      <w:pPr>
        <w:spacing w:after="100"/>
      </w:pPr>
      <w:r>
        <w:t xml:space="preserve">Email: zeus@nextmill.ai</w:t>
      </w:r>
    </w:p>
    <w:p>
      <w:pPr>
        <w:spacing w:after="100"/>
      </w:pPr>
      <w:r>
        <w:t xml:space="preserve">Phone: (585) 888-5528</w:t>
      </w:r>
    </w:p>
    <w:p>
      <w:pPr>
        <w:spacing w:after="80" w:before="400"/>
      </w:pPr>
      <w:r>
        <w:rPr>
          <w:color w:val="FFFFFF"/>
          <w:sz w:val="4"/>
          <w:szCs w:val="4"/>
        </w:rPr>
        <w:t xml:space="preserve">\sig3\</w:t>
      </w:r>
      <w:r>
        <w:t xml:space="preserve">_____________________________________</w:t>
      </w:r>
      <w:r>
        <w:t xml:space="preserve">	By: Cameron Miller, Founder and Authorized Signatory</w:t>
      </w:r>
    </w:p>
    <w:p>
      <w:pPr>
        <w:spacing w:after="160"/>
      </w:pPr>
      <w:r>
        <w:t xml:space="preserve">Date: </w:t>
      </w:r>
      <w:r>
        <w:rPr>
          <w:color w:val="FFFFFF"/>
          <w:sz w:val="4"/>
          <w:szCs w:val="4"/>
        </w:rPr>
        <w:t xml:space="preserve">\date3\</w:t>
      </w:r>
      <w:r>
        <w:t xml:space="preserve">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2026-05-10T02:00:59.273Z</dcterms:created>
  <dcterms:modified xsi:type="dcterms:W3CDTF">2026-05-10T02:00:59.274Z</dcterms:modified>
</cp:coreProperties>
</file>

<file path=docProps/custom.xml><?xml version="1.0" encoding="utf-8"?>
<Properties xmlns="http://schemas.openxmlformats.org/officeDocument/2006/custom-properties" xmlns:vt="http://schemas.openxmlformats.org/officeDocument/2006/docPropsVTypes"/>
</file>