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USPTO Trademark Application — TreeQ</w:t>
      </w:r>
    </w:p>
    <w:p>
      <w:pPr>
        <w:spacing w:after="160"/>
        <w:jc w:val="center"/>
      </w:pPr>
      <w:r>
        <w:rPr>
          <w:i/>
          <w:iCs/>
        </w:rPr>
        <w:t xml:space="preserve">TEAS Plus Filing Package | Application Content &amp; Filing Instructions</w:t>
      </w:r>
    </w:p>
    <w:p>
      <w:pPr>
        <w:spacing w:after="160"/>
        <w:jc w:val="center"/>
      </w:pPr>
      <w:r>
        <w:t xml:space="preserve">Prepared: May 9, 2026</w:t>
      </w:r>
    </w:p>
    <w:p>
      <w:pPr>
        <w:spacing w:after="120"/>
      </w:pPr>
      <w:r>
        <w:t xml:space="preserve"/>
      </w:r>
    </w:p>
    <w:p>
      <w:pPr>
        <w:pStyle w:val="Heading2"/>
      </w:pPr>
      <w:r>
        <w:t xml:space="preserve">How to Use This Document</w:t>
      </w:r>
    </w:p>
    <w:p>
      <w:pPr>
        <w:spacing w:after="160"/>
      </w:pPr>
      <w:r>
        <w:t xml:space="preserve">This document contains all the content you'll need to file a TEAS Plus trademark application for the mark </w:t>
      </w:r>
      <w:r>
        <w:rPr>
          <w:b/>
          <w:bCs/>
        </w:rPr>
        <w:t xml:space="preserve">TREEQ</w:t>
      </w:r>
      <w:r>
        <w:t xml:space="preserve"> on the USPTO Trademark Center at </w:t>
      </w:r>
      <w:r>
        <w:rPr>
          <w:b/>
          <w:bCs/>
        </w:rPr>
        <w:t xml:space="preserve">https://trademarkcenter.uspto.gov</w:t>
      </w:r>
      <w:r>
        <w:t xml:space="preserve">. Each section corresponds to a screen or field on the USPTO application. Copy and paste the values into the application form. Items marked </w:t>
      </w:r>
      <w:r>
        <w:rPr>
          <w:b/>
          <w:bCs/>
          <w:color w:val="C00000"/>
        </w:rPr>
        <w:t xml:space="preserve">[FILL IN]</w:t>
      </w:r>
      <w:r>
        <w:t xml:space="preserve"> require information you'll need to enter at filing time.</w:t>
      </w:r>
    </w:p>
    <w:p>
      <w:pPr>
        <w:pStyle w:val="Heading2"/>
      </w:pPr>
      <w:r>
        <w:t xml:space="preserve">1. Applicant Information</w:t>
      </w:r>
    </w:p>
    <w:p>
      <w:pPr>
        <w:spacing w:after="160"/>
      </w:pPr>
      <w:r>
        <w:rPr>
          <w:b/>
          <w:bCs/>
        </w:rPr>
        <w:t xml:space="preserve">Owner Name: </w:t>
      </w:r>
      <w:r>
        <w:t xml:space="preserve">Next Million Consulting LLC</w:t>
      </w:r>
    </w:p>
    <w:p>
      <w:pPr>
        <w:spacing w:after="160"/>
      </w:pPr>
      <w:r>
        <w:rPr>
          <w:b/>
          <w:bCs/>
        </w:rPr>
        <w:t xml:space="preserve">Owner Type: </w:t>
      </w:r>
      <w:r>
        <w:t xml:space="preserve">Limited Liability Company</w:t>
      </w:r>
    </w:p>
    <w:p>
      <w:pPr>
        <w:spacing w:after="160"/>
      </w:pPr>
      <w:r>
        <w:rPr>
          <w:b/>
          <w:bCs/>
        </w:rPr>
        <w:t xml:space="preserve">State or Country of Organization: </w:t>
      </w:r>
      <w:r>
        <w:rPr>
          <w:color w:val="C00000"/>
        </w:rPr>
        <w:t xml:space="preserve">[FILL IN — the U.S. state where NMC is registered]</w:t>
      </w:r>
    </w:p>
    <w:p>
      <w:pPr>
        <w:spacing w:after="160"/>
      </w:pPr>
      <w:r>
        <w:rPr>
          <w:b/>
          <w:bCs/>
        </w:rPr>
        <w:t xml:space="preserve">Owner Address: </w:t>
      </w:r>
      <w:r>
        <w:rPr>
          <w:color w:val="C00000"/>
        </w:rPr>
        <w:t xml:space="preserve">[FILL IN — NMC's principal place of business address. Do NOT use the SnapMailbox address. Use a current valid address.]</w:t>
      </w:r>
    </w:p>
    <w:p>
      <w:pPr>
        <w:spacing w:after="160"/>
      </w:pPr>
      <w:r>
        <w:rPr>
          <w:b/>
          <w:bCs/>
        </w:rPr>
        <w:t xml:space="preserve">Owner Email: </w:t>
      </w:r>
      <w:r>
        <w:t xml:space="preserve">cameronemiller3@gmail.com (or a dedicated business email if preferred)</w:t>
      </w:r>
    </w:p>
    <w:p>
      <w:pPr>
        <w:spacing w:after="160"/>
      </w:pPr>
      <w:r>
        <w:rPr>
          <w:b/>
          <w:bCs/>
        </w:rPr>
        <w:t xml:space="preserve">Owner Phone: </w:t>
      </w:r>
      <w:r>
        <w:rPr>
          <w:color w:val="C00000"/>
        </w:rPr>
        <w:t xml:space="preserve">[FILL IN]</w:t>
      </w:r>
    </w:p>
    <w:p>
      <w:pPr>
        <w:spacing w:after="160"/>
      </w:pPr>
      <w:r>
        <w:rPr>
          <w:b/>
          <w:bCs/>
        </w:rPr>
        <w:t xml:space="preserve">Authorized Signatory: </w:t>
      </w:r>
      <w:r>
        <w:t xml:space="preserve">Cameron Miller, Sole Member</w:t>
      </w:r>
    </w:p>
    <w:p>
      <w:pPr>
        <w:pStyle w:val="Heading2"/>
      </w:pPr>
      <w:r>
        <w:t xml:space="preserve">2. Mark Information</w:t>
      </w:r>
    </w:p>
    <w:p>
      <w:pPr>
        <w:spacing w:after="160"/>
      </w:pPr>
      <w:r>
        <w:rPr>
          <w:b/>
          <w:bCs/>
        </w:rPr>
        <w:t xml:space="preserve">Mark Literal Element: </w:t>
      </w:r>
      <w:r>
        <w:t xml:space="preserve">TREEQ</w:t>
      </w:r>
    </w:p>
    <w:p>
      <w:pPr>
        <w:spacing w:after="160"/>
      </w:pPr>
      <w:r>
        <w:rPr>
          <w:b/>
          <w:bCs/>
        </w:rPr>
        <w:t xml:space="preserve">Mark Type: </w:t>
      </w:r>
      <w:r>
        <w:t xml:space="preserve">Standard Character Mark (no design, color, or stylization claimed)</w:t>
      </w:r>
    </w:p>
    <w:p>
      <w:pPr>
        <w:spacing w:after="160"/>
      </w:pPr>
      <w:r>
        <w:rPr>
          <w:b/>
          <w:bCs/>
        </w:rPr>
        <w:t xml:space="preserve">Why standard character: </w:t>
      </w:r>
      <w:r>
        <w:t xml:space="preserve">A standard character claim provides the broadest protection because it covers the mark in any font, size, or style. Filing a design mark would require submitting an exact logo and would be limited to that specific design. Standard character is recommended for early-stage app brands.</w:t>
      </w:r>
    </w:p>
    <w:p>
      <w:pPr>
        <w:spacing w:after="160"/>
      </w:pPr>
      <w:r>
        <w:rPr>
          <w:b/>
          <w:bCs/>
        </w:rPr>
        <w:t xml:space="preserve">Color Claim: </w:t>
      </w:r>
      <w:r>
        <w:t xml:space="preserve">No (color is not claimed as a feature of the mark)</w:t>
      </w:r>
    </w:p>
    <w:p>
      <w:pPr>
        <w:spacing w:after="160"/>
      </w:pPr>
      <w:r>
        <w:rPr>
          <w:b/>
          <w:bCs/>
        </w:rPr>
        <w:t xml:space="preserve">Translation: </w:t>
      </w:r>
      <w:r>
        <w:t xml:space="preserve">None (the mark is a coined term in English)</w:t>
      </w:r>
    </w:p>
    <w:p>
      <w:pPr>
        <w:spacing w:after="160"/>
      </w:pPr>
      <w:r>
        <w:rPr>
          <w:b/>
          <w:bCs/>
        </w:rPr>
        <w:t xml:space="preserve">Mark Disclaimer: </w:t>
      </w:r>
      <w:r>
        <w:t xml:space="preserve">None recommended. “TREEQ” is a coined term and not generic or merely descriptive of the goods/services.</w:t>
      </w:r>
    </w:p>
    <w:p>
      <w:pPr>
        <w:pStyle w:val="Heading2"/>
      </w:pPr>
      <w:r>
        <w:t xml:space="preserve">3. Filing Basis</w:t>
      </w:r>
    </w:p>
    <w:p>
      <w:pPr>
        <w:spacing w:after="160"/>
      </w:pPr>
      <w:r>
        <w:rPr>
          <w:b/>
          <w:bCs/>
        </w:rPr>
        <w:t xml:space="preserve">Recommended Basis: </w:t>
      </w:r>
      <w:r>
        <w:rPr>
          <w:b/>
          <w:bCs/>
        </w:rPr>
        <w:t xml:space="preserve">Section 1(b) — Intent to Use</w:t>
      </w:r>
    </w:p>
    <w:p>
      <w:pPr>
        <w:spacing w:after="160"/>
      </w:pPr>
      <w:r>
        <w:t xml:space="preserve">Why 1(b) Intent to Use: </w:t>
      </w:r>
      <w:r>
        <w:t xml:space="preserve">Class 9 (downloadable mobile applications) requires the mark to be in use in commerce on a publicly available downloadable application before a specimen of use can be submitted. The TreeQ app is not yet available on the Apple App Store or Google Play Store. Filing as 1(b) Intent to Use locks in your priority date today and gives you up to 36 months (initial 6-month deadline plus up to five 6-month extensions at $125/extension) to demonstrate use in commerce.</w:t>
      </w:r>
    </w:p>
    <w:p>
      <w:pPr>
        <w:spacing w:after="160"/>
      </w:pPr>
      <w:r>
        <w:rPr>
          <w:b/>
          <w:bCs/>
        </w:rPr>
        <w:t xml:space="preserve">After app launch:</w:t>
      </w:r>
      <w:r>
        <w:t xml:space="preserve"> You'll file a Statement of Use ($150 per class) with specimens (App Store / Play Store listing screenshots) to convert from 1(b) to 1(a) and proceed to registration.</w:t>
      </w:r>
    </w:p>
    <w:p>
      <w:pPr>
        <w:spacing w:after="160"/>
      </w:pPr>
      <w:r>
        <w:rPr>
          <w:b/>
          <w:bCs/>
        </w:rPr>
        <w:t xml:space="preserve">Alternative — Section 1(a) Use in Commerce for Class 42 only:</w:t>
      </w:r>
      <w:r>
        <w:t xml:space="preserve"> If treeqapp.com is currently operational, accessible to users, and being used by any tree-service professionals to generate estimates (even free users), the Class 42 SaaS service may already be in use in commerce. In that case, you could file Class 42 as 1(a) and Class 9 as 1(b). However, filing both as 1(b) is simpler and avoids any risk of the application being challenged for premature use. Recommend 1(b) for both classes.</w:t>
      </w:r>
    </w:p>
    <w:p>
      <w:pPr>
        <w:pStyle w:val="Heading2"/>
      </w:pPr>
      <w:r>
        <w:t xml:space="preserve">4. Goods and Services — International Class 9</w:t>
      </w:r>
    </w:p>
    <w:p>
      <w:pPr>
        <w:spacing w:after="160"/>
      </w:pPr>
      <w:r>
        <w:rPr>
          <w:b/>
          <w:bCs/>
        </w:rPr>
        <w:t xml:space="preserve">International Class: </w:t>
      </w:r>
      <w:r>
        <w:t xml:space="preserve">009</w:t>
      </w:r>
    </w:p>
    <w:p>
      <w:pPr>
        <w:spacing w:after="160"/>
      </w:pPr>
      <w:r>
        <w:rPr>
          <w:b/>
          <w:bCs/>
        </w:rPr>
        <w:t xml:space="preserve">Identification of Goods (use this exact language):</w:t>
      </w:r>
    </w:p>
    <w:p>
      <w:pPr>
        <w:spacing w:after="160"/>
        <w:ind w:left="720"/>
      </w:pPr>
      <w:r>
        <w:rPr>
          <w:i/>
          <w:iCs/>
        </w:rPr>
        <w:t xml:space="preserve">Downloadable mobile application software for tree service estimating, namely, software for performing aerial measurement of trees, generating tree removal and tree care cost estimates, and creating quotes for tree care services</w:t>
      </w:r>
    </w:p>
    <w:p>
      <w:pPr>
        <w:spacing w:after="160"/>
      </w:pPr>
      <w:r>
        <w:rPr>
          <w:b/>
          <w:bCs/>
        </w:rPr>
        <w:t xml:space="preserve">Filing Basis for Class 9: </w:t>
      </w:r>
      <w:r>
        <w:t xml:space="preserve">Section 1(b) Intent to Use</w:t>
      </w:r>
    </w:p>
    <w:p>
      <w:pPr>
        <w:pStyle w:val="Heading2"/>
      </w:pPr>
      <w:r>
        <w:t xml:space="preserve">5. Goods and Services — International Class 42</w:t>
      </w:r>
    </w:p>
    <w:p>
      <w:pPr>
        <w:spacing w:after="160"/>
      </w:pPr>
      <w:r>
        <w:rPr>
          <w:b/>
          <w:bCs/>
        </w:rPr>
        <w:t xml:space="preserve">International Class: </w:t>
      </w:r>
      <w:r>
        <w:t xml:space="preserve">042</w:t>
      </w:r>
    </w:p>
    <w:p>
      <w:pPr>
        <w:spacing w:after="160"/>
      </w:pPr>
      <w:r>
        <w:rPr>
          <w:b/>
          <w:bCs/>
        </w:rPr>
        <w:t xml:space="preserve">Identification of Services (use this exact language):</w:t>
      </w:r>
    </w:p>
    <w:p>
      <w:pPr>
        <w:spacing w:after="160"/>
        <w:ind w:left="720"/>
      </w:pPr>
      <w:r>
        <w:rPr>
          <w:i/>
          <w:iCs/>
        </w:rPr>
        <w:t xml:space="preserve">Software as a service (SAAS) services featuring software for tree service estimating, aerial measurement of trees, generating tree removal and tree care cost estimates, and creating quotes for tree care services; providing temporary use of online non-downloadable software for tree service estimating</w:t>
      </w:r>
    </w:p>
    <w:p>
      <w:pPr>
        <w:spacing w:after="160"/>
      </w:pPr>
      <w:r>
        <w:rPr>
          <w:b/>
          <w:bCs/>
        </w:rPr>
        <w:t xml:space="preserve">Filing Basis for Class 42: </w:t>
      </w:r>
      <w:r>
        <w:t xml:space="preserve">Section 1(b) Intent to Use</w:t>
      </w:r>
    </w:p>
    <w:p>
      <w:pPr>
        <w:pStyle w:val="Heading2"/>
      </w:pPr>
      <w:r>
        <w:t xml:space="preserve">6. TEAS Plus Eligibility Requirements (Confirm at Filing)</w:t>
      </w:r>
    </w:p>
    <w:p>
      <w:pPr>
        <w:spacing w:after="160"/>
      </w:pPr>
      <w:r>
        <w:t xml:space="preserve">TEAS Plus has stricter requirements than TEAS Standard but costs $250/class instead of $350/class. To remain eligible for TEAS Plus, the application must:</w:t>
      </w:r>
    </w:p>
    <w:p>
      <w:pPr>
        <w:pStyle w:val="ListParagraph"/>
        <w:numPr>
          <w:ilvl w:val="0"/>
          <w:numId w:val="2"/>
        </w:numPr>
      </w:pPr>
      <w:r>
        <w:t xml:space="preserve">Use only identification language from the USPTO ID Manual (the language above has been drafted to comply);</w:t>
      </w:r>
    </w:p>
    <w:p>
      <w:pPr>
        <w:pStyle w:val="ListParagraph"/>
        <w:numPr>
          <w:ilvl w:val="0"/>
          <w:numId w:val="2"/>
        </w:numPr>
      </w:pPr>
      <w:r>
        <w:t xml:space="preserve">Include all required information at filing (no missing fields);</w:t>
      </w:r>
    </w:p>
    <w:p>
      <w:pPr>
        <w:pStyle w:val="ListParagraph"/>
        <w:numPr>
          <w:ilvl w:val="0"/>
          <w:numId w:val="2"/>
        </w:numPr>
      </w:pPr>
      <w:r>
        <w:t xml:space="preserve">Pay all filing fees electronically at the time of filing;</w:t>
      </w:r>
    </w:p>
    <w:p>
      <w:pPr>
        <w:pStyle w:val="ListParagraph"/>
        <w:numPr>
          <w:ilvl w:val="0"/>
          <w:numId w:val="2"/>
        </w:numPr>
      </w:pPr>
      <w:r>
        <w:t xml:space="preserve">Authorize email correspondence (default for online applications);</w:t>
      </w:r>
    </w:p>
    <w:p>
      <w:pPr>
        <w:pStyle w:val="ListParagraph"/>
        <w:numPr>
          <w:ilvl w:val="0"/>
          <w:numId w:val="2"/>
        </w:numPr>
      </w:pPr>
      <w:r>
        <w:t xml:space="preserve">File only in English.</w:t>
      </w:r>
    </w:p>
    <w:p>
      <w:pPr>
        <w:spacing w:after="160"/>
      </w:pPr>
      <w:r>
        <w:t xml:space="preserve">If at any point during examination the application falls out of TEAS Plus compliance (e.g., the examiner requires non-ID-Manual language), the USPTO will charge an additional $125/class fee. Generally not a concern for a clean application like this one.</w:t>
      </w:r>
    </w:p>
    <w:p>
      <w:pPr>
        <w:pStyle w:val="Heading2"/>
      </w:pPr>
      <w:r>
        <w:t xml:space="preserve">7. Filing Fees</w:t>
      </w:r>
    </w:p>
    <w:p>
      <w:pPr>
        <w:spacing w:after="160"/>
      </w:pPr>
      <w:r>
        <w:rPr>
          <w:b/>
          <w:bCs/>
        </w:rPr>
        <w:t xml:space="preserve">Class 9 (TEAS Plus): </w:t>
      </w:r>
      <w:r>
        <w:t xml:space="preserve">$250</w:t>
      </w:r>
    </w:p>
    <w:p>
      <w:pPr>
        <w:spacing w:after="160"/>
      </w:pPr>
      <w:r>
        <w:rPr>
          <w:b/>
          <w:bCs/>
        </w:rPr>
        <w:t xml:space="preserve">Class 42 (TEAS Plus): </w:t>
      </w:r>
      <w:r>
        <w:t xml:space="preserve">$250</w:t>
      </w:r>
    </w:p>
    <w:p>
      <w:pPr>
        <w:spacing w:after="160"/>
      </w:pPr>
      <w:r>
        <w:rPr>
          <w:b/>
          <w:bCs/>
        </w:rPr>
        <w:t xml:space="preserve">Total at filing: </w:t>
      </w:r>
      <w:r>
        <w:t xml:space="preserve">$500</w:t>
      </w:r>
    </w:p>
    <w:p>
      <w:pPr>
        <w:spacing w:after="160"/>
      </w:pPr>
      <w:r>
        <w:rPr>
          <w:b/>
          <w:bCs/>
        </w:rPr>
        <w:t xml:space="preserve">Future fees (when converting from Intent to Use to actual use): </w:t>
      </w:r>
      <w:r>
        <w:t xml:space="preserve">$150 per class for Statement of Use ($300 total). $125 per 6-month extension if needed.</w:t>
      </w:r>
    </w:p>
    <w:p>
      <w:pPr>
        <w:pStyle w:val="Heading2"/>
      </w:pPr>
      <w:r>
        <w:t xml:space="preserve">8. Verification and Signature</w:t>
      </w:r>
    </w:p>
    <w:p>
      <w:pPr>
        <w:spacing w:after="160"/>
      </w:pPr>
      <w:r>
        <w:t xml:space="preserve">The application requires a verified declaration. The signatory must declare under penalty of perjury that:</w:t>
      </w:r>
    </w:p>
    <w:p>
      <w:pPr>
        <w:pStyle w:val="ListParagraph"/>
        <w:numPr>
          <w:ilvl w:val="0"/>
          <w:numId w:val="2"/>
        </w:numPr>
      </w:pPr>
      <w:r>
        <w:t xml:space="preserve">The applicant has a bona fide intent to use the mark in commerce on the goods/services listed;</w:t>
      </w:r>
    </w:p>
    <w:p>
      <w:pPr>
        <w:pStyle w:val="ListParagraph"/>
        <w:numPr>
          <w:ilvl w:val="0"/>
          <w:numId w:val="2"/>
        </w:numPr>
      </w:pPr>
      <w:r>
        <w:t xml:space="preserve">The signatory believes the applicant is the owner of the mark;</w:t>
      </w:r>
    </w:p>
    <w:p>
      <w:pPr>
        <w:pStyle w:val="ListParagraph"/>
        <w:numPr>
          <w:ilvl w:val="0"/>
          <w:numId w:val="2"/>
        </w:numPr>
      </w:pPr>
      <w:r>
        <w:t xml:space="preserve">To the signatory's knowledge, no other person or entity has the right to use the mark in commerce in a manner likely to cause confusion;</w:t>
      </w:r>
    </w:p>
    <w:p>
      <w:pPr>
        <w:pStyle w:val="ListParagraph"/>
        <w:numPr>
          <w:ilvl w:val="0"/>
          <w:numId w:val="2"/>
        </w:numPr>
      </w:pPr>
      <w:r>
        <w:t xml:space="preserve">All statements made in the application are true.</w:t>
      </w:r>
    </w:p>
    <w:p>
      <w:pPr>
        <w:spacing w:after="160"/>
      </w:pPr>
      <w:r>
        <w:rPr>
          <w:b/>
          <w:bCs/>
        </w:rPr>
        <w:t xml:space="preserve">Signatory: </w:t>
      </w:r>
      <w:r>
        <w:t xml:space="preserve">Cameron Miller, Sole Member of Next Million Consulting LLC</w:t>
      </w:r>
    </w:p>
    <w:p>
      <w:pPr>
        <w:spacing w:after="160"/>
      </w:pPr>
      <w:r>
        <w:rPr>
          <w:b/>
          <w:bCs/>
        </w:rPr>
        <w:t xml:space="preserve">Signature method: </w:t>
      </w:r>
      <w:r>
        <w:t xml:space="preserve">Electronic signature using the format /Cameron Miller/ (forward slashes around the typed name) is the USPTO standard.</w:t>
      </w:r>
    </w:p>
    <w:p>
      <w:pPr>
        <w:pStyle w:val="Heading2"/>
      </w:pPr>
      <w:r>
        <w:t xml:space="preserve">9. Step-by-Step Filing Instructions</w:t>
      </w:r>
    </w:p>
    <w:p>
      <w:pPr>
        <w:pStyle w:val="ListParagraph"/>
        <w:numPr>
          <w:ilvl w:val="0"/>
          <w:numId w:val="3"/>
        </w:numPr>
      </w:pPr>
      <w:r>
        <w:t xml:space="preserve">Go to </w:t>
      </w:r>
      <w:r>
        <w:rPr>
          <w:b/>
          <w:bCs/>
        </w:rPr>
        <w:t xml:space="preserve">https://trademarkcenter.uspto.gov</w:t>
      </w:r>
    </w:p>
    <w:p>
      <w:pPr>
        <w:pStyle w:val="ListParagraph"/>
        <w:numPr>
          <w:ilvl w:val="0"/>
          <w:numId w:val="3"/>
        </w:numPr>
      </w:pPr>
      <w:r>
        <w:t xml:space="preserve">Create a USPTO.gov account (free) if you don't already have one. The account must be in the name of the human signatory (Cameron Miller).</w:t>
      </w:r>
    </w:p>
    <w:p>
      <w:pPr>
        <w:pStyle w:val="ListParagraph"/>
        <w:numPr>
          <w:ilvl w:val="0"/>
          <w:numId w:val="3"/>
        </w:numPr>
      </w:pPr>
      <w:r>
        <w:t xml:space="preserve">Click “File a New Application” and select “TEAS Plus.”</w:t>
      </w:r>
    </w:p>
    <w:p>
      <w:pPr>
        <w:pStyle w:val="ListParagraph"/>
        <w:numPr>
          <w:ilvl w:val="0"/>
          <w:numId w:val="3"/>
        </w:numPr>
      </w:pPr>
      <w:r>
        <w:t xml:space="preserve">Enter the applicant information from Section 1 above.</w:t>
      </w:r>
    </w:p>
    <w:p>
      <w:pPr>
        <w:pStyle w:val="ListParagraph"/>
        <w:numPr>
          <w:ilvl w:val="0"/>
          <w:numId w:val="3"/>
        </w:numPr>
      </w:pPr>
      <w:r>
        <w:t xml:space="preserve">Enter the mark as a Standard Character Mark: TREEQ.</w:t>
      </w:r>
    </w:p>
    <w:p>
      <w:pPr>
        <w:pStyle w:val="ListParagraph"/>
        <w:numPr>
          <w:ilvl w:val="0"/>
          <w:numId w:val="3"/>
        </w:numPr>
      </w:pPr>
      <w:r>
        <w:t xml:space="preserve">Add Class 9 with the exact identification language from Section 4. Select Section 1(b) Intent to Use as the basis.</w:t>
      </w:r>
    </w:p>
    <w:p>
      <w:pPr>
        <w:pStyle w:val="ListParagraph"/>
        <w:numPr>
          <w:ilvl w:val="0"/>
          <w:numId w:val="3"/>
        </w:numPr>
      </w:pPr>
      <w:r>
        <w:t xml:space="preserve">Add Class 42 with the exact identification language from Section 5. Select Section 1(b) Intent to Use as the basis.</w:t>
      </w:r>
    </w:p>
    <w:p>
      <w:pPr>
        <w:pStyle w:val="ListParagraph"/>
        <w:numPr>
          <w:ilvl w:val="0"/>
          <w:numId w:val="3"/>
        </w:numPr>
      </w:pPr>
      <w:r>
        <w:t xml:space="preserve">Designate Cameron Miller, Sole Member, as the authorized signatory.</w:t>
      </w:r>
    </w:p>
    <w:p>
      <w:pPr>
        <w:pStyle w:val="ListParagraph"/>
        <w:numPr>
          <w:ilvl w:val="0"/>
          <w:numId w:val="3"/>
        </w:numPr>
      </w:pPr>
      <w:r>
        <w:t xml:space="preserve">Sign the verification using the /Cameron Miller/ format.</w:t>
      </w:r>
    </w:p>
    <w:p>
      <w:pPr>
        <w:pStyle w:val="ListParagraph"/>
        <w:numPr>
          <w:ilvl w:val="0"/>
          <w:numId w:val="3"/>
        </w:numPr>
      </w:pPr>
      <w:r>
        <w:t xml:space="preserve">Pay $500 by credit card or USPTO deposit account.</w:t>
      </w:r>
    </w:p>
    <w:p>
      <w:pPr>
        <w:pStyle w:val="ListParagraph"/>
        <w:numPr>
          <w:ilvl w:val="0"/>
          <w:numId w:val="3"/>
        </w:numPr>
      </w:pPr>
      <w:r>
        <w:t xml:space="preserve">Save the confirmation page and serial number. You'll receive an email confirmation within 24 hours.</w:t>
      </w:r>
    </w:p>
    <w:p>
      <w:pPr>
        <w:pStyle w:val="Heading2"/>
      </w:pPr>
      <w:r>
        <w:t xml:space="preserve">10. After Filing — What to Expect</w:t>
      </w:r>
    </w:p>
    <w:p>
      <w:pPr>
        <w:pStyle w:val="ListParagraph"/>
        <w:numPr>
          <w:ilvl w:val="0"/>
          <w:numId w:val="2"/>
        </w:numPr>
      </w:pPr>
      <w:r>
        <w:rPr>
          <w:b/>
          <w:bCs/>
        </w:rPr>
        <w:t xml:space="preserve">Filing receipt: </w:t>
      </w:r>
      <w:r>
        <w:t xml:space="preserve">Same-day or next-business-day email confirmation with serial number.</w:t>
      </w:r>
    </w:p>
    <w:p>
      <w:pPr>
        <w:pStyle w:val="ListParagraph"/>
        <w:numPr>
          <w:ilvl w:val="0"/>
          <w:numId w:val="2"/>
        </w:numPr>
      </w:pPr>
      <w:r>
        <w:rPr>
          <w:b/>
          <w:bCs/>
        </w:rPr>
        <w:t xml:space="preserve">Examiner assignment: </w:t>
      </w:r>
      <w:r>
        <w:t xml:space="preserve">Approximately 7–10 months (current USPTO examination timeline as of 2026).</w:t>
      </w:r>
    </w:p>
    <w:p>
      <w:pPr>
        <w:pStyle w:val="ListParagraph"/>
        <w:numPr>
          <w:ilvl w:val="0"/>
          <w:numId w:val="2"/>
        </w:numPr>
      </w:pPr>
      <w:r>
        <w:rPr>
          <w:b/>
          <w:bCs/>
        </w:rPr>
        <w:t xml:space="preserve">Office Actions: </w:t>
      </w:r>
      <w:r>
        <w:t xml:space="preserve">If the examiner finds issues, you'll receive an Office Action requiring response within 3 months. Common issues for app marks: identification language refinement, descriptiveness refusal, prior-mark conflicts. Most are resolvable.</w:t>
      </w:r>
    </w:p>
    <w:p>
      <w:pPr>
        <w:pStyle w:val="ListParagraph"/>
        <w:numPr>
          <w:ilvl w:val="0"/>
          <w:numId w:val="2"/>
        </w:numPr>
      </w:pPr>
      <w:r>
        <w:rPr>
          <w:b/>
          <w:bCs/>
        </w:rPr>
        <w:t xml:space="preserve">Publication: </w:t>
      </w:r>
      <w:r>
        <w:t xml:space="preserve">Once approved, the mark is published in the USPTO Official Gazette for a 30-day opposition period during which third parties can challenge.</w:t>
      </w:r>
    </w:p>
    <w:p>
      <w:pPr>
        <w:pStyle w:val="ListParagraph"/>
        <w:numPr>
          <w:ilvl w:val="0"/>
          <w:numId w:val="2"/>
        </w:numPr>
      </w:pPr>
      <w:r>
        <w:rPr>
          <w:b/>
          <w:bCs/>
        </w:rPr>
        <w:t xml:space="preserve">Notice of Allowance: </w:t>
      </w:r>
      <w:r>
        <w:t xml:space="preserve">If no opposition, USPTO issues a Notice of Allowance. You then have 6 months to file a Statement of Use with specimens, or to request a 6-month extension.</w:t>
      </w:r>
    </w:p>
    <w:p>
      <w:pPr>
        <w:pStyle w:val="ListParagraph"/>
        <w:numPr>
          <w:ilvl w:val="0"/>
          <w:numId w:val="2"/>
        </w:numPr>
      </w:pPr>
      <w:r>
        <w:rPr>
          <w:b/>
          <w:bCs/>
        </w:rPr>
        <w:t xml:space="preserve">Registration: </w:t>
      </w:r>
      <w:r>
        <w:t xml:space="preserve">After acceptable Statement of Use is filed, the mark is registered. Total timeline from filing to registration: typically 12–18 months for a clean application.</w:t>
      </w:r>
    </w:p>
    <w:p>
      <w:pPr>
        <w:pStyle w:val="Heading2"/>
      </w:pPr>
      <w:r>
        <w:t xml:space="preserve">11. Future Trademark Assignment to TreeQ, Inc.</w:t>
      </w:r>
    </w:p>
    <w:p>
      <w:pPr>
        <w:spacing w:after="160"/>
      </w:pPr>
      <w:r>
        <w:t xml:space="preserve">When the TreeQ Project is later contributed to a Delaware C-corporation (TreeQ, Inc.) under Section 351, the trademark must be assigned with the rest of the TreeQ assets. The trademark assignment is a separate USPTO filing called a Trademark Assignment, recorded with the USPTO Assignment Recordation Branch. Filing fee: $40 per mark per assignment. The assignment document itself is straightforward (assignor: NMC; assignee: TreeQ, Inc.; consideration: stock issued under Section 351). This is routine and well-documented.</w:t>
      </w:r>
    </w:p>
    <w:p>
      <w:pPr>
        <w:pStyle w:val="Heading2"/>
      </w:pPr>
      <w:r>
        <w:t xml:space="preserve">12. Recommended Companion Filings</w:t>
      </w:r>
    </w:p>
    <w:p>
      <w:pPr>
        <w:pStyle w:val="ListParagraph"/>
        <w:numPr>
          <w:ilvl w:val="0"/>
          <w:numId w:val="2"/>
        </w:numPr>
      </w:pPr>
      <w:r>
        <w:rPr>
          <w:b/>
          <w:bCs/>
        </w:rPr>
        <w:t xml:space="preserve">State trademark: </w:t>
      </w:r>
      <w:r>
        <w:t xml:space="preserve">Typically not necessary if you have federal protection, but some states offer cheap supplemental registration.</w:t>
      </w:r>
    </w:p>
    <w:p>
      <w:pPr>
        <w:pStyle w:val="ListParagraph"/>
        <w:numPr>
          <w:ilvl w:val="0"/>
          <w:numId w:val="2"/>
        </w:numPr>
      </w:pPr>
      <w:r>
        <w:rPr>
          <w:b/>
          <w:bCs/>
        </w:rPr>
        <w:t xml:space="preserve">Domain protection: </w:t>
      </w:r>
      <w:r>
        <w:t xml:space="preserve">Already have treeqapp.com. Consider also registering treeq.app, treeq.io, treeq.co if budget allows, to prevent cybersquatting.</w:t>
      </w:r>
    </w:p>
    <w:p>
      <w:pPr>
        <w:pStyle w:val="ListParagraph"/>
        <w:numPr>
          <w:ilvl w:val="0"/>
          <w:numId w:val="2"/>
        </w:numPr>
      </w:pPr>
      <w:r>
        <w:rPr>
          <w:b/>
          <w:bCs/>
        </w:rPr>
        <w:t xml:space="preserve">Social handles: </w:t>
      </w:r>
      <w:r>
        <w:t xml:space="preserve">Reserve @treeq or @treeqapp on Instagram, X, TikTok, LinkedIn, and YouTube before filing makes the brand publicly visible to squatters.</w:t>
      </w:r>
    </w:p>
    <w:p>
      <w:pPr>
        <w:pStyle w:val="ListParagraph"/>
        <w:numPr>
          <w:ilvl w:val="0"/>
          <w:numId w:val="2"/>
        </w:numPr>
      </w:pPr>
      <w:r>
        <w:rPr>
          <w:b/>
          <w:bCs/>
        </w:rPr>
        <w:t xml:space="preserve">Copyright registration: </w:t>
      </w:r>
      <w:r>
        <w:t xml:space="preserve">Optional but useful for the TreeQ source code (single registration covers all code at time of filing for $65). Strengthens enforcement if anyone copies the codebase.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 w:type="paragraph" w:styleId="Heading3">
    <w:name w:val="Heading 3"/>
    <w:basedOn w:val="Normal"/>
    <w:next w:val="Normal"/>
    <w:qFormat/>
    <w:pPr>
      <w:spacing w:after="12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2026-05-09T23:03:58.470Z</dcterms:created>
  <dcterms:modified xsi:type="dcterms:W3CDTF">2026-05-09T23:03:58.470Z</dcterms:modified>
</cp:coreProperties>
</file>

<file path=docProps/custom.xml><?xml version="1.0" encoding="utf-8"?>
<Properties xmlns="http://schemas.openxmlformats.org/officeDocument/2006/custom-properties" xmlns:vt="http://schemas.openxmlformats.org/officeDocument/2006/docPropsVTypes"/>
</file>