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Calibri" w:cs="Calibri" w:eastAsia="Calibri" w:hAnsi="Calibri"/>
          <w:b/>
          <w:bCs/>
          <w:color w:val="00FF41"/>
          <w:sz w:val="72"/>
          <w:szCs w:val="72"/>
        </w:rPr>
        <w:t xml:space="preserve">NEUFLOWX</w:t>
      </w:r>
    </w:p>
    <w:p>
      <w:pPr>
        <w:spacing w:after="40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94A3B8"/>
          <w:sz w:val="32"/>
          <w:szCs w:val="32"/>
        </w:rPr>
        <w:t xml:space="preserve">DASHBOARD - DOCUMENTAÇÃO TÉCNICA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color w:val="1E293B"/>
          <w:sz w:val="24"/>
          <w:szCs w:val="24"/>
        </w:rPr>
        <w:t xml:space="preserve">Plataforma de Orquestração Financeira B2B2C</w:t>
      </w:r>
    </w:p>
    <w:p>
      <w:pPr>
        <w:spacing w:after="100" w:before="40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Versão 2.4.1-beta</w:t>
      </w:r>
    </w:p>
    <w:p>
      <w:pPr>
        <w:spacing w:after="100" w:before="800"/>
        <w:jc w:val="center"/>
      </w:pPr>
      <w:r>
        <w:rPr>
          <w:rFonts w:ascii="Calibri" w:cs="Calibri" w:eastAsia="Calibri" w:hAnsi="Calibri"/>
          <w:color w:val="00F0FF"/>
          <w:sz w:val="20"/>
          <w:szCs w:val="20"/>
        </w:rPr>
        <w:t xml:space="preserve">• Multi-Provider Routing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color w:val="00F0FF"/>
          <w:sz w:val="20"/>
          <w:szCs w:val="20"/>
        </w:rPr>
        <w:t xml:space="preserve">• 11 Mercados • 72 Trilhos de Pagamento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color w:val="00F0FF"/>
          <w:sz w:val="20"/>
          <w:szCs w:val="20"/>
        </w:rPr>
        <w:t xml:space="preserve">• Pipeline Financeiro em Tempo Real</w:t>
      </w:r>
    </w:p>
    <w:p>
      <w:pPr>
        <w:spacing w:before="2000"/>
        <w:jc w:val="center"/>
      </w:pPr>
      <w:r>
        <w:rPr>
          <w:color w:val="64748B"/>
          <w:sz w:val="20"/>
          <w:szCs w:val="20"/>
        </w:rPr>
        <w:t xml:space="preserve">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NeXTrustX Hub</w:t>
      </w:r>
    </w:p>
    <w:p>
      <w:pPr>
        <w:spacing w:before="100"/>
        <w:jc w:val="center"/>
      </w:pPr>
      <w:r>
        <w:rPr>
          <w:rFonts w:ascii="Calibri" w:cs="Calibri" w:eastAsia="Calibri" w:hAnsi="Calibri"/>
          <w:color w:val="94A3B8"/>
          <w:sz w:val="18"/>
          <w:szCs w:val="18"/>
        </w:rPr>
        <w:t xml:space="preserve">https://github.com/nextrustx-hub/NeXFlowX-Dashboard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200" w:before="0"/>
      </w:pPr>
      <w:r>
        <w:rPr>
          <w:b/>
          <w:bCs/>
          <w:sz w:val="36"/>
          <w:szCs w:val="36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Introdução ao Projeto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 Visão e Objetivos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 Casos de Uso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2. Arquitetura Técnica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 Stack Tecnológico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 Estrutura do Projeto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2.3 Design System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3. Funcionalidades Ativas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3.1 Sistema de Autenticação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3.2 Dashboard Overview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3.3 Pipeline Financeiro (Logistic Pipeline)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3.4 Matriz de Capacidade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3.5 Tabela de Transações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3.6 Gerador de Links de Pagamento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3.7 Gestão de API e Integrações</w:t>
          </w:r>
          <w:r>
            <w:tab/>
          </w:r>
          <w:r>
            <w:t>9</w:t>
          </w:r>
        </w:p>
        <w:p>
          <w:pPr>
            <w:pStyle w:val="9"/>
            <w:tabs>
              <w:tab w:val="right" w:leader="dot" w:pos="9026"/>
            </w:tabs>
          </w:pPr>
          <w:r>
            <w:t>4. Contrato API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 Base URL e Autenticação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4.2 Endpoints Disponíveis</w:t>
          </w:r>
          <w:r>
            <w:tab/>
          </w:r>
          <w:r>
            <w:t>10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4.2.1 Autenticação</w:t>
          </w:r>
          <w:r>
            <w:tab/>
          </w:r>
          <w:r>
            <w:t>10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4.2.2 Pipeline</w:t>
          </w:r>
          <w:r>
            <w:tab/>
          </w:r>
          <w:r>
            <w:t>11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4.2.3 Transações</w:t>
          </w:r>
          <w:r>
            <w:tab/>
          </w:r>
          <w:r>
            <w:t>12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4.2.4 Links de Pagamento</w:t>
          </w:r>
          <w:r>
            <w:tab/>
          </w:r>
          <w:r>
            <w:t>12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4.2.5 API Keys</w:t>
          </w:r>
          <w:r>
            <w:tab/>
          </w:r>
          <w:r>
            <w:t>13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4.2.6 Usuário e Webhooks</w:t>
          </w:r>
          <w:r>
            <w:tab/>
          </w:r>
          <w:r>
            <w:t>14</w:t>
          </w:r>
        </w:p>
        <w:p>
          <w:pPr>
            <w:pStyle w:val="9"/>
            <w:tabs>
              <w:tab w:val="right" w:leader="dot" w:pos="9026"/>
            </w:tabs>
          </w:pPr>
          <w:r>
            <w:t>5. Propostas de Evolução para v3.0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5.1 Dashboard Avançado com Analytics em Tempo Real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5.2 Multi-Tenancy e Gestão de Organizações</w:t>
          </w:r>
          <w:r>
            <w:tab/>
          </w:r>
          <w:r>
            <w:t>16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5.3 Motor de Regras de Routing Dinâmico</w:t>
          </w:r>
          <w:r>
            <w:tab/>
          </w:r>
          <w:r>
            <w:t>16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5.4 Sistema de Notificações em Tempo Real</w:t>
          </w:r>
          <w:r>
            <w:tab/>
          </w:r>
          <w:r>
            <w:t>17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5.5 Compliance e Auditoria Avançada</w:t>
          </w:r>
          <w:r>
            <w:tab/>
          </w:r>
          <w:r>
            <w:t>17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5.6 Integração com Inteligência Artificial</w:t>
          </w:r>
          <w:r>
            <w:tab/>
          </w:r>
          <w:r>
            <w:t>18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5.7 Expansão de Mercados e Trilhos</w:t>
          </w:r>
          <w:r>
            <w:tab/>
          </w:r>
          <w:r>
            <w:t>18</w:t>
          </w:r>
        </w:p>
        <w:p>
          <w:pPr>
            <w:pStyle w:val="9"/>
            <w:tabs>
              <w:tab w:val="right" w:leader="dot" w:pos="9026"/>
            </w:tabs>
          </w:pPr>
          <w:r>
            <w:t>6. Conclusão</w:t>
          </w:r>
          <w:r>
            <w:tab/>
          </w:r>
          <w:r>
            <w:t>19</w:t>
          </w:r>
        </w:p>
        <w:p>
          <w:r>
            <w:fldChar w:fldCharType="end"/>
          </w:r>
        </w:p>
      </w:sdtContent>
    </w:sdt>
    <w:p>
      <w:pPr>
        <w:spacing w:after="400" w:before="200"/>
        <w:jc w:val="center"/>
      </w:pPr>
      <w:r>
        <w:rPr>
          <w:i/>
          <w:iCs/>
          <w:color w:val="999999"/>
          <w:sz w:val="18"/>
          <w:szCs w:val="18"/>
        </w:rPr>
        <w:t xml:space="preserve">Nota: Este Índice é gerado através de códigos de campo. Para garantir a precisão dos números de página após a edição, clique com o botão direito no Índice e selecione "Atualizar Campo".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Introdução ao Projeto</w:t>
      </w:r>
    </w:p>
    <w:p>
      <w:pPr>
        <w:spacing w:line="250"/>
      </w:pPr>
      <w:r>
        <w:t xml:space="preserve">O NeXFlowX Dashboard é uma plataforma de orquestração financeira B2B2C (Business-to-Business-to-Consumer) projetada para monitorar, rotear e gerenciar fluxos de pagamento transfronteiriços em tempo real. A plataforma atua como uma "Control Tower" centralizada que permite às empresas visualizar e controlar todas as suas operações financeiras através de uma única interface unificada.</w:t>
      </w:r>
    </w:p>
    <w:p>
      <w:pPr>
        <w:spacing w:before="200" w:line="250"/>
      </w:pPr>
      <w:r>
        <w:t xml:space="preserve">O sistema suporta múltiplos providers de pagamento e routing dinâmico, permitindo que as empresas otimizem suas operações financeiras ao redor do mundo com base em disponibilidade, custo e performance. A arquitetura foi concebida para ser escalável, segura e altamente resiliente, com monitoramento 24/7 e pipeline financeiro em tempo real.</w:t>
      </w:r>
    </w:p>
    <w:p>
      <w:pPr>
        <w:pStyle w:val="Heading2"/>
        <w:spacing w:before="400"/>
      </w:pPr>
      <w:r>
        <w:t xml:space="preserve">1.1 Visão e Objetivos</w:t>
      </w:r>
    </w:p>
    <w:p>
      <w:pPr>
        <w:spacing w:line="250"/>
      </w:pPr>
      <w:r>
        <w:t xml:space="preserve">A visão do NeXFlowX é transformar a complexidade dos pagamentos globais em uma experiência transparente e controlada. Os objetivos principais incluem:</w:t>
      </w:r>
    </w:p>
    <w:p>
      <w:pPr>
        <w:pStyle w:val="ListParagraph"/>
        <w:numPr>
          <w:ilvl w:val="0"/>
          <w:numId w:val="2"/>
        </w:numPr>
        <w:spacing w:line="250"/>
      </w:pPr>
      <w:r>
        <w:t xml:space="preserve">Fornecer visibilidade em tempo real de todas as transações em todos os estágios do pipeline financeiro</w:t>
      </w:r>
    </w:p>
    <w:p>
      <w:pPr>
        <w:pStyle w:val="ListParagraph"/>
        <w:numPr>
          <w:ilvl w:val="0"/>
          <w:numId w:val="2"/>
        </w:numPr>
        <w:spacing w:line="250"/>
      </w:pPr>
      <w:r>
        <w:t xml:space="preserve">Automatizar o roteamento de pagamentos para múltiplos providers baseado em regras de negócio</w:t>
      </w:r>
    </w:p>
    <w:p>
      <w:pPr>
        <w:pStyle w:val="ListParagraph"/>
        <w:numPr>
          <w:ilvl w:val="0"/>
          <w:numId w:val="2"/>
        </w:numPr>
        <w:spacing w:line="250"/>
      </w:pPr>
      <w:r>
        <w:t xml:space="preserve">Garantir alta disponibilidade através de redundância de providers e trilhos de pagamento</w:t>
      </w:r>
    </w:p>
    <w:p>
      <w:pPr>
        <w:pStyle w:val="ListParagraph"/>
        <w:numPr>
          <w:ilvl w:val="0"/>
          <w:numId w:val="2"/>
        </w:numPr>
        <w:spacing w:line="250"/>
      </w:pPr>
      <w:r>
        <w:t xml:space="preserve">Simplificar a integração com novos mercados e métodos de pagamento através de API unificada</w:t>
      </w:r>
    </w:p>
    <w:p>
      <w:pPr>
        <w:pStyle w:val="ListParagraph"/>
        <w:numPr>
          <w:ilvl w:val="0"/>
          <w:numId w:val="2"/>
        </w:numPr>
        <w:spacing w:line="250"/>
      </w:pPr>
      <w:r>
        <w:t xml:space="preserve">Prover análises detalhadas e métricas para tomada de decisões estratégicas</w:t>
      </w:r>
    </w:p>
    <w:p>
      <w:pPr>
        <w:pStyle w:val="Heading2"/>
        <w:spacing w:before="400"/>
      </w:pPr>
      <w:r>
        <w:t xml:space="preserve">1.2 Casos de Uso</w:t>
      </w:r>
    </w:p>
    <w:p>
      <w:pPr>
        <w:spacing w:line="250"/>
      </w:pPr>
      <w:r>
        <w:t xml:space="preserve">O NeXFlowX Dashboard é projetado para atender a diversos cenários de negócio:</w:t>
      </w:r>
    </w:p>
    <w:p>
      <w:pPr>
        <w:pStyle w:val="ListParagraph"/>
        <w:numPr>
          <w:ilvl w:val="0"/>
          <w:numId w:val="3"/>
        </w:numPr>
        <w:spacing w:line="250"/>
      </w:pPr>
      <w:r>
        <w:t xml:space="preserve">Marketplaces e E-commerce: Gerenciamento de pagamentos de múltiplos vendedores e compradores</w:t>
      </w:r>
    </w:p>
    <w:p>
      <w:pPr>
        <w:pStyle w:val="ListParagraph"/>
        <w:numPr>
          <w:ilvl w:val="0"/>
          <w:numId w:val="3"/>
        </w:numPr>
        <w:spacing w:line="250"/>
      </w:pPr>
      <w:r>
        <w:t xml:space="preserve">SaaS Companies: Processamento de assinaturas e pagamentos recorrentes globais</w:t>
      </w:r>
    </w:p>
    <w:p>
      <w:pPr>
        <w:pStyle w:val="ListParagraph"/>
        <w:numPr>
          <w:ilvl w:val="0"/>
          <w:numId w:val="3"/>
        </w:numPr>
        <w:spacing w:line="250"/>
      </w:pPr>
      <w:r>
        <w:t xml:space="preserve">Empresas de Logística: Pagamentos cross-border relacionados a remessas e transporte</w:t>
      </w:r>
    </w:p>
    <w:p>
      <w:pPr>
        <w:pStyle w:val="ListParagraph"/>
        <w:numPr>
          <w:ilvl w:val="0"/>
          <w:numId w:val="3"/>
        </w:numPr>
        <w:spacing w:line="250"/>
      </w:pPr>
      <w:r>
        <w:t xml:space="preserve">Instituições Financeiras: Orquestração de transferências internacionais e conversões FX</w:t>
      </w:r>
    </w:p>
    <w:p>
      <w:pPr>
        <w:pStyle w:val="Heading1"/>
        <w:spacing w:before="600"/>
      </w:pPr>
      <w:r>
        <w:t xml:space="preserve">2. Arquitetura Técnica</w:t>
      </w:r>
    </w:p>
    <w:p>
      <w:pPr>
        <w:pStyle w:val="Heading2"/>
        <w:spacing w:before="400"/>
      </w:pPr>
      <w:r>
        <w:t xml:space="preserve">2.1 Stack Tecnológico</w:t>
      </w:r>
    </w:p>
    <w:p>
      <w:pPr>
        <w:spacing w:line="250"/>
      </w:pPr>
      <w:r>
        <w:t xml:space="preserve">O NeXFlowX Dashboard utiliza uma stack moderna e robusta, otimizada para performance e escalabilidade:</w:t>
      </w:r>
    </w:p>
    <w:p>
      <w:pPr>
        <w:pStyle w:val="ListParagraph"/>
        <w:numPr>
          <w:ilvl w:val="0"/>
          <w:numId w:val="4"/>
        </w:numPr>
        <w:spacing w:line="250"/>
      </w:pPr>
      <w:r>
        <w:t xml:space="preserve">Framework: Next.js 16 com App Router</w:t>
      </w:r>
    </w:p>
    <w:p>
      <w:pPr>
        <w:pStyle w:val="ListParagraph"/>
        <w:numPr>
          <w:ilvl w:val="0"/>
          <w:numId w:val="4"/>
        </w:numPr>
        <w:spacing w:line="250"/>
      </w:pPr>
      <w:r>
        <w:t xml:space="preserve">Linguagem: TypeScript 5 com tipagem estrita</w:t>
      </w:r>
    </w:p>
    <w:p>
      <w:pPr>
        <w:pStyle w:val="ListParagraph"/>
        <w:numPr>
          <w:ilvl w:val="0"/>
          <w:numId w:val="4"/>
        </w:numPr>
        <w:spacing w:line="250"/>
      </w:pPr>
      <w:r>
        <w:t xml:space="preserve">Frontend: React 19 com componentes server/client</w:t>
      </w:r>
    </w:p>
    <w:p>
      <w:pPr>
        <w:pStyle w:val="ListParagraph"/>
        <w:numPr>
          <w:ilvl w:val="0"/>
          <w:numId w:val="4"/>
        </w:numPr>
        <w:spacing w:line="250"/>
      </w:pPr>
      <w:r>
        <w:t xml:space="preserve">Estilização: Tailwind CSS 4 com design system Cyberpunk/Hacker-Punk</w:t>
      </w:r>
    </w:p>
    <w:p>
      <w:pPr>
        <w:pStyle w:val="ListParagraph"/>
        <w:numPr>
          <w:ilvl w:val="0"/>
          <w:numId w:val="4"/>
        </w:numPr>
        <w:spacing w:line="250"/>
      </w:pPr>
      <w:r>
        <w:t xml:space="preserve">UI Components: shadcn/ui (New York style) com 40+ componentes</w:t>
      </w:r>
    </w:p>
    <w:p>
      <w:pPr>
        <w:pStyle w:val="ListParagraph"/>
        <w:numPr>
          <w:ilvl w:val="0"/>
          <w:numId w:val="4"/>
        </w:numPr>
        <w:spacing w:line="250"/>
      </w:pPr>
      <w:r>
        <w:t xml:space="preserve">State Management: Zustand para estado client-side</w:t>
      </w:r>
    </w:p>
    <w:p>
      <w:pPr>
        <w:pStyle w:val="ListParagraph"/>
        <w:numPr>
          <w:ilvl w:val="0"/>
          <w:numId w:val="4"/>
        </w:numPr>
        <w:spacing w:line="250"/>
      </w:pPr>
      <w:r>
        <w:t xml:space="preserve">Server State: TanStack Query para cache e sincronização</w:t>
      </w:r>
    </w:p>
    <w:p>
      <w:pPr>
        <w:pStyle w:val="ListParagraph"/>
        <w:numPr>
          <w:ilvl w:val="0"/>
          <w:numId w:val="4"/>
        </w:numPr>
        <w:spacing w:line="250"/>
      </w:pPr>
      <w:r>
        <w:t xml:space="preserve">Banco de Dados: Prisma ORM com SQLite (client-side)</w:t>
      </w:r>
    </w:p>
    <w:p>
      <w:pPr>
        <w:pStyle w:val="ListParagraph"/>
        <w:numPr>
          <w:ilvl w:val="0"/>
          <w:numId w:val="4"/>
        </w:numPr>
        <w:spacing w:line="250"/>
      </w:pPr>
      <w:r>
        <w:t xml:space="preserve">Autenticação: NextAuth.js v4 com JWT tokens</w:t>
      </w:r>
    </w:p>
    <w:p>
      <w:pPr>
        <w:pStyle w:val="Heading2"/>
        <w:spacing w:before="400"/>
      </w:pPr>
      <w:r>
        <w:t xml:space="preserve">2.2 Estrutura do Projeto</w:t>
      </w:r>
    </w:p>
    <w:p>
      <w:pPr>
        <w:spacing w:line="250"/>
      </w:pPr>
      <w:r>
        <w:t xml:space="preserve">A estrutura do projeto segue as melhores práticas do Next.js 16: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Diretório</w:t>
            </w:r>
          </w:p>
        </w:tc>
        <w:tc>
          <w:tcPr>
            <w:tcW w:type="dxa" w:w="63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/src/app</w:t>
            </w:r>
          </w:p>
        </w:tc>
        <w:tc>
          <w:tcPr>
            <w:tcW w:type="dxa" w:w="63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r>
              <w:t xml:space="preserve">Rotas Next.js com App Router (page.tsx, layout.tsx, api/)</w:t>
            </w:r>
          </w:p>
        </w:tc>
      </w:tr>
      <w:tr>
        <w:tc>
          <w:tcPr>
            <w:tcW w:type="dxa" w:w="30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/src/components</w:t>
            </w:r>
          </w:p>
        </w:tc>
        <w:tc>
          <w:tcPr>
            <w:tcW w:type="dxa" w:w="63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r>
              <w:t xml:space="preserve">Componentes React reutilizáveis (dashboard/, ui/)</w:t>
            </w:r>
          </w:p>
        </w:tc>
      </w:tr>
      <w:tr>
        <w:tc>
          <w:tcPr>
            <w:tcW w:type="dxa" w:w="30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/src/lib</w:t>
            </w:r>
          </w:p>
        </w:tc>
        <w:tc>
          <w:tcPr>
            <w:tcW w:type="dxa" w:w="63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r>
              <w:t xml:space="preserve">Lógica de negócio, stores, API client e contratos TypeScript</w:t>
            </w:r>
          </w:p>
        </w:tc>
      </w:tr>
      <w:tr>
        <w:tc>
          <w:tcPr>
            <w:tcW w:type="dxa" w:w="30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/prisma</w:t>
            </w:r>
          </w:p>
        </w:tc>
        <w:tc>
          <w:tcPr>
            <w:tcW w:type="dxa" w:w="63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r>
              <w:t xml:space="preserve">Schema e configurações do Prisma ORM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Tabela 1: Estrutura de diretórios do projeto</w:t>
      </w:r>
    </w:p>
    <w:p>
      <w:pPr>
        <w:pStyle w:val="Heading2"/>
        <w:spacing w:before="400"/>
      </w:pPr>
      <w:r>
        <w:t xml:space="preserve">2.3 Design System</w:t>
      </w:r>
    </w:p>
    <w:p>
      <w:pPr>
        <w:spacing w:line="250"/>
      </w:pPr>
      <w:r>
        <w:t xml:space="preserve">O sistema de design adota um tema Cyberpunk/Hacker-Punk com as seguintes características: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Cor Primária (Neon Green): #00FF41 - Para elementos de sucesso e ações principais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Cor Secundária (Neon Cyan): #00F0FF - Para informações e estado de processamento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Cor de Alerta (Amber): #FFB800 - Para avisos e estados de espera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Cor de Erro (Red): #FF0040 - Para falhas e ações destrutivas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Cor de Acento (Purple): #BF40FF - Para estados de conclusão e destaque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Background: #0A0A0C - Fundo escuro para redução de fadiga visual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Fonte Mono: Para dados técnicos e valores monetários</w:t>
      </w:r>
    </w:p>
    <w:p>
      <w:pPr>
        <w:pStyle w:val="Heading1"/>
        <w:spacing w:before="600"/>
      </w:pPr>
      <w:r>
        <w:t xml:space="preserve">3. Funcionalidades Ativas</w:t>
      </w:r>
    </w:p>
    <w:p>
      <w:pPr>
        <w:pStyle w:val="Heading2"/>
        <w:spacing w:before="400"/>
      </w:pPr>
      <w:r>
        <w:t xml:space="preserve">3.1 Sistema de Autenticação</w:t>
      </w:r>
    </w:p>
    <w:p>
      <w:pPr>
        <w:spacing w:line="250"/>
      </w:pPr>
      <w:r>
        <w:t xml:space="preserve">O sistema implementa autenticação segura com JWT (JSON Web Tokens):</w:t>
      </w:r>
    </w:p>
    <w:p>
      <w:pPr>
        <w:pStyle w:val="ListParagraph"/>
        <w:numPr>
          <w:ilvl w:val="0"/>
          <w:numId w:val="6"/>
        </w:numPr>
        <w:spacing w:line="250"/>
      </w:pPr>
      <w:r>
        <w:t xml:space="preserve">Login com credenciais (username/password)</w:t>
      </w:r>
    </w:p>
    <w:p>
      <w:pPr>
        <w:pStyle w:val="ListParagraph"/>
        <w:numPr>
          <w:ilvl w:val="0"/>
          <w:numId w:val="6"/>
        </w:numPr>
        <w:spacing w:line="250"/>
      </w:pPr>
      <w:r>
        <w:t xml:space="preserve">Tokens JWT armazenados em localStorage</w:t>
      </w:r>
    </w:p>
    <w:p>
      <w:pPr>
        <w:pStyle w:val="ListParagraph"/>
        <w:numPr>
          <w:ilvl w:val="0"/>
          <w:numId w:val="6"/>
        </w:numPr>
        <w:spacing w:line="250"/>
      </w:pPr>
      <w:r>
        <w:t xml:space="preserve">Refresh tokens para renovação automática de sessão</w:t>
      </w:r>
    </w:p>
    <w:p>
      <w:pPr>
        <w:pStyle w:val="ListParagraph"/>
        <w:numPr>
          <w:ilvl w:val="0"/>
          <w:numId w:val="6"/>
        </w:numPr>
        <w:spacing w:line="250"/>
      </w:pPr>
      <w:r>
        <w:t xml:space="preserve">Validação de token ao carregar a aplicação</w:t>
      </w:r>
    </w:p>
    <w:p>
      <w:pPr>
        <w:pStyle w:val="ListParagraph"/>
        <w:numPr>
          <w:ilvl w:val="0"/>
          <w:numId w:val="6"/>
        </w:numPr>
        <w:spacing w:line="250"/>
      </w:pPr>
      <w:r>
        <w:t xml:space="preserve">Logout com limpeza segura de credenciais</w:t>
      </w:r>
    </w:p>
    <w:p>
      <w:pPr>
        <w:pStyle w:val="ListParagraph"/>
        <w:numPr>
          <w:ilvl w:val="0"/>
          <w:numId w:val="6"/>
        </w:numPr>
        <w:spacing w:line="250"/>
      </w:pPr>
      <w:r>
        <w:t xml:space="preserve">Credenciais de teste: NeXFlowX / Nex123456789*</w:t>
      </w:r>
    </w:p>
    <w:p>
      <w:pPr>
        <w:pStyle w:val="Heading2"/>
        <w:spacing w:before="400"/>
      </w:pPr>
      <w:r>
        <w:t xml:space="preserve">3.2 Dashboard Overview</w:t>
      </w:r>
    </w:p>
    <w:p>
      <w:pPr>
        <w:spacing w:line="250"/>
      </w:pPr>
      <w:r>
        <w:t xml:space="preserve">A visão geral do dashboard proporciona KPIs em tempo real e atividade recente: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Capital em Trânsito: Valor total em processamento nos estágios do pipeline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Capital Distribuído: Valor total já liquidado aos merchants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Gateway Confirmados: Número de transações validadas pelo gateway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Total de Transações: Contagem de todas as transações em todos os estágios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Atividade Recente: Feed das últimas 10 transações em tempo real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Highlight Automático: Rails prioritários destacados com base em regras de negócio</w:t>
      </w:r>
    </w:p>
    <w:p>
      <w:pPr>
        <w:pStyle w:val="Heading2"/>
        <w:spacing w:before="400"/>
      </w:pPr>
      <w:r>
        <w:t xml:space="preserve">3.3 Pipeline Financeiro (Logistic Pipeline)</w:t>
      </w:r>
    </w:p>
    <w:p>
      <w:pPr>
        <w:spacing w:line="250"/>
      </w:pPr>
      <w:r>
        <w:t xml:space="preserve">O pipeline financeiro visualiza o fluxo das transações através de 5 estágios: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Gateway Confirmado: Pagamento validado pelo provider de pagamento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Holding Provider: Capital em retenção (escrow) aguardando processamento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FX em Trânsito: Conversão de moeda ou transferência em curso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Carteira Inventário: Fundos disponíveis para liquidação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Distribuído: Valor liquidado ao merchant final</w:t>
      </w:r>
    </w:p>
    <w:p>
      <w:pPr>
        <w:spacing w:before="200" w:line="250"/>
      </w:pPr>
      <w:r>
        <w:t xml:space="preserve">Cada estágio exibe o valor total em processamento, número de transações e porcentagem em relação ao volume total. O usuário pode clicar em qualquer estágio para filtrar as transações e ver detalhes específicos.</w:t>
      </w:r>
    </w:p>
    <w:p>
      <w:pPr>
        <w:pStyle w:val="Heading2"/>
        <w:spacing w:before="400"/>
      </w:pPr>
      <w:r>
        <w:t xml:space="preserve">3.4 Matriz de Capacidade</w:t>
      </w:r>
    </w:p>
    <w:p>
      <w:pPr>
        <w:spacing w:line="250"/>
      </w:pPr>
      <w:r>
        <w:t xml:space="preserve">A matriz de capacidade exibe a disponibilidade de trilhos de pagamento em 11 mercados: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11 Países: Portugal, Espanha, França, Países Baixos, Bélgica, Áustria, Polónia, Reino Unido, Suíça, Alemanha, Itália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72 Trilhos de Pagamento: Múltiplos métodos por país (Cards, PIX, MBWay, iDEAL, Bancontact, etc.)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Status de Disponibilidade: AVAILABLE, LIMITED, CRITICAL, INTEGRATION_IN_PROGRESS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Capacidade de Volume: UNLIMITED, LIMITED, DEPLETED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Rails Locais: Marcados com flag is_local para métodos específicos do mercado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Auto-Highlight: Rails essenciais automaticamente destacados (ex: iDEAL para Holanda)</w:t>
      </w:r>
    </w:p>
    <w:p>
      <w:pPr>
        <w:pStyle w:val="Heading2"/>
        <w:spacing w:before="400"/>
      </w:pPr>
      <w:r>
        <w:t xml:space="preserve">3.5 Tabela de Transações</w:t>
      </w:r>
    </w:p>
    <w:p>
      <w:pPr>
        <w:spacing w:line="250"/>
      </w:pPr>
      <w:r>
        <w:t xml:space="preserve">A tabela de transações fornece acesso detalhado a todas as operações: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Filtragem por status, país, período e busca textual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Presets de período: 7 dias, 30 dias, 90 dias, Este mês, Mês passado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KPIs agregados: Valor bruto, valor líquido, número de transações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Detalhes por transação: ID, status, tipo, país, método, pagador, valor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Atualização de status: Avanço manual para o próximo estágio do pipeline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Exportação CSV: Exportação completa de transações filtradas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Paginação: Navegação eficiente através de grandes volumes de dados</w:t>
      </w:r>
    </w:p>
    <w:p>
      <w:pPr>
        <w:pStyle w:val="Heading2"/>
        <w:spacing w:before="400"/>
      </w:pPr>
      <w:r>
        <w:t xml:space="preserve">3.6 Gerador de Links de Pagamento</w:t>
      </w:r>
    </w:p>
    <w:p>
      <w:pPr>
        <w:spacing w:line="250"/>
      </w:pPr>
      <w:r>
        <w:t xml:space="preserve">O gerador de links de pagamento permite criar checkouts rapidamente: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Definição de valor e moeda (EUR, USD, GBP, BRL, KES, NGN)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Descrição opcional para referência interna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Criação de link via API: POST /api/v1/payment-links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Auto-abertura do checkout em nova aba: https://pay.nexflowx.tech/{id}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Cópia do link para compartilhamento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Cópia de mensagem formatada para redes sociais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Visualização dos trilhos disponíveis com status de capacidade</w:t>
      </w:r>
    </w:p>
    <w:p>
      <w:pPr>
        <w:pStyle w:val="Heading2"/>
        <w:spacing w:before="400"/>
      </w:pPr>
      <w:r>
        <w:t xml:space="preserve">3.7 Gestão de API e Integrações</w:t>
      </w:r>
    </w:p>
    <w:p>
      <w:pPr>
        <w:spacing w:line="250"/>
      </w:pPr>
      <w:r>
        <w:t xml:space="preserve">A seção de API management fornece ferramentas para desenvolvedores: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Lista de API Keys: Visualização de chaves ativas e revogadas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Visualização de chave: Toggle para mostrar/ocultar chave completa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Cópia de chave: Botão para copiar para clipboard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Configuração de Webhook URL: URL para receber notificações de pagamento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HMAC Webhook Secret: Secret para validar assinaturas de webhook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Documentação da API: Guia completo de integração com exemplos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Exemplos de código: cURL, JavaScript, SDK Frontend</w:t>
      </w:r>
    </w:p>
    <w:p>
      <w:pPr>
        <w:pStyle w:val="Heading1"/>
        <w:spacing w:before="600"/>
      </w:pPr>
      <w:r>
        <w:t xml:space="preserve">4. Contrato API</w:t>
      </w:r>
    </w:p>
    <w:p>
      <w:pPr>
        <w:pStyle w:val="Heading2"/>
        <w:spacing w:before="400"/>
      </w:pPr>
      <w:r>
        <w:t xml:space="preserve">4.1 Base URL e Autenticação</w:t>
      </w:r>
    </w:p>
    <w:p>
      <w:pPr>
        <w:spacing w:line="250"/>
      </w:pPr>
      <w:r>
        <w:t xml:space="preserve">A API v1 do NeXFlowX é acessível através da seguinte URL base:</w:t>
      </w:r>
    </w:p>
    <w:p>
      <w:pPr>
        <w:spacing w:before="200" w:line="250"/>
      </w:pPr>
      <w:r>
        <w:rPr>
          <w:rFonts w:ascii="Courier New" w:cs="Courier New" w:eastAsia="Courier New" w:hAnsi="Courier New"/>
          <w:color w:val="00F0FF"/>
          <w:sz w:val="20"/>
          <w:szCs w:val="20"/>
        </w:rPr>
        <w:t xml:space="preserve">https://api.nexflowx.tech/api/v1</w:t>
      </w:r>
    </w:p>
    <w:p>
      <w:pPr>
        <w:spacing w:before="200" w:line="250"/>
      </w:pPr>
      <w:r>
        <w:t xml:space="preserve">Autenticação é realizada através do header x-api-key:</w:t>
      </w:r>
    </w:p>
    <w:p>
      <w:pPr>
        <w:spacing w:before="200" w:line="25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x-api-key: nx_live_••••••••••••</w:t>
      </w:r>
    </w:p>
    <w:p>
      <w:pPr>
        <w:pStyle w:val="Heading2"/>
        <w:spacing w:before="400"/>
      </w:pPr>
      <w:r>
        <w:t xml:space="preserve">4.2 Endpoints Disponíveis</w:t>
      </w:r>
    </w:p>
    <w:p>
      <w:pPr>
        <w:pStyle w:val="Heading3"/>
        <w:spacing w:before="300"/>
      </w:pPr>
      <w:r>
        <w:t xml:space="preserve">4.2.1 Autenticação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00"/>
        <w:gridCol w:w="2360"/>
        <w:gridCol w:w="5500"/>
      </w:tblGrid>
      <w:tr>
        <w:trPr>
          <w:tblHeader/>
        </w:trPr>
        <w:tc>
          <w:tcPr>
            <w:tcW w:type="dxa" w:w="1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Método</w:t>
            </w:r>
          </w:p>
        </w:tc>
        <w:tc>
          <w:tcPr>
            <w:tcW w:type="dxa" w:w="23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5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0FF41"/>
              </w:rPr>
              <w:t xml:space="preserve">POST</w:t>
            </w:r>
          </w:p>
        </w:tc>
        <w:tc>
          <w:tcPr>
            <w:tcW w:type="dxa" w:w="23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5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left"/>
            </w:pPr>
            <w:r>
              <w:t xml:space="preserve">Autentica usuário e retorna token JWT</w:t>
            </w:r>
          </w:p>
        </w:tc>
      </w:tr>
      <w:tr>
        <w:tc>
          <w:tcPr>
            <w:tcW w:type="dxa" w:w="1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0FF41"/>
              </w:rPr>
              <w:t xml:space="preserve">POST</w:t>
            </w:r>
          </w:p>
        </w:tc>
        <w:tc>
          <w:tcPr>
            <w:tcW w:type="dxa" w:w="23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5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left"/>
            </w:pPr>
            <w:r>
              <w:t xml:space="preserve">Termina sessão e invalida token</w:t>
            </w:r>
          </w:p>
        </w:tc>
      </w:tr>
      <w:tr>
        <w:tc>
          <w:tcPr>
            <w:tcW w:type="dxa" w:w="1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0F0FF"/>
              </w:rPr>
              <w:t xml:space="preserve">GET</w:t>
            </w:r>
          </w:p>
        </w:tc>
        <w:tc>
          <w:tcPr>
            <w:tcW w:type="dxa" w:w="23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/auth/me</w:t>
            </w:r>
          </w:p>
        </w:tc>
        <w:tc>
          <w:tcPr>
            <w:tcW w:type="dxa" w:w="5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left"/>
            </w:pPr>
            <w:r>
              <w:t xml:space="preserve">Retorna informações do usuário autenticado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Tabela 2: Endpoints de autenticação</w:t>
      </w:r>
    </w:p>
    <w:p>
      <w:pPr>
        <w:pStyle w:val="Heading3"/>
        <w:spacing w:before="300"/>
      </w:pPr>
      <w:r>
        <w:t xml:space="preserve">4.2.2 Pipeline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00"/>
        <w:gridCol w:w="2360"/>
        <w:gridCol w:w="5500"/>
      </w:tblGrid>
      <w:tr>
        <w:trPr>
          <w:tblHeader/>
        </w:trPr>
        <w:tc>
          <w:tcPr>
            <w:tcW w:type="dxa" w:w="1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Método</w:t>
            </w:r>
          </w:p>
        </w:tc>
        <w:tc>
          <w:tcPr>
            <w:tcW w:type="dxa" w:w="23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5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0F0FF"/>
              </w:rPr>
              <w:t xml:space="preserve">GET</w:t>
            </w:r>
          </w:p>
        </w:tc>
        <w:tc>
          <w:tcPr>
            <w:tcW w:type="dxa" w:w="23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/pipeline</w:t>
            </w:r>
          </w:p>
        </w:tc>
        <w:tc>
          <w:tcPr>
            <w:tcW w:type="dxa" w:w="5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left"/>
            </w:pPr>
            <w:r>
              <w:t xml:space="preserve">Retorna dados agregados do pipeline financeiro por estágio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Tabela 3: Endpoint de pipeline</w:t>
      </w:r>
    </w:p>
    <w:p>
      <w:pPr>
        <w:pStyle w:val="Heading3"/>
        <w:spacing w:before="300"/>
      </w:pPr>
      <w:r>
        <w:t xml:space="preserve">4.2.3 Transações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00"/>
        <w:gridCol w:w="2360"/>
        <w:gridCol w:w="5500"/>
      </w:tblGrid>
      <w:tr>
        <w:trPr>
          <w:tblHeader/>
        </w:trPr>
        <w:tc>
          <w:tcPr>
            <w:tcW w:type="dxa" w:w="1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Método</w:t>
            </w:r>
          </w:p>
        </w:tc>
        <w:tc>
          <w:tcPr>
            <w:tcW w:type="dxa" w:w="23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5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0F0FF"/>
              </w:rPr>
              <w:t xml:space="preserve">GET</w:t>
            </w:r>
          </w:p>
        </w:tc>
        <w:tc>
          <w:tcPr>
            <w:tcW w:type="dxa" w:w="23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/transactions</w:t>
            </w:r>
          </w:p>
        </w:tc>
        <w:tc>
          <w:tcPr>
            <w:tcW w:type="dxa" w:w="5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left"/>
            </w:pPr>
            <w:r>
              <w:t xml:space="preserve">Lista transações com paginação e filtros (page, limit, status, country_code, date_from, date_to, search)</w:t>
            </w:r>
          </w:p>
        </w:tc>
      </w:tr>
      <w:tr>
        <w:tc>
          <w:tcPr>
            <w:tcW w:type="dxa" w:w="1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0F0FF"/>
              </w:rPr>
              <w:t xml:space="preserve">GET</w:t>
            </w:r>
          </w:p>
        </w:tc>
        <w:tc>
          <w:tcPr>
            <w:tcW w:type="dxa" w:w="23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/transactions/:id</w:t>
            </w:r>
          </w:p>
        </w:tc>
        <w:tc>
          <w:tcPr>
            <w:tcW w:type="dxa" w:w="5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left"/>
            </w:pPr>
            <w:r>
              <w:t xml:space="preserve">Retorna detalhes de uma transação específica</w:t>
            </w:r>
          </w:p>
        </w:tc>
      </w:tr>
      <w:tr>
        <w:tc>
          <w:tcPr>
            <w:tcW w:type="dxa" w:w="1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0FF41"/>
              </w:rPr>
              <w:t xml:space="preserve">PATCH</w:t>
            </w:r>
          </w:p>
        </w:tc>
        <w:tc>
          <w:tcPr>
            <w:tcW w:type="dxa" w:w="23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/transactions/:id/status</w:t>
            </w:r>
          </w:p>
        </w:tc>
        <w:tc>
          <w:tcPr>
            <w:tcW w:type="dxa" w:w="5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left"/>
            </w:pPr>
            <w:r>
              <w:t xml:space="preserve">Atualiza o status de uma transação (body: { status })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Tabela 4: Endpoints de transações</w:t>
      </w:r>
    </w:p>
    <w:p>
      <w:pPr>
        <w:pStyle w:val="Heading3"/>
        <w:spacing w:before="300"/>
      </w:pPr>
      <w:r>
        <w:t xml:space="preserve">4.2.4 Links de Pagamento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00"/>
        <w:gridCol w:w="2360"/>
        <w:gridCol w:w="5500"/>
      </w:tblGrid>
      <w:tr>
        <w:trPr>
          <w:tblHeader/>
        </w:trPr>
        <w:tc>
          <w:tcPr>
            <w:tcW w:type="dxa" w:w="1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Método</w:t>
            </w:r>
          </w:p>
        </w:tc>
        <w:tc>
          <w:tcPr>
            <w:tcW w:type="dxa" w:w="23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5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0FF41"/>
              </w:rPr>
              <w:t xml:space="preserve">POST</w:t>
            </w:r>
          </w:p>
        </w:tc>
        <w:tc>
          <w:tcPr>
            <w:tcW w:type="dxa" w:w="23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/payment-links</w:t>
            </w:r>
          </w:p>
        </w:tc>
        <w:tc>
          <w:tcPr>
            <w:tcW w:type="dxa" w:w="5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left"/>
            </w:pPr>
            <w:r>
              <w:t xml:space="preserve">Cria um novo link de pagamento (body: { amount, currency?, description? })</w:t>
            </w:r>
          </w:p>
        </w:tc>
      </w:tr>
      <w:tr>
        <w:tc>
          <w:tcPr>
            <w:tcW w:type="dxa" w:w="1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0F0FF"/>
              </w:rPr>
              <w:t xml:space="preserve">GET</w:t>
            </w:r>
          </w:p>
        </w:tc>
        <w:tc>
          <w:tcPr>
            <w:tcW w:type="dxa" w:w="23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/payment-links</w:t>
            </w:r>
          </w:p>
        </w:tc>
        <w:tc>
          <w:tcPr>
            <w:tcW w:type="dxa" w:w="5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left"/>
            </w:pPr>
            <w:r>
              <w:t xml:space="preserve">Lista todos os links de pagamento criados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Tabela 5: Endpoints de links de pagamento</w:t>
      </w:r>
    </w:p>
    <w:p>
      <w:pPr>
        <w:pStyle w:val="Heading3"/>
        <w:spacing w:before="300"/>
      </w:pPr>
      <w:r>
        <w:t xml:space="preserve">4.2.5 API Keys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00"/>
        <w:gridCol w:w="2360"/>
        <w:gridCol w:w="5500"/>
      </w:tblGrid>
      <w:tr>
        <w:trPr>
          <w:tblHeader/>
        </w:trPr>
        <w:tc>
          <w:tcPr>
            <w:tcW w:type="dxa" w:w="1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Método</w:t>
            </w:r>
          </w:p>
        </w:tc>
        <w:tc>
          <w:tcPr>
            <w:tcW w:type="dxa" w:w="23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5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0F0FF"/>
              </w:rPr>
              <w:t xml:space="preserve">GET</w:t>
            </w:r>
          </w:p>
        </w:tc>
        <w:tc>
          <w:tcPr>
            <w:tcW w:type="dxa" w:w="23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/api-keys</w:t>
            </w:r>
          </w:p>
        </w:tc>
        <w:tc>
          <w:tcPr>
            <w:tcW w:type="dxa" w:w="5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left"/>
            </w:pPr>
            <w:r>
              <w:t xml:space="preserve">Lista todas as chaves API do usuário</w:t>
            </w:r>
          </w:p>
        </w:tc>
      </w:tr>
      <w:tr>
        <w:tc>
          <w:tcPr>
            <w:tcW w:type="dxa" w:w="1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0FF41"/>
              </w:rPr>
              <w:t xml:space="preserve">POST</w:t>
            </w:r>
          </w:p>
        </w:tc>
        <w:tc>
          <w:tcPr>
            <w:tcW w:type="dxa" w:w="23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/api-keys</w:t>
            </w:r>
          </w:p>
        </w:tc>
        <w:tc>
          <w:tcPr>
            <w:tcW w:type="dxa" w:w="5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left"/>
            </w:pPr>
            <w:r>
              <w:t xml:space="preserve">Cria uma nova chave API (body: { name, environment })</w:t>
            </w:r>
          </w:p>
        </w:tc>
      </w:tr>
      <w:tr>
        <w:tc>
          <w:tcPr>
            <w:tcW w:type="dxa" w:w="1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DELETE</w:t>
            </w:r>
          </w:p>
        </w:tc>
        <w:tc>
          <w:tcPr>
            <w:tcW w:type="dxa" w:w="23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/api-keys/:id</w:t>
            </w:r>
          </w:p>
        </w:tc>
        <w:tc>
          <w:tcPr>
            <w:tcW w:type="dxa" w:w="5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left"/>
            </w:pPr>
            <w:r>
              <w:t xml:space="preserve">Revoca uma chave API existente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Tabela 6: Endpoints de API Keys</w:t>
      </w:r>
    </w:p>
    <w:p>
      <w:pPr>
        <w:pStyle w:val="Heading3"/>
        <w:spacing w:before="300"/>
      </w:pPr>
      <w:r>
        <w:t xml:space="preserve">4.2.6 Usuário e Webhooks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00"/>
        <w:gridCol w:w="2360"/>
        <w:gridCol w:w="5500"/>
      </w:tblGrid>
      <w:tr>
        <w:trPr>
          <w:tblHeader/>
        </w:trPr>
        <w:tc>
          <w:tcPr>
            <w:tcW w:type="dxa" w:w="1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Método</w:t>
            </w:r>
          </w:p>
        </w:tc>
        <w:tc>
          <w:tcPr>
            <w:tcW w:type="dxa" w:w="23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5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0F0FF"/>
              </w:rPr>
              <w:t xml:space="preserve">GET</w:t>
            </w:r>
          </w:p>
        </w:tc>
        <w:tc>
          <w:tcPr>
            <w:tcW w:type="dxa" w:w="23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/users/me</w:t>
            </w:r>
          </w:p>
        </w:tc>
        <w:tc>
          <w:tcPr>
            <w:tcW w:type="dxa" w:w="5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left"/>
            </w:pPr>
            <w:r>
              <w:t xml:space="preserve">Retorna perfil do usuário incluindo webhook_url e webhook_secret</w:t>
            </w:r>
          </w:p>
        </w:tc>
      </w:tr>
      <w:tr>
        <w:tc>
          <w:tcPr>
            <w:tcW w:type="dxa" w:w="1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0FF41"/>
              </w:rPr>
              <w:t xml:space="preserve">PATCH</w:t>
            </w:r>
          </w:p>
        </w:tc>
        <w:tc>
          <w:tcPr>
            <w:tcW w:type="dxa" w:w="236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/users/me</w:t>
            </w:r>
          </w:p>
        </w:tc>
        <w:tc>
          <w:tcPr>
            <w:tcW w:type="dxa" w:w="5500"/>
            <w:tcBorders>
              <w:top w:val="single" w:color="334155" w:sz="12"/>
              <w:left w:val="single" w:color="334155" w:sz="12"/>
              <w:bottom w:val="single" w:color="334155" w:sz="12"/>
              <w:right w:val="single" w:color="334155" w:sz="12"/>
            </w:tcBorders>
            <w:vAlign w:val="center"/>
          </w:tcPr>
          <w:p>
            <w:pPr>
              <w:jc w:val="left"/>
            </w:pPr>
            <w:r>
              <w:t xml:space="preserve">Atualiza perfil do usuário (webhook_url, email, name)</w:t>
            </w:r>
          </w:p>
        </w:tc>
      </w:tr>
    </w:tbl>
    <w:p>
      <w:pPr>
        <w:spacing w:before="100"/>
        <w:jc w:val="center"/>
      </w:pPr>
      <w:r>
        <w:rPr>
          <w:i/>
          <w:iCs/>
          <w:color w:val="64748B"/>
          <w:sz w:val="18"/>
          <w:szCs w:val="18"/>
        </w:rPr>
        <w:t xml:space="preserve">Tabela 7: Endpoints de usuário e webhooks</w:t>
      </w:r>
    </w:p>
    <w:p>
      <w:pPr>
        <w:pStyle w:val="Heading1"/>
        <w:spacing w:before="600"/>
      </w:pPr>
      <w:r>
        <w:t xml:space="preserve">5. Propostas de Evolução para v3.0</w:t>
      </w:r>
    </w:p>
    <w:p>
      <w:pPr>
        <w:spacing w:line="250"/>
      </w:pPr>
      <w:r>
        <w:t xml:space="preserve">Com base na análise da arquitetura atual e necessidades de mercado, propõem-se as seguintes evoluções para a versão 3.0 do NeXFlowX Dashboard:</w:t>
      </w:r>
    </w:p>
    <w:p>
      <w:pPr>
        <w:pStyle w:val="Heading2"/>
        <w:spacing w:before="400"/>
      </w:pPr>
      <w:r>
        <w:t xml:space="preserve">5.1 Dashboard Avançado com Analytics em Tempo Real</w:t>
      </w:r>
    </w:p>
    <w:p>
      <w:pPr>
        <w:spacing w:line="250"/>
      </w:pPr>
      <w:r>
        <w:t xml:space="preserve">Implementar visualizações avançadas de dados para insights estratégicos: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Gráficos de tendência de volume por período (dia/semana/mês)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Heatmap geográfico de transações por país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Análise de conversão por método de pagamento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Métricas de performance por provider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Alertas automáticos para anomalias e thresholds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Dashboard personalizável com widgets arrastáveis</w:t>
      </w:r>
    </w:p>
    <w:p>
      <w:pPr>
        <w:pStyle w:val="Heading2"/>
        <w:spacing w:before="400"/>
      </w:pPr>
      <w:r>
        <w:t xml:space="preserve">5.2 Multi-Tenancy e Gestão de Organizações</w:t>
      </w:r>
    </w:p>
    <w:p>
      <w:pPr>
        <w:spacing w:line="250"/>
      </w:pPr>
      <w:r>
        <w:t xml:space="preserve">Implementar suporte para múltiplas organizações em uma única instância: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Isolamento completo de dados por organização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Hierarquia de usuários com RBAC (Role-Based Access Control)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Configurações personalizáveis por organização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API Keys segregadas por organização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Webhooks configuráveis por organização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Relatórios personalizados por organização</w:t>
      </w:r>
    </w:p>
    <w:p>
      <w:pPr>
        <w:pStyle w:val="Heading2"/>
        <w:spacing w:before="400"/>
      </w:pPr>
      <w:r>
        <w:t xml:space="preserve">5.3 Motor de Regras de Routing Dinâmico</w:t>
      </w:r>
    </w:p>
    <w:p>
      <w:pPr>
        <w:spacing w:line="250"/>
      </w:pPr>
      <w:r>
        <w:t xml:space="preserve">Criar um editor visual para definir regras de roteamento de pagamentos: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Editor drag-and-drop para construir fluxos de decisão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Condições baseadas em: valor, moeda, país, método, horário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Priorização de providers baseada em custo, SLA, disponibilidade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Fallback automático em caso de falha de provider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Teste de regras em sandbox antes de produção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Versionamento e rollback de regras</w:t>
      </w:r>
    </w:p>
    <w:p>
      <w:pPr>
        <w:pStyle w:val="Heading2"/>
        <w:spacing w:before="400"/>
      </w:pPr>
      <w:r>
        <w:t xml:space="preserve">5.4 Sistema de Notificações em Tempo Real</w:t>
      </w:r>
    </w:p>
    <w:p>
      <w:pPr>
        <w:spacing w:line="250"/>
      </w:pPr>
      <w:r>
        <w:t xml:space="preserve">Implementar notificações instantâneas através de WebSocket: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WebSocket para atualizações em tempo real de transações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Notificações push para browser e mobile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Alertas configuráveis por evento (falha, sucesso, threshold)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Centro de notificações com histórico e filtros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Integração com Slack, Microsoft Teams, Email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Preferências de notificação por usuário</w:t>
      </w:r>
    </w:p>
    <w:p>
      <w:pPr>
        <w:pStyle w:val="Heading2"/>
        <w:spacing w:before="400"/>
      </w:pPr>
      <w:r>
        <w:t xml:space="preserve">5.5 Compliance e Auditoria Avançada</w:t>
      </w:r>
    </w:p>
    <w:p>
      <w:pPr>
        <w:spacing w:line="250"/>
      </w:pPr>
      <w:r>
        <w:t xml:space="preserve">Implementar recursos para conformidade regulatória e auditoria: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Logs de auditoria para todas as ações (quem, quando, o quê)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Rastreabilidade completa de cada transação (audit trail)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Relatórios de conformidade (GDPR, PSD2, PCI-DSS)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Gerenciamento de consentimento e dados pessoais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Exportação de dados em formatos padronizados (CSV, JSON, PDF)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Retenção automática de dados conforme políticas</w:t>
      </w:r>
    </w:p>
    <w:p>
      <w:pPr>
        <w:pStyle w:val="Heading2"/>
        <w:spacing w:before="400"/>
      </w:pPr>
      <w:r>
        <w:t xml:space="preserve">5.6 Integração com Inteligência Artificial</w:t>
      </w:r>
    </w:p>
    <w:p>
      <w:pPr>
        <w:spacing w:line="250"/>
      </w:pPr>
      <w:r>
        <w:t xml:space="preserve">Incorporar AI para análise preditiva e automação: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Detecção de fraudes em tempo real com ML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Previsão de volumes e padrões de pagamento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Classificação automática de transações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Sugestões de otimização de routing baseadas em dados históricos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Chatbot de suporte com contexto transacional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Análise de sentimento de clientes via feedback</w:t>
      </w:r>
    </w:p>
    <w:p>
      <w:pPr>
        <w:pStyle w:val="Heading2"/>
        <w:spacing w:before="400"/>
      </w:pPr>
      <w:r>
        <w:t xml:space="preserve">5.7 Expansão de Mercados e Trilhos</w:t>
      </w:r>
    </w:p>
    <w:p>
      <w:pPr>
        <w:spacing w:line="250"/>
      </w:pPr>
      <w:r>
        <w:t xml:space="preserve">Expandir a cobertura para novos mercados e métodos de pagamento: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Novos mercados: EUA, Canadá, Japão, Austrália, Brasil, México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Novos métodos: Swish (Suécia), Vipps (Noruega), MobilePay (Dinamarca)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Criptomoedas: Bitcoin, Ethereum, USDT, USDC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BNPL (Buy Now Pay Later): Klarna, Afterpay, Affirm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Carteiras digitais: Apple Pay, Google Pay, Samsung Pay</w:t>
      </w:r>
    </w:p>
    <w:p>
      <w:pPr>
        <w:pStyle w:val="ListParagraph"/>
        <w:numPr>
          <w:ilvl w:val="0"/>
          <w:numId w:val="5"/>
        </w:numPr>
        <w:spacing w:line="250"/>
      </w:pPr>
      <w:r>
        <w:t xml:space="preserve">Integração com novos providers: Adyen, Braintree, Checkout.com</w:t>
      </w:r>
    </w:p>
    <w:p>
      <w:pPr>
        <w:pStyle w:val="Heading1"/>
        <w:spacing w:before="600"/>
      </w:pPr>
      <w:r>
        <w:t xml:space="preserve">6. Conclusão</w:t>
      </w:r>
    </w:p>
    <w:p>
      <w:pPr>
        <w:spacing w:line="250"/>
      </w:pPr>
      <w:r>
        <w:t xml:space="preserve">O NeXFlowX Dashboard v2.4.1-beta representa uma base sólida para a orquestração de pagamentos globais. Com uma arquitetura moderna, design intuitivo e API robusta, a plataforma está preparada para escalar e evoluir conforme as necessidades do mercado.</w:t>
      </w:r>
    </w:p>
    <w:p>
      <w:pPr>
        <w:spacing w:before="200" w:line="250"/>
      </w:pPr>
      <w:r>
        <w:t xml:space="preserve">As propostas de evolução para a v3.0 focam em transformar o dashboard de uma ferramenta de visualização para uma plataforma inteligente de gestão financeira, com recursos avançados de analytics, automação com AI, conformidade regulatória e expansão global.</w:t>
      </w:r>
    </w:p>
    <w:p>
      <w:pPr>
        <w:spacing w:before="200" w:line="250"/>
      </w:pPr>
      <w:r>
        <w:t xml:space="preserve">A implementação dessas evoluções deve seguir uma abordagem incremental, priorizando funcionalidades que geram valor imediato para os usuários e garantindo estabilidade e performance em cada etapa.</w:t>
      </w:r>
    </w:p>
    <w:p>
      <w:pPr>
        <w:spacing w:after="200" w:before="800"/>
      </w:pPr>
      <w:r>
        <w:rPr>
          <w:color w:val="64748B"/>
        </w:rPr>
        <w:t xml:space="preserve">══════════════════════════════════════════════════════════════</w:t>
      </w:r>
    </w:p>
    <w:p>
      <w:pPr>
        <w:spacing w:line="250"/>
        <w:jc w:val="center"/>
      </w:pPr>
      <w:r>
        <w:rPr>
          <w:color w:val="64748B"/>
          <w:sz w:val="18"/>
          <w:szCs w:val="18"/>
        </w:rPr>
        <w:t xml:space="preserve">Documento gerado automaticamente • NeXFlowX Dashboard v2.4.1-beta</w:t>
      </w:r>
    </w:p>
    <w:p>
      <w:pPr>
        <w:spacing w:line="250"/>
        <w:jc w:val="center"/>
      </w:pPr>
      <w:r>
        <w:rPr>
          <w:color w:val="00F0FF"/>
          <w:sz w:val="18"/>
          <w:szCs w:val="18"/>
        </w:rPr>
        <w:t xml:space="preserve">https://github.com/nextrustx-hub/NeXFlowX-Dashboard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Página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de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NeXFlowX Dashboard v2.4.1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00" w:before="600" w:line="250"/>
      <w:outlineLvl w:val="0"/>
    </w:pPr>
    <w:rPr>
      <w:rFonts w:ascii="Times New Roman" w:cs="Times New Roman" w:eastAsia="Times New Roman" w:hAnsi="Times New Roman"/>
      <w:b/>
      <w:bCs/>
      <w:color w:val="0206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400" w:line="250"/>
      <w:outlineLvl w:val="1"/>
    </w:pPr>
    <w:rPr>
      <w:rFonts w:ascii="Times New Roman" w:cs="Times New Roman" w:eastAsia="Times New Roman" w:hAnsi="Times New Roman"/>
      <w:b/>
      <w:bCs/>
      <w:color w:val="64748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50" w:before="300" w:line="250"/>
      <w:outlineLvl w:val="2"/>
    </w:pPr>
    <w:rPr>
      <w:rFonts w:ascii="Calibri" w:cs="Calibri" w:eastAsia="Calibri" w:hAnsi="Calibri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2026-04-07T18:45:52.331Z</dcterms:created>
  <dcterms:modified xsi:type="dcterms:W3CDTF">2026-04-07T18:45:52.331Z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