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TSPI CASE REPORT</w:t>
      </w:r>
    </w:p>
    <w:p>
      <w:pPr>
        <w:spacing w:after="40"/>
        <w:jc w:val="center"/>
      </w:pPr>
      <w:r>
        <w:rPr>
          <w:i/>
          <w:iCs/>
          <w:color w:val="2E75B6"/>
          <w:sz w:val="20"/>
          <w:szCs w:val="20"/>
        </w:rPr>
        <w:t xml:space="preserve">The Standardized Network Phytochemicals Intelligence Platform</w:t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Biological Network Root-Cause Analysis  ·  De-identified Clinical Article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Case 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Demographics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Presenting Network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 Type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TSPI-CRC-2026-06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Male · Age band 45–49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Colorectal neoplasia + colonic adenomatous polyposis (network disorder)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Full TSPI Case Report (de-identified)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8"/>
              <w:left w:val="single" w:color="595959" w:sz="8"/>
              <w:bottom w:val="single" w:color="595959" w:sz="8"/>
              <w:right w:val="single" w:color="595959" w:sz="8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Privacy / de-identification statement</w:t>
            </w:r>
          </w:p>
          <w:p>
            <w:pPr>
              <w:spacing w:after="60"/>
            </w:pPr>
            <w:r>
              <w:t xml:space="preserve">This report is generated by TSPI behind MiHealth, under explicit user consent and MiHealth data governance. The patient is referred to only by a non-identifying case ID, age band and sex. No name, ID/record number, exact date of birth, address, contact details, clinician names, or facility identifiers are included. TSPI augments — it does not replace — the treating clinical team.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Compact Reasoning Table — Finding → Biological Signal → Axis → Severity</w:t>
      </w:r>
    </w:p>
    <w:p>
      <w:pPr>
        <w:spacing w:after="120" w:before="0"/>
      </w:pPr>
      <w:r>
        <w:t xml:space="preserve">Severity scale: </w:t>
      </w:r>
      <w:r>
        <w:rPr>
          <w:b/>
          <w:bCs/>
        </w:rPr>
        <w:t xml:space="preserve">Optimal → Subclinical imbalance → Functional impairment → Pathological dysfunction</w:t>
      </w:r>
      <w:r>
        <w:t xml:space="preserve">. Axis IDs follow the authoritative TSPI 39-axis / 12-domain map. Entries marked </w:t>
      </w:r>
      <w:r>
        <w:rPr>
          <w:b/>
          <w:bCs/>
        </w:rPr>
        <w:t xml:space="preserve">(inferred)</w:t>
      </w:r>
      <w:r>
        <w:t xml:space="preserve"> are not directly supported by a measured lab and are clearly labelled as assumptions.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640"/>
        <w:gridCol w:w="1680"/>
      </w:tblGrid>
      <w:tr>
        <w:trPr>
          <w:tblHeader/>
        </w:trP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 (objective)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Biological signal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Axis (12-domain map)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Invasive moderately-differentiated adenocarcinoma, R colon, pT3N0 (resected); CEA 55.85 ng/mL pre-op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Malignant epithelial transformation; tumour burden / proliferative drive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36 — Oncology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Pathological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&gt;50 colonic adenomas (tubular/tubulovillous) + fundic-gland gastric polyps; young onset; family Hx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Field-wide genomic instability / adenoma-carcinoma program (APC–WNT type)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11 — DNA Repair &amp; Genomic Stability (partly inferred)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Pathological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Polyposis field; circumferential growth; pre-op loose stools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Chronic colonic mucosal/biofilm burden &amp; proliferative microenvironment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19 — Colon Biofilm &amp; Mucosal Burden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Colorectal carcinogenesis context; pre-op loose stools (inferred dysbiosis)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Loss of microbiome diversity / SCFA; pro-carcinogenic ecology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17 — Microbiome Ecology (inferred)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Tumour barrier disruption; endotoxin/LPS translocation (inferred)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Gut barrier breakdown → systemic immune activation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18 — Gut Barrier &amp; Mucosal Integrity (inferred)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Leukocytosis (TLC ~13,200), neutrophilia, NLR ≈ 5.8 pre-op / ≈ 10.7 post-op, platelets 449k, CEA env.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NF-κB / IL-6 / TNF-α systemic inflammatory load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1 — Systemic Inflammatory Load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Pathological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MSS/MMR-proficient tumour; post-op lymphopenia (ALC 980); high NLR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Reduced immune surveillance; Th/Treg imbalance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2 — Immune Homeostasis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Carcinogenesis + active cytotoxic chemo (inferred ROS load)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Oxidative stress / redox imbalance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9 — Oxidative Stress (inferred)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Total colectomy + ileo-rectal anastomosis; pre-op loose stools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Loss of absorptive colon → fluid/electrolyte, B12/bile-acid, nutrient malabsorption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16 — Digestive–Absorptive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Hb 12.3→8.6 g/dL, microcytic-hypochromic cells, RDW ~23%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Chronic GI blood loss + anemia of inflammation; marrow stress (chemo)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26 — Stem Cell &amp; Hematopoiesis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Albumin 2.6–2.9, total protein 4.1–5.2 g/dL, weight loss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Protein-energy catabolism / cancer cachexia; impaired synthesis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28 — Muscle Protein Turnover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Total colectomy + segment-6 hepatectomy + anastomosis; low albumin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Surgical tissue repair demand; healing capacity constrained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24 — Wound Healing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Subclinical→Functional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Adjuvant 5-FU/Leucovorin; segment-6 hepatectomy; ALP transient ↑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Xenobiotic / Phase I–II detox &amp; hepatic clearance load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15 — Detoxification &amp; Cellular Defense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Partial hepatectomy; multi-system surgical insult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Reduced organ functional reserve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35 — Organ Resilience &amp; Functional Reserve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Fatigue, catabolic/cancer metabolism (inferred)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Mitochondrial energy / metabolic flexibility deficit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8 — Mitochondrial Network (inferred)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Subclinical→Functional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BMI ≈ 29.5, hypertension; glucose normal (98)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Metabolic / insulin-resistance tendency (metabolic inflammation)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5 — Glucose–Insulin Regulation (inferred)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Subclinical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Hypertension; concentric LVH (new since 2024); bicuspid aortic valve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Endothelial dysfunction / hypertensive hemodynamic remodeling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20 / 23 — Endothelial &amp; Hemodynamics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Malignancy pro-coagulant state; thrombocytosis 449k; PICC planned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Thrombosis / hemostasis activation (VTE risk)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22 — Thrombosis–Hemostasis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Subclinical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Cancer biology context (inferred)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Aberrant gene-expression / clearance programs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10/12/13/14 — Autophagy, Epigenetic, Longevity, Senescence (inferred)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Subclinical</w:t>
            </w:r>
          </w:p>
        </w:tc>
      </w:tr>
      <w:t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New cancer diagnosis + surgery + chemotherapy</w:t>
            </w:r>
          </w:p>
        </w:tc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Stress / autonomic &amp; cognitive-emotional load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AXIS 34 / 39 — Neuro-Sleep-Stress &amp; CELA (inferred)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Subclinical→Functional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Upstream hub identified:</w:t>
      </w:r>
      <w:r>
        <w:t xml:space="preserve"> microbiome / barrier-driven chronic inflammation operating on a genomically unstable (polyposis) colon. </w:t>
      </w:r>
      <w:r>
        <w:rPr>
          <w:b/>
          <w:bCs/>
        </w:rPr>
        <w:t xml:space="preserve">Manifestations</w:t>
      </w:r>
      <w:r>
        <w:t xml:space="preserve"> (carcinoma, anemia, hypoalbuminemia, hypertension/LVH) are downstream expressions of this hub plus iatrogenic surgical/chemotherapy load. The therapeutic implication — detailed below — is </w:t>
      </w:r>
      <w:r>
        <w:rPr>
          <w:b/>
          <w:bCs/>
        </w:rPr>
        <w:t xml:space="preserve">foundation before manifestation.</w:t>
      </w:r>
    </w:p>
    <w:p>
      <w:r>
        <w:br w:type="page"/>
      </w:r>
    </w:p>
    <w:p>
      <w:pPr>
        <w:pStyle w:val="Heading1"/>
      </w:pPr>
      <w:r>
        <w:t xml:space="preserve">1 · Short Clinical Protocol (Step-1 Plan)</w:t>
      </w:r>
    </w:p>
    <w:p>
      <w:pPr>
        <w:pStyle w:val="Heading2"/>
      </w:pPr>
      <w:r>
        <w:t xml:space="preserve">Foundation Reset Phase — Weeks 0–8/12 (delivered around, not instead of, oncology care)</w:t>
      </w:r>
    </w:p>
    <w:p>
      <w:pPr>
        <w:spacing w:after="120" w:before="0"/>
      </w:pPr>
      <w:r>
        <w:rPr>
          <w:b/>
          <w:bCs/>
        </w:rPr>
        <w:t xml:space="preserve">Core objective:</w:t>
      </w:r>
      <w:r>
        <w:t xml:space="preserve"> stabilise the upstream hub and protect the patient through adjuvant chemotherapy before any genomic/longevity or “anti-tumour” targeting. Specifically: reduce systemic inflammation, restore the residual gut ecosystem and barrier, support detoxification/hepatic clearance of cytotoxic load, rebuild nutrition (protein/albumin) and blood (hematopoiesis), and steady the autonomic/stress axis.</w:t>
      </w:r>
    </w:p>
    <w:p>
      <w:pPr>
        <w:spacing w:after="120" w:before="0"/>
      </w:pPr>
      <w:r>
        <w:rPr>
          <w:b/>
          <w:bCs/>
        </w:rPr>
        <w:t xml:space="preserve">Sequencing position:</w:t>
      </w:r>
      <w:r>
        <w:t xml:space="preserve"> the patient sits at the very base of the 9 Steps of Wellness — </w:t>
      </w:r>
      <w:r>
        <w:rPr>
          <w:b/>
          <w:bCs/>
        </w:rPr>
        <w:t xml:space="preserve">Step 1 (Detoxification) and Step 2 (Microbiome Restoration)</w:t>
      </w:r>
      <w:r>
        <w:t xml:space="preserve"> — while conventional oncology is simultaneously imposing fresh inflammatory/xenobiotic load. The Step-1 modules below are gentle, high-safety, and chosen to be compatible with that reality.</w:t>
      </w:r>
    </w:p>
    <w:p>
      <w:pPr>
        <w:pStyle w:val="Heading3"/>
      </w:pPr>
      <w:r>
        <w:t xml:space="preserve">Step-1 Modules (all doses for clinician review; time around chemo cycles)</w:t>
      </w:r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1) KS Capsule  </w:t>
      </w:r>
      <w:r>
        <w:rPr>
          <w:i/>
          <w:iCs/>
          <w:color w:val="808080"/>
          <w:sz w:val="16"/>
          <w:szCs w:val="16"/>
        </w:rPr>
        <w:t xml:space="preserve">[TSPI-DETOX-MICROBIOME-026]</w:t>
      </w:r>
    </w:p>
    <w:p>
      <w:pPr>
        <w:spacing w:after="40" w:before="0"/>
      </w:pPr>
      <w:r>
        <w:rPr>
          <w:b/>
          <w:bCs/>
        </w:rPr>
        <w:t xml:space="preserve">Dose:</w:t>
      </w:r>
      <w:r>
        <w:t xml:space="preserve"> 2–4 capsules (500 mg) 3–4× daily before meals (start low, e.g. 2 capsules twice daily, and titrate to stool tolerance — see cautions re: colectomy).</w:t>
      </w:r>
    </w:p>
    <w:p>
      <w:pPr>
        <w:spacing w:after="40" w:before="0"/>
      </w:pPr>
      <w:r>
        <w:rPr>
          <w:b/>
          <w:bCs/>
        </w:rPr>
        <w:t xml:space="preserve">Primary target axes:</w:t>
      </w:r>
      <w:r>
        <w:t xml:space="preserve"> Axis 1 (inflammation), Axis 15 (detoxification), Axis 17 (microbiome), Axis 18 (gut barrier), Axis 9 (oxidative stress), Axis 5 (glucose).</w:t>
      </w:r>
    </w:p>
    <w:p>
      <w:pPr>
        <w:spacing w:after="40" w:before="0"/>
      </w:pPr>
      <w:r>
        <w:rPr>
          <w:b/>
          <w:bCs/>
        </w:rPr>
        <w:t xml:space="preserve">Mechanism:</w:t>
      </w:r>
      <w:r>
        <w:t xml:space="preserve"> Core TSPI 9-Step detox/microbiome-reset formula (Piper spp., ginger, Plumbago, Derris scandens; curcuminoids, piperine, gallic/ellagic acid). Promotes toxin elimination, rebalances the gut ecosystem, and lowers IL-6/TNF-α/NF-κB signalling.</w:t>
      </w:r>
    </w:p>
    <w:p>
      <w:pPr>
        <w:spacing w:after="80" w:before="0"/>
      </w:pPr>
      <w:r>
        <w:rPr>
          <w:b/>
          <w:bCs/>
        </w:rPr>
        <w:t xml:space="preserve">Clinical role:</w:t>
      </w:r>
      <w:r>
        <w:t xml:space="preserve"> Foundation reset of the gut–immune–inflammation hub; the anchor module of Phase 1.</w:t>
      </w:r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2) Ricezozyme  </w:t>
      </w:r>
      <w:r>
        <w:rPr>
          <w:i/>
          <w:iCs/>
          <w:color w:val="808080"/>
          <w:sz w:val="16"/>
          <w:szCs w:val="16"/>
        </w:rPr>
        <w:t xml:space="preserve">[TSPI-RICEZOZYME-CORE]</w:t>
      </w:r>
    </w:p>
    <w:p>
      <w:pPr>
        <w:spacing w:after="40" w:before="0"/>
      </w:pPr>
      <w:r>
        <w:rPr>
          <w:b/>
          <w:bCs/>
        </w:rPr>
        <w:t xml:space="preserve">Dose:</w:t>
      </w:r>
      <w:r>
        <w:t xml:space="preserve"> 1–2 capsules 2–3× daily after meals.</w:t>
      </w:r>
    </w:p>
    <w:p>
      <w:pPr>
        <w:spacing w:after="40" w:before="0"/>
      </w:pPr>
      <w:r>
        <w:rPr>
          <w:b/>
          <w:bCs/>
        </w:rPr>
        <w:t xml:space="preserve">Primary target axes:</w:t>
      </w:r>
      <w:r>
        <w:t xml:space="preserve"> Axis 17 (microbiome, &gt;40 Lactobacillus strains), Axis 18/16 (barrier &amp; absorption), Axis 8 (mitochondrial/ATP), Axis 1/9 (inflammation/redox).</w:t>
      </w:r>
    </w:p>
    <w:p>
      <w:pPr>
        <w:spacing w:after="40" w:before="0"/>
      </w:pPr>
      <w:r>
        <w:rPr>
          <w:b/>
          <w:bCs/>
        </w:rPr>
        <w:t xml:space="preserve">Mechanism:</w:t>
      </w:r>
      <w:r>
        <w:t xml:space="preserve"> Bioactive crystallised rice-bran/germ peptides, gamma-oryzanol, anthocyanins, B-complex, GABA, SCFA precursors. Enhances bioavailability, rebalances microbiome, supplies SCFA substrate and gentle nutritional/neuro-metabolic support.</w:t>
      </w:r>
    </w:p>
    <w:p>
      <w:pPr>
        <w:spacing w:after="80" w:before="0"/>
      </w:pPr>
      <w:r>
        <w:rPr>
          <w:b/>
          <w:bCs/>
        </w:rPr>
        <w:t xml:space="preserve">Clinical role:</w:t>
      </w:r>
      <w:r>
        <w:t xml:space="preserve"> Rebuilds the residual small-bowel/rectal ecosystem and absorptive capacity after total colectomy; very high safety (LD50 &gt;5000 mg/kg). Preferred over ZAMINZYME for this niche (see flag in §6).</w:t>
      </w:r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3) Curcuma Capsules  </w:t>
      </w:r>
      <w:r>
        <w:rPr>
          <w:i/>
          <w:iCs/>
          <w:color w:val="808080"/>
          <w:sz w:val="16"/>
          <w:szCs w:val="16"/>
        </w:rPr>
        <w:t xml:space="preserve">[TSPI-CURCUMA-01]</w:t>
      </w:r>
    </w:p>
    <w:p>
      <w:pPr>
        <w:spacing w:after="40" w:before="0"/>
      </w:pPr>
      <w:r>
        <w:rPr>
          <w:b/>
          <w:bCs/>
        </w:rPr>
        <w:t xml:space="preserve">Dose:</w:t>
      </w:r>
      <w:r>
        <w:t xml:space="preserve"> 2–4 capsules (500 mg) 3–4× daily before meals — BUT see chemo-timing caution; oncologist sign-off required before concurrent use with 5-FU.</w:t>
      </w:r>
    </w:p>
    <w:p>
      <w:pPr>
        <w:spacing w:after="40" w:before="0"/>
      </w:pPr>
      <w:r>
        <w:rPr>
          <w:b/>
          <w:bCs/>
        </w:rPr>
        <w:t xml:space="preserve">Primary target axes:</w:t>
      </w:r>
      <w:r>
        <w:t xml:space="preserve"> Axis 1 (NF-κB/IL-6/TNF-α/IL-1β), Axis 9 (oxidative stress), Axis 15/16 (liver detox &amp; bile/digestion), Axis 17 (microbiome).</w:t>
      </w:r>
    </w:p>
    <w:p>
      <w:pPr>
        <w:spacing w:after="40" w:before="0"/>
      </w:pPr>
      <w:r>
        <w:rPr>
          <w:b/>
          <w:bCs/>
        </w:rPr>
        <w:t xml:space="preserve">Mechanism:</w:t>
      </w:r>
      <w:r>
        <w:t xml:space="preserve"> Curcumin/demethoxycurcumin inhibit NF-κB, COX-2 and lipoxygenase, lower pro-inflammatory cytokines, enhance bile flow, and increase microbial diversity. Very high safety margin (LD50 &gt;5000 mg/kg).</w:t>
      </w:r>
    </w:p>
    <w:p>
      <w:pPr>
        <w:spacing w:after="80" w:before="0"/>
      </w:pPr>
      <w:r>
        <w:rPr>
          <w:b/>
          <w:bCs/>
        </w:rPr>
        <w:t xml:space="preserve">Clinical role:</w:t>
      </w:r>
      <w:r>
        <w:t xml:space="preserve"> Anti-inflammatory cornerstone targeting the upstream hub; curcumin also has documented anti-neoplastic/chemo-modulating signalling relevant to the high-recurrence colonic field.</w:t>
      </w:r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4) Merdana Capsule  </w:t>
      </w:r>
      <w:r>
        <w:rPr>
          <w:i/>
          <w:iCs/>
          <w:color w:val="808080"/>
          <w:sz w:val="16"/>
          <w:szCs w:val="16"/>
        </w:rPr>
        <w:t xml:space="preserve">[TSPI-IMMUNE-DETOX-024]</w:t>
      </w:r>
    </w:p>
    <w:p>
      <w:pPr>
        <w:spacing w:after="40" w:before="0"/>
      </w:pPr>
      <w:r>
        <w:rPr>
          <w:b/>
          <w:bCs/>
        </w:rPr>
        <w:t xml:space="preserve">Dose:</w:t>
      </w:r>
      <w:r>
        <w:t xml:space="preserve"> 2–4 capsules (500 mg) 3–4× daily before meals.</w:t>
      </w:r>
    </w:p>
    <w:p>
      <w:pPr>
        <w:spacing w:after="40" w:before="0"/>
      </w:pPr>
      <w:r>
        <w:rPr>
          <w:b/>
          <w:bCs/>
        </w:rPr>
        <w:t xml:space="preserve">Primary target axes:</w:t>
      </w:r>
      <w:r>
        <w:t xml:space="preserve"> Axis 1 (inflammation), Axis 2/3 (immune homeostasis &amp; NK-cell defense), Axis 9 (oxidative stress), Axis 17/18 (microbiome &amp; barrier).</w:t>
      </w:r>
    </w:p>
    <w:p>
      <w:pPr>
        <w:spacing w:after="40" w:before="0"/>
      </w:pPr>
      <w:r>
        <w:rPr>
          <w:b/>
          <w:bCs/>
        </w:rPr>
        <w:t xml:space="preserve">Mechanism:</w:t>
      </w:r>
      <w:r>
        <w:t xml:space="preserve"> Murdannia loriformis, Smilax glabra, Hydnophytum formicarum, Houttuynia cordata and allies; flavonoids/triterpenoids/polysaccharides that stimulate NK-cell clearance of abnormal cells and support immune-detox balance (LD50 &gt;3000 mg/kg).</w:t>
      </w:r>
    </w:p>
    <w:p>
      <w:pPr>
        <w:spacing w:after="80" w:before="0"/>
      </w:pPr>
      <w:r>
        <w:rPr>
          <w:b/>
          <w:bCs/>
        </w:rPr>
        <w:t xml:space="preserve">Clinical role:</w:t>
      </w:r>
      <w:r>
        <w:t xml:space="preserve"> Restores immune surveillance (relevant to the MSS/MMR-proficient, low-immunogenic phenotype) while reinforcing the gut-immune foundation.</w:t>
      </w:r>
    </w:p>
    <w:p>
      <w:pPr>
        <w:pStyle w:val="Heading3"/>
      </w:pPr>
      <w:r>
        <w:t xml:space="preserve">Lifestyle prescription (Phase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Nutrition:</w:t>
      </w:r>
      <w:r>
        <w:t xml:space="preserve"> high-quality protein at every meal (target the team's protein-powder plan plus the Buminmax peptide in §6) to correct albumin 2.6→&gt;3.5 g/dL; small, frequent, low-residue meals adapted to post-colectomy stool frequency; avoid hot/spicy food per surgical advice; ensure boiled/filtered water and peeled/washed produce during neutropenia windows.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Hydration &amp; electrolytes:</w:t>
      </w:r>
      <w:r>
        <w:t xml:space="preserve"> because the absorptive colon is gone, prioritise oral rehydration and monitor sodium/potassium/calcium/magnesium — especially around chemo and any loose stools.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Movement:</w:t>
      </w:r>
      <w:r>
        <w:t xml:space="preserve"> daily walking as tolerated; abdominal binder and no heavy lifting/straining during surgical recovery; gentle resistance work added later to counter sarcopenia.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Autonomic/sleep:</w:t>
      </w:r>
      <w:r>
        <w:t xml:space="preserve"> consistent sleep–wake timing, slow diaphragmatic breathing, and stress down-regulation to lower sympathetic-driven inflammation (supports Axis 34/39).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Triggers to remove:</w:t>
      </w:r>
      <w:r>
        <w:t xml:space="preserve"> tobacco/alcohol; ultra-processed and charred/red-processed meats (colonic carcinogen exposure); unnecessary NSAID/antibiotic load that disturbs the recovering microbiome.</w:t>
      </w:r>
    </w:p>
    <w:p>
      <w:pPr>
        <w:pStyle w:val="Heading3"/>
      </w:pPr>
      <w:r>
        <w:t xml:space="preserve">Expected outcomes (Phase 1, ~8–12 weeks — functional before structural)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Functional: improved energy, appetite, and stool regularity; better chemo tolerance (less mucositis/nausea); steadier sleep and stress.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Biochemical: downtrend in CRP and NLR; rising albumin/total protein; rising haemoglobin; CEA falling toward normal post-resection (expected to normalise after curative surgery — a key surveillance signal).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Note: structural/imaging and genomic-field benefits lag functional recovery and are pursued only in later steps.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CE4E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CLINICAL CAUTIONS — read before initiating (for clinician review)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Active adjuvant chemotherapy (5-FU + Leucovorin):</w:t>
            </w:r>
            <w:r>
              <w:t xml:space="preserve"> Do NOT start herbal antioxidants/anti-inflammatories concurrently without the treating oncologist's approval. High-dose antioxidant load (e.g. curcumin, and antioxidant-rich modules) can theoretically blunt ROS-dependent cytotoxicity, and several botanicals carry CYP450 / antiplatelet interaction potential. Prefer dosing in the gaps between cycles and avoid the 48–72 h peri-infusion window unless the oncologist agrees.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DPD/DPYD status pending:</w:t>
            </w:r>
            <w:r>
              <w:t xml:space="preserve"> 5-FU toxicity (severe mucositis/neutropenia) is greatly increased in DPD deficiency. The serum DPD test ordered by the oncology team must be resolved before escalating any GI-mucosa-active support; coordinate timing with that result.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Post-total-colectomy gut:</w:t>
            </w:r>
            <w:r>
              <w:t xml:space="preserve"> AVOID cathartic / laxative / 'colon-biofilm purge' modules (e.g. B-LAX, Cathartic capsule). With an ileo-rectal anastomosis the patient already has high stool frequency; purgatives risk dehydration, electrolyte collapse and anastomotic stress. Titrate even gentle gut modules to stool tolerance.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Bleeding / thrombosis balance:</w:t>
            </w:r>
            <w:r>
              <w:t xml:space="preserve"> malignancy is pro-thrombotic (platelets 449k pre-op; PICC line planned) yet chemo and several herbs are antiplatelet. Review garlic/curcumin/ginger-containing modules against anticoagulation plans and any procedures.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Hypoalbuminemia &amp; hepatectomy:</w:t>
            </w:r>
            <w:r>
              <w:t xml:space="preserve"> low albumin and reduced hepatic mass alter drug protein-binding and clearance — start modules low, monitor LFTs/renal function each cycle.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Do not substitute for oncology care:</w:t>
            </w:r>
            <w:r>
              <w:t xml:space="preserve"> these modules are adjunctive, network-supportive, and require treating-team validation. They never replace surgery, adjuvant chemotherapy, or surveillance.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 · Introduction — A Network-Disorder Framing</w:t>
      </w:r>
    </w:p>
    <w:p>
      <w:pPr>
        <w:spacing w:after="120" w:before="0"/>
      </w:pPr>
      <w:r>
        <w:t xml:space="preserve">In the TSPI model, chronic illness is a </w:t>
      </w:r>
      <w:r>
        <w:rPr>
          <w:b/>
          <w:bCs/>
        </w:rPr>
        <w:t xml:space="preserve">network disease</w:t>
      </w:r>
      <w:r>
        <w:t xml:space="preserve">: distinct diagnoses are downstream expressions of shared upstream dysregulation rather than isolated, organ-bound events. This case is a clear illustration. The headline diagnosis is a moderately-differentiated adenocarcinoma of the right colon (pT3N0, MSS/MMR-proficient), but it sits inside a far larger picture — </w:t>
      </w:r>
      <w:r>
        <w:rPr>
          <w:b/>
          <w:bCs/>
        </w:rPr>
        <w:t xml:space="preserve">more than fifty colonic adenomas, gastric fundic-gland polyps, young age of onset, and a family history of cancer</w:t>
      </w:r>
      <w:r>
        <w:t xml:space="preserve"> — that points to a field-wide, genomically unstable, proliferative colonic environment rather than a single tumour.</w:t>
      </w:r>
    </w:p>
    <w:p>
      <w:pPr>
        <w:spacing w:after="120" w:before="0"/>
      </w:pPr>
      <w:r>
        <w:t xml:space="preserve">Read as a network, the laboratory and clinical data tell a coherent story: a </w:t>
      </w:r>
      <w:r>
        <w:rPr>
          <w:b/>
          <w:bCs/>
        </w:rPr>
        <w:t xml:space="preserve">genomically predisposed colon</w:t>
      </w:r>
      <w:r>
        <w:t xml:space="preserve"> (polyposis) chronically exposed to </w:t>
      </w:r>
      <w:r>
        <w:rPr>
          <w:b/>
          <w:bCs/>
        </w:rPr>
        <w:t xml:space="preserve">microbiome/barrier-driven inflammation</w:t>
      </w:r>
      <w:r>
        <w:t xml:space="preserve"> generated the systemic inflammatory signature visible in the blood — leukocytosis, a high neutrophil-to-lymphocyte ratio, thrombocytosis, and a markedly elevated CEA — while </w:t>
      </w:r>
      <w:r>
        <w:rPr>
          <w:b/>
          <w:bCs/>
        </w:rPr>
        <w:t xml:space="preserve">catabolic protein loss (hypoalbuminemia) and anemia</w:t>
      </w:r>
      <w:r>
        <w:t xml:space="preserve"> developed as parallel downstream consequences. Surgery and cytotoxic chemotherapy, though necessary and curative-intent, then added their own inflammatory, oxidative, and nutritional burdens.</w:t>
      </w:r>
    </w:p>
    <w:p>
      <w:pPr>
        <w:spacing w:after="120" w:before="0"/>
      </w:pPr>
      <w:r>
        <w:t xml:space="preserve">TSPI's job is therefore not to 'treat the tumour' in isolation — that is the oncology team's domain — but to </w:t>
      </w:r>
      <w:r>
        <w:rPr>
          <w:b/>
          <w:bCs/>
        </w:rPr>
        <w:t xml:space="preserve">map the biological network, locate the upstream hub, and restore the body toward its balanced state (Prakati)</w:t>
      </w:r>
      <w:r>
        <w:t xml:space="preserve"> so that the high-risk field is made less hospitable to recurrence and the patient is supported through conventional therapy. Everything that follows is structured around that logic and is presented for clinician review.</w:t>
      </w:r>
    </w:p>
    <w:p>
      <w:pPr>
        <w:pStyle w:val="Heading1"/>
      </w:pPr>
      <w:r>
        <w:t xml:space="preserve">3 · Clinical Overview</w:t>
      </w:r>
    </w:p>
    <w:p>
      <w:pPr>
        <w:spacing w:after="120" w:before="0"/>
      </w:pPr>
      <w:r>
        <w:rPr>
          <w:b/>
          <w:bCs/>
        </w:rPr>
        <w:t xml:space="preserve">Patient:</w:t>
      </w:r>
      <w:r>
        <w:t xml:space="preserve"> Male, age band 45–49. Anthropometry: ~93.5 kg, ~178 cm (BMI ≈ 29.5, overweight). Known hypertension on a beta-blocker. Family history: mother a breast-cancer survivor.</w:t>
      </w:r>
    </w:p>
    <w:p>
      <w:pPr>
        <w:spacing w:after="120" w:before="0"/>
      </w:pPr>
      <w:r>
        <w:rPr>
          <w:b/>
          <w:bCs/>
        </w:rPr>
        <w:t xml:space="preserve">Presentation &amp; course:</w:t>
      </w:r>
      <w:r>
        <w:t xml:space="preserve"> evaluated for loose stools, weight loss and anemia (late 2025). Colonoscopy revealed adenomatous polyposis coli with an ascending-colon growth; biopsy confirmed invasive adenocarcinoma with multiple tubulovillous adenomas (moderate–focally severe dysplasia). PET-CT showed a metabolically active circumferential ascending/hepatic-flexure mass with colo-colic intussusception and multiple polypoidal lesions throughout the colon. The patient underwent </w:t>
      </w:r>
      <w:r>
        <w:rPr>
          <w:b/>
          <w:bCs/>
        </w:rPr>
        <w:t xml:space="preserve">total colectomy + ileo-rectal anastomosis + segment-6 (mini) hepatectomy</w:t>
      </w:r>
      <w:r>
        <w:t xml:space="preserve"> (tumour adherent to liver segment VI), with intraoperative colonoscopy.</w:t>
      </w:r>
    </w:p>
    <w:p>
      <w:pPr>
        <w:spacing w:after="120" w:before="0"/>
      </w:pPr>
      <w:r>
        <w:rPr>
          <w:b/>
          <w:bCs/>
        </w:rPr>
        <w:t xml:space="preserve">Pathology:</w:t>
      </w:r>
      <w:r>
        <w:t xml:space="preserve"> moderately-differentiated adenocarcinoma (Grade II, 8×11×4 cm) infiltrating subserosal fat; </w:t>
      </w:r>
      <w:r>
        <w:rPr>
          <w:b/>
          <w:bCs/>
        </w:rPr>
        <w:t xml:space="preserve">&gt;50 background polyps</w:t>
      </w:r>
      <w:r>
        <w:t xml:space="preserve"> (tubular/tubulovillous, low-grade dysplasia); 0/18 lymph nodes involved; no lymphovascular, perineural, or budding; margins clear; </w:t>
      </w:r>
      <w:r>
        <w:rPr>
          <w:b/>
          <w:bCs/>
        </w:rPr>
        <w:t xml:space="preserve">pT3N0</w:t>
      </w:r>
      <w:r>
        <w:t xml:space="preserve">. IHC: MLH1/PMS2/MSH2/MSH6 retained → </w:t>
      </w:r>
      <w:r>
        <w:rPr>
          <w:b/>
          <w:bCs/>
        </w:rPr>
        <w:t xml:space="preserve">MMR-proficient / microsatellite-stable (MSS)</w:t>
      </w:r>
      <w:r>
        <w:t xml:space="preserve">. Gastric biopsy: benign fundic-gland polyps. A rectal polyp was deliberately left for later polypectomy and surveillance. Adjuvant </w:t>
      </w:r>
      <w:r>
        <w:rPr>
          <w:b/>
          <w:bCs/>
        </w:rPr>
        <w:t xml:space="preserve">5-FU + Leucovorin</w:t>
      </w:r>
      <w:r>
        <w:t xml:space="preserve"> commenced (Cycle 1); DPD level pending.</w:t>
      </w:r>
    </w:p>
    <w:p>
      <w:pPr>
        <w:pStyle w:val="Heading2"/>
      </w:pPr>
      <w:r>
        <w:t xml:space="preserve">Unified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objective findings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Network meaning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Oncologic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Adenocarcinoma R colon pT3N0, MSS; CEA 55.85 ng/mL pre-op; &gt;50 adenomas; fundic-gland gastric polyps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Genomically unstable, high-recurrence colonic field — not a single resected lesion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Inflammatory / hematologic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TLC ~13,200 with neutrophilia; NLR ≈5.8 (pre-op) → ≈10.7 (post-op); platelets 449k; Hb 12.3→8.6 g/dL, RDW ~23%, microcytic-hypochromic cells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Systemic NF-κB/IL-6 inflammatory load + mixed iron-deficiency / anemia-of-inflammation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Nutritional / hepatic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Albumin 2.6–2.9; total protein 4.1–5.2 g/dL; urea low (15) pre-op; weight loss; ALP transiently ~120; lipase transient 83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Protein-energy catabolism / cancer cachexia; reduced synthetic &amp; hepatic reserve (post-hepatectomy)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Renal / electrolyte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Creatinine 0.6–0.85 (eGFR &gt;100); Ca 7.5–8.0 (largely albumin-corrected); mild ↓Na, transient ↑Cl, low-normal PO4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Preserved renal function; electrolyte/calcium shifts track nutrition &amp; colectomy fluid handling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Cardiovascular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Hypertension; concentric LVH (new vs 2024); bicuspid aortic valve; EF 65%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Hypertensive endothelial/hemodynamic remodeling — a metabolic-vascular amplifier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Therapeutic context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Total colectomy + ileo-rectal anastomosis + segment-6 hepatectomy; adjuvant 5-FU/Leucovorin; DPD pending; PICC planned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Iatrogenic inflammatory/oxidative/xenobiotic and wound-healing load layered on the network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6500" w:sz="8"/>
              <w:left w:val="single" w:color="9C6500" w:sz="8"/>
              <w:bottom w:val="single" w:color="9C6500" w:sz="8"/>
              <w:right w:val="single" w:color="9C6500" w:sz="8"/>
            </w:tcBorders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9C6500"/>
                <w:sz w:val="20"/>
                <w:szCs w:val="20"/>
              </w:rPr>
              <w:t xml:space="preserve">Inputs that would sharpen this map (currently missing)</w:t>
            </w:r>
          </w:p>
          <w:p>
            <w:pPr>
              <w:spacing w:after="60"/>
            </w:pPr>
            <w:r>
              <w:t xml:space="preserve">Resolving these would move several inferred axes to confirmed: </w:t>
            </w:r>
            <w:r>
              <w:rPr>
                <w:b/>
                <w:bCs/>
              </w:rPr>
              <w:t xml:space="preserve">germline genetics (APC / MUTYH)</w:t>
            </w:r>
            <w:r>
              <w:t xml:space="preserve"> to characterise the polyposis syndrome and recurrence risk; </w:t>
            </w:r>
            <w:r>
              <w:rPr>
                <w:b/>
                <w:bCs/>
              </w:rPr>
              <w:t xml:space="preserve">DPD/DPYD</w:t>
            </w:r>
            <w:r>
              <w:t xml:space="preserve"> status (5-FU safety); </w:t>
            </w:r>
            <w:r>
              <w:rPr>
                <w:b/>
                <w:bCs/>
              </w:rPr>
              <w:t xml:space="preserve">CRP, ferritin, iron studies, B12/folate, vitamin D</w:t>
            </w:r>
            <w:r>
              <w:t xml:space="preserve">; </w:t>
            </w:r>
            <w:r>
              <w:rPr>
                <w:b/>
                <w:bCs/>
              </w:rPr>
              <w:t xml:space="preserve">LDH</w:t>
            </w:r>
            <w:r>
              <w:t xml:space="preserve">; </w:t>
            </w:r>
            <w:r>
              <w:rPr>
                <w:b/>
                <w:bCs/>
              </w:rPr>
              <w:t xml:space="preserve">fecal/microbiome profile</w:t>
            </w:r>
            <w:r>
              <w:t xml:space="preserve">; and </w:t>
            </w:r>
            <w:r>
              <w:rPr>
                <w:b/>
                <w:bCs/>
              </w:rPr>
              <w:t xml:space="preserve">post-resection CEA trend + surveillance imaging/endoscopy</w:t>
            </w:r>
            <w:r>
              <w:t xml:space="preserve"> of the residual rectum and upper GI tract.</w:t>
            </w:r>
          </w:p>
        </w:tc>
      </w:tr>
    </w:tbl>
    <w:p>
      <w:pPr>
        <w:pStyle w:val="Heading1"/>
      </w:pPr>
      <w:r>
        <w:t xml:space="preserve">4 · The Network Disease — Inflammation Hub, Microbiome/Nutrient Origin</w:t>
      </w:r>
    </w:p>
    <w:p>
      <w:pPr>
        <w:spacing w:after="120" w:before="0"/>
      </w:pPr>
      <w:r>
        <w:rPr>
          <w:b/>
          <w:bCs/>
        </w:rPr>
        <w:t xml:space="preserve">The hub is chronic inflammation; its origin is upstream in the gut.</w:t>
      </w:r>
      <w:r>
        <w:t xml:space="preserve"> Colorectal carcinogenesis classically follows a microbiome → barrier → inflammation → genomic-instability cascade, and this patient's data fit that pattern.</w:t>
      </w:r>
    </w:p>
    <w:p>
      <w:pPr>
        <w:pStyle w:val="Heading2"/>
      </w:pPr>
      <w:r>
        <w:t xml:space="preserve">Root-cause 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Genomic predisposition (field defect).</w:t>
      </w:r>
      <w:r>
        <w:t xml:space="preserve"> A polyposis phenotype (&gt;50 adenomas, gastric fundic-gland polyps, young onset, family history) implies a constitutional defect in the APC–WNT / genomic-stability program (Axis 11/12). The colon is primed for adenoma-to-carcinoma progression across its whole surface.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Microbiome dysbiosis &amp; barrier breakdown (upstream origin).</w:t>
      </w:r>
      <w:r>
        <w:t xml:space="preserve"> Loss of protective microbial diversity and SCFA (Axis 17) degrades the mucosal barrier (Axis 18) and increases endotoxin/LPS exposure — the proximate trigger that converts a genomically risky field into an actively inflamed one (pre-op loose stools are consistent with this).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Inflammation hub ignites (Axis 1).</w:t>
      </w:r>
      <w:r>
        <w:t xml:space="preserve"> LPS and damaged epithelium drive NF-κB → IL-6/TNF-α. The blood shows the systemic footprint: leukocytosis, high NLR, thrombocytosis, and the proliferative environment reflected by CEA 55.85.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Immune surveillance falters (Axis 2).</w:t>
      </w:r>
      <w:r>
        <w:t xml:space="preserve"> A MSS/MMR-proficient tumour is intrinsically less immunogenic; post-operative lymphopenia and the high NLR indicate weakened clearance of abnormal cells.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Oxidative &amp; metabolic amplifiers (Axis 9, 5, 20/23).</w:t>
      </w:r>
      <w:r>
        <w:t xml:space="preserve"> Oxidative stress accelerates mutation; overweight/hypertension with LVH add metabolic-vascular inflammation that feeds the same 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Manifestation (Axis 36) + downstream depletion.</w:t>
      </w:r>
      <w:r>
        <w:t xml:space="preserve"> The carcinoma is the visible manifestation; in parallel the same hub plus chronic blood loss produced </w:t>
      </w:r>
      <w:r>
        <w:rPr>
          <w:b/>
          <w:bCs/>
        </w:rPr>
        <w:t xml:space="preserve">anemia (Axis 26)</w:t>
      </w:r>
      <w:r>
        <w:t xml:space="preserve"> and </w:t>
      </w:r>
      <w:r>
        <w:rPr>
          <w:b/>
          <w:bCs/>
        </w:rPr>
        <w:t xml:space="preserve">catabolic hypoalbuminemia (Axis 28)</w:t>
      </w:r>
      <w:r>
        <w:t xml:space="preserve">. Surgery and 5-FU then impose </w:t>
      </w:r>
      <w:r>
        <w:rPr>
          <w:b/>
          <w:bCs/>
        </w:rPr>
        <w:t xml:space="preserve">detox (Axis 15), wound-healing (Axis 24) and organ-reserve (Axis 35)</w:t>
      </w:r>
      <w:r>
        <w:t xml:space="preserve"> demands.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9E2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Why this matters for therapy</w:t>
            </w:r>
          </w:p>
          <w:p>
            <w:pPr>
              <w:spacing w:after="60"/>
            </w:pPr>
            <w:r>
              <w:t xml:space="preserve">If the upstream hub (microbiome → barrier → inflammation, on a genomically unstable field) is left unaddressed, the residual rectum and upper GI tract remain a high-recurrence environment regardless of how clean the surgical margins are. TSPI therefore prioritises </w:t>
            </w:r>
            <w:r>
              <w:rPr>
                <w:b/>
                <w:bCs/>
              </w:rPr>
              <w:t xml:space="preserve">stabilising the hub and the patient's reserves first</w:t>
            </w:r>
            <w:r>
              <w:t xml:space="preserve"> — and only later targets genomic/longevity optimisation — always alongside oncology surveillance.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 · 39-Axis Mapping</w:t>
      </w:r>
    </w:p>
    <w:p>
      <w:pPr>
        <w:spacing w:after="120" w:before="0"/>
      </w:pPr>
      <w:r>
        <w:t xml:space="preserve">Axes are grouped into </w:t>
      </w:r>
      <w:r>
        <w:rPr>
          <w:b/>
          <w:bCs/>
        </w:rPr>
        <w:t xml:space="preserve">core/driver</w:t>
      </w:r>
      <w:r>
        <w:t xml:space="preserve"> axes (the engine of the network) and </w:t>
      </w:r>
      <w:r>
        <w:rPr>
          <w:b/>
          <w:bCs/>
        </w:rPr>
        <w:t xml:space="preserve">secondary/amplifier</w:t>
      </w:r>
      <w:r>
        <w:t xml:space="preserve"> axes (downstream or modifying). Severity uses the four-level spectrum; </w:t>
      </w:r>
      <w:r>
        <w:rPr>
          <w:b/>
          <w:bCs/>
        </w:rPr>
        <w:t xml:space="preserve">(inferred)</w:t>
      </w:r>
      <w:r>
        <w:t xml:space="preserve"> marks assignments not directly evidenced by a measured value.</w:t>
      </w:r>
    </w:p>
    <w:p>
      <w:pPr>
        <w:pStyle w:val="Heading2"/>
      </w:pPr>
      <w:r>
        <w:t xml:space="preserve">Core / driver axes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60"/>
        <w:gridCol w:w="39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Axis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36 Oncology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Oncology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Resected invasive adenocarcinoma within a high-recurrence polyposis field; CEA 55.85 pre-op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Pathological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11 DNA Repair / Genomic Stability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Genomic–Longevity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Polyposis (&gt;50 adenomas + gastric polyps), young onset, family Hx → field genomic instability (confirm with APC/MUTYH)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Pathological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 Systemic Inflammatory Load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Immune–Infection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Leukocytosis, NLR ≈5.8→10.7, thrombocytosis, CEA-marked proliferative milieu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Pathological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17 Microbiome Ecology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Detox–Gut Ecosystem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Pro-carcinogenic dysbiosis; pre-op diarrhea; post-colectomy ecology shift (inferred)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18 Gut Barrier &amp; Mucosal Integrity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Detox–Gut Ecosystem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Barrier disruption / LPS translocation driving Axis 1 (inferred)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19 Colon Biofilm &amp; Mucosal Burden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Detox–Gut Ecosystem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Polyposis field &amp; mucosal burden (largely excised; residual rectum at risk)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9 Oxidative Stress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Metabolic–Energy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Carcinogenesis + cytotoxic-chemo ROS load (inferred)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 Immune Homeostasis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Immune–Infection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MSS low-immunogenicity; lymphopenia; high NLR → weak surveillance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</w:tbl>
    <w:p>
      <w:pPr>
        <w:pStyle w:val="Heading2"/>
      </w:pPr>
      <w:r>
        <w:t xml:space="preserve">Secondary / amplifier axes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60"/>
        <w:gridCol w:w="39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Axis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16 Digestive–Absorptive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Detox–Gut Ecosystem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Total colectomy → fluid/electrolyte, B12/bile-acid, nutrient malabsorption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26 Stem Cell &amp; Hematopoiesis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Repair–Regeneration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Hb 8.6, RDW ~23%, microcytic component; chemo marrow stress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28 Muscle Protein Turnover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Musculoskeletal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Albumin 2.6–2.9, total protein low, weight loss → cachexia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15 Detoxification &amp; Cellular Defense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Detox–Gut Ecosystem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5-FU xenobiotic load; segment-6 hepatectomy; transient ALP↑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24 Wound Healing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Repair–Regeneration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Colectomy + hepatectomy + anastomosis; low albumin limits healing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Subclinical→Functional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35 Organ Resilience &amp; Reserve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Organ Axis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Partial hepatectomy + multi-system surgical insult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20 / 23 Endothelial &amp; Hemodynamics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Vascular–Circulation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Hypertension, concentric LVH (new), bicuspid aortic valve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8 Mitochondrial Network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Metabolic–Energy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Fatigue, catabolic/cancer metabolism (inferred)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Subclinical→Functional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 Glucose–Insulin Regulation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Metabolic–Energy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BMI ≈29.5, hypertension; glucose normal (inferred metabolic risk)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Subclinical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22 Thrombosis–Hemostasis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Vascular–Circulation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Cancer pro-coagulant state; thrombocytosis; PICC planned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Subclinical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10/12/13/14 Autophagy, Epigenetic, Longevity, Senescence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Genomic–Longevity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Cancer-biology programs (inferred)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Subclinical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34 / 39 Neuro-Sleep-Stress &amp; CELA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Neuro / Cognitive-Emotional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Diagnosis + surgery + chemo stress load (inferred)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Subclinical→Functional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Mapping to the 3 Keys of Health:</w:t>
      </w:r>
      <w:r>
        <w:t xml:space="preserve"> Axis 1/2/9/15/17/18 cluster under </w:t>
      </w:r>
      <w:r>
        <w:rPr>
          <w:b/>
          <w:bCs/>
        </w:rPr>
        <w:t xml:space="preserve">Key C – Biointegrity</w:t>
      </w:r>
      <w:r>
        <w:t xml:space="preserve"> (microbiome, barrier, DNA, tissue resilience) and </w:t>
      </w:r>
      <w:r>
        <w:rPr>
          <w:b/>
          <w:bCs/>
        </w:rPr>
        <w:t xml:space="preserve">Key A – Metabolic Energy</w:t>
      </w:r>
      <w:r>
        <w:t xml:space="preserve"> (Axis 8/5); the stress/autonomic and hormonal-adrenal load sits under </w:t>
      </w:r>
      <w:r>
        <w:rPr>
          <w:b/>
          <w:bCs/>
        </w:rPr>
        <w:t xml:space="preserve">Key B – Biological Dynamics</w:t>
      </w:r>
      <w:r>
        <w:t xml:space="preserve">. The dominant deficits are in </w:t>
      </w:r>
      <w:r>
        <w:rPr>
          <w:b/>
          <w:bCs/>
        </w:rPr>
        <w:t xml:space="preserve">Biointegrity</w:t>
      </w:r>
      <w:r>
        <w:t xml:space="preserve">, exactly where a polyposis-driven colorectal network would be expected to fail.</w:t>
      </w:r>
    </w:p>
    <w:p>
      <w:pPr>
        <w:pStyle w:val="Heading2"/>
      </w:pPr>
      <w:r>
        <w:t xml:space="preserve">Position on the 9 Steps of Wellness</w:t>
      </w:r>
    </w:p>
    <w:p>
      <w:pPr>
        <w:spacing w:after="120" w:before="0"/>
      </w:pPr>
      <w:r>
        <w:t xml:space="preserve">The patient is at the </w:t>
      </w:r>
      <w:r>
        <w:rPr>
          <w:b/>
          <w:bCs/>
        </w:rPr>
        <w:t xml:space="preserve">base of the ladder — Step 1 (Detoxification) → Step 2 (Microbiome Restoration), reaching into Step 3 (Immune Regulation) and Step 4 (Redox Balance)</w:t>
      </w:r>
      <w:r>
        <w:t xml:space="preserve"> — while conventional oncology adds load that must be buffered. Steps 5–8 (mitochondrial recovery, autophagy, genomic stability and regulation) are </w:t>
      </w:r>
      <w:r>
        <w:rPr>
          <w:b/>
          <w:bCs/>
        </w:rPr>
        <w:t xml:space="preserve">deferred</w:t>
      </w:r>
      <w:r>
        <w:t xml:space="preserve"> until the foundation is stable and the oncology team concurs. The </w:t>
      </w:r>
      <w:r>
        <w:rPr>
          <w:b/>
          <w:bCs/>
        </w:rPr>
        <w:t xml:space="preserve">Prakati gap is large</w:t>
      </w:r>
      <w:r>
        <w:t xml:space="preserve">, and recovery will be non-linear.</w:t>
      </w:r>
    </w:p>
    <w:p>
      <w:r>
        <w:br w:type="page"/>
      </w:r>
    </w:p>
    <w:p>
      <w:pPr>
        <w:pStyle w:val="Heading1"/>
      </w:pPr>
      <w:r>
        <w:t xml:space="preserve">6 · Therapeutic Architecture (Foundation → Functional → Restorative)</w:t>
      </w:r>
    </w:p>
    <w:p>
      <w:pPr>
        <w:spacing w:after="120" w:before="0"/>
      </w:pPr>
      <w:r>
        <w:t xml:space="preserve">All modules below exist in the attached TSPI catalog and are cited with target axes, mechanism, dose and safety. Sequencing is deliberate: </w:t>
      </w:r>
      <w:r>
        <w:rPr>
          <w:b/>
          <w:bCs/>
        </w:rPr>
        <w:t xml:space="preserve">Step 1 stabilises the hub and the gut; Step 2 regulates immunity/redox and supports detox of the chemo load; Step 3 rebuilds metabolism, blood and protein.</w:t>
      </w:r>
      <w:r>
        <w:t xml:space="preserve"> Genomic/longevity emphasis (Steps 6–8) comes only afterward. Everything is adjunctive to oncology and for clinician review.</w:t>
      </w:r>
    </w:p>
    <w:p>
      <w:pPr>
        <w:pStyle w:val="Heading2"/>
      </w:pPr>
      <w:r>
        <w:t xml:space="preserve">STEP 1 — Foundation Reset (detox · microbiome · barrier · inflammation)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960"/>
        <w:gridCol w:w="28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 [ID] / Dose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axes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Clinical role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KS Capsule [TSPI-DETOX-MICROBIOME-026] · 2–4 caps (500mg) 3–4×/day, titrate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1, 15, 17, 18, 9, 5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Piper/ginger/Plumbago/Derris; curcuminoids+piperine; ↓NF-κB/IL-6/TNF-α; toxin elimination; microbiome rebalance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Anchor detox/microbiome-reset formula of the 9-Step protocol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Ricezozyme [TSPI-RICEZOZYME-CORE] · 1–2 caps 2–3×/day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17, 18, 16, 8, 1, 9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Crystallised rice-bran/germ peptides, γ-oryzanol, SCFA precursors, B-complex, GABA; microbiome + barrier + ATP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Rebuilds residual gut ecosystem &amp; absorption post-colectomy; LD50 &gt;5000 mg/kg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Curcuma Capsules [TSPI-CURCUMA-01] · 2–4 caps (500mg) 3–4×/day*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1, 9, 15, 16, 17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Curcumin inhibits NF-κB/COX-2/LOX; ↑bile; ↑microbial diversity; anti-neoplastic signalling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Anti-inflammatory cornerstone; *chemo-timing caution (see §1)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Merdana Capsule [TSPI-IMMUNE-DETOX-024] · 2–4 caps (500mg) 3–4×/day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1, 2, 3, 9, 17, 18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Murdannia/Smilax/Houttuynia; ↑NK-cell clearance of abnormal cells; immune-detox balance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Restores surveillance for the MSS phenotype + reinforces gut foundation</w:t>
            </w:r>
          </w:p>
        </w:tc>
      </w:tr>
    </w:tbl>
    <w:p>
      <w:pPr>
        <w:pStyle w:val="Heading2"/>
      </w:pPr>
      <w:r>
        <w:t xml:space="preserve">STEP 2 — Immune Regulation · Redox Balance · Chemo Detox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960"/>
        <w:gridCol w:w="28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 [ID] / Dose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axes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Clinical role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IM-7 Detox &amp; Anti-Inflammatory [TSPI-TOXIN-INFLAM-TME-IM7] · 2–4 caps 2–3×/day before meals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1, 2, 9, 15, 22, 24, 25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Reishi/ginseng/spirulina/amla/green-tea; ↓NF-κB/IL-6/TNF-α; ↑NK &amp; macrophage efficiency; tissue repair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Post-op + tumour-microenvironment support; medium-term use with monitoring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IM-6 Capsule [TSPI-IMMUNE-INFLAM-030] · 2–4 caps (500mg) 3–4×/day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1, 2, 3, 9, 21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Andrographis/Smilax/Houttuynia/Curcuma/Tinospora; ↓cytokines; resolves lymphatic inflammation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Immune homeostasis + microcirculation; LD50 ~3000 mg/kg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Livoxy Capsule [TSPI-OXY-LIVER-DETOX-060] · 2–4 caps (500mg) 3–4×/day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1, 9, 15, 21, 8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↑dissolved O2 &amp; mitochondrial respiration; ↓glycolysis (anti-Warburg); curcuminoids/flavonoids ↓ROS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Redox balance + hepatic protection during cytotoxic load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HEPA PLUS [Nutraceutical — Hepatic Detox/Oncology-supportive] · 1–2 caps twice daily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15, 10, 1, 6, 36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↑Phase I/II detox (CYP450/GST/UGT) &amp; glutathione; ↑lymphatic/renal clearance; anti-edema; ↓cancer glycolysis/angiogenesis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Buffers 5-FU hepatic load post-hepatectomy; oncology-supportive</w:t>
            </w:r>
          </w:p>
        </w:tc>
      </w:tr>
    </w:tbl>
    <w:p>
      <w:pPr>
        <w:pStyle w:val="Heading2"/>
      </w:pPr>
      <w:r>
        <w:t xml:space="preserve">STEP 3 — Metabolic/Mitochondrial Recovery · Blood &amp; Protein Rebuild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960"/>
        <w:gridCol w:w="28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 [ID] / Dose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axes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Clinical role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Nourishing Blood Tonic [TSPI-BLOOD-REGEN-016] · 2–4 caps (500mg) 3–4×/day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26, 1, 9, 21, 22, 25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Ferulic acid/ligustilide/flavonoids; hematopoietic + anti-inflammatory + antioxidant; ↑microcirculation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Corrects anemia (Hb 8.6) &amp; supports tissue regeneration; LD50 3000 mg/kg. (Resolves the template 'Blood Nourishing' module.)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Buminmax Plus Bioactive Peptide [TSPI-REGEN-PEPTIDE-CORE] · 1–2 caps 2–3×/day, empty stomach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7, 8, 9, 10, 11, 28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Egg-white bioactive peptides; ↑amino-acid pool &amp; mTOR-driven protein synthesis; ↓proteolysis; ↑ATP; DNA-repair/longevity signalling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Corrects hypoalbuminemia/cachexia + supports genomic stability; LD50 &gt;5000 mg/kg, no normal-cell cytotoxicity. *mTOR-anabolic — see risk note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AM-PUR Mixture [TSPI-REGEN-ENDO-010] · 2–4 caps (500mg) 3–4×/day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5, 7, 8, 9, 21, 23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Ginger/Piper/ginseng/Boesenbergia; IGF/ginsenosides/ferulic acid; AMPK-mTOR &amp; mitochondrial energy; Qi-blood tonic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Metabolic-mitochondrial recovery &amp; circulation in the restorative phase</w:t>
            </w:r>
          </w:p>
        </w:tc>
      </w:tr>
    </w:tbl>
    <w:p>
      <w:pPr>
        <w:pStyle w:val="Heading2"/>
      </w:pPr>
      <w:r>
        <w:t xml:space="preserve">Later (Steps 6–8) — Genomic stability &amp; surveillance, only once foundation is stable</w:t>
      </w:r>
    </w:p>
    <w:p>
      <w:pPr>
        <w:spacing w:after="120" w:before="0"/>
      </w:pPr>
      <w:r>
        <w:t xml:space="preserve">Maintain the anti-inflammatory/microbiome base (KS, Ricezozyme, Curcuma) and emphasise </w:t>
      </w:r>
      <w:r>
        <w:rPr>
          <w:b/>
          <w:bCs/>
        </w:rPr>
        <w:t xml:space="preserve">autophagy/genomic protection</w:t>
      </w:r>
      <w:r>
        <w:t xml:space="preserve"> (continued Curcuma + Buminmax + the hepatic autophagy/detox platform). Re-weight toward AMPK/autophagy rather than aggressive anabolic stimulation while any residual disease risk is active. Pair with structured oncology surveillance of the residual rectum and upper GI tract.</w:t>
      </w:r>
    </w:p>
    <w:p>
      <w:pPr>
        <w:pStyle w:val="Heading2"/>
      </w:pPr>
      <w:r>
        <w:t xml:space="preserve">Risks of premature structural / endocrine / 'manifestation-first' intervention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Antioxidant/anti-tumour herbs during active 5-FU</w:t>
      </w:r>
      <w:r>
        <w:t xml:space="preserve"> may blunt ROS-dependent cytotoxicity and add CYP/antiplatelet and hepatic/marrow burden — never front-run or replace adjuvant chemo; time around cycles with oncology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mTOR-anabolic stimulation too early</w:t>
      </w:r>
      <w:r>
        <w:t xml:space="preserve"> (e.g. pushing Buminmax/AM-PUR hard before tumour clearance is confirmed) is theoretically pro-proliferative; in the active-disease window favour AMPK/autophagy emphasis and use anabolic support conservatively for cachexia under supervision.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Cathartic/colon-purge modules</w:t>
      </w:r>
      <w:r>
        <w:t xml:space="preserve"> in a colectomised gut risk fluid/electrolyte collapse and anastomotic stress (see §1 cautions) — excluded from this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Chasing CEA or genomic/longevity 'optimisation' before the gut–immune–nutrition foundation is stable</w:t>
      </w:r>
      <w:r>
        <w:t xml:space="preserve"> inverts the 9-Step order and tends to fail; foundation precedes manifestation.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CE4E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Catalog resolution flags (per TSPI grounding rules)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'Blood Nourishing' (template) → RESOLVED</w:t>
            </w:r>
            <w:r>
              <w:t xml:space="preserve"> to </w:t>
            </w:r>
            <w:r>
              <w:rPr>
                <w:b/>
                <w:bCs/>
              </w:rPr>
              <w:t xml:space="preserve">Nourishing Blood Tonic Capsule</w:t>
            </w:r>
            <w:r>
              <w:t xml:space="preserve"> [TSPI-BLOOD-REGEN-016] — full ingredients/mechanism/dose/safety available and cited above.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ZAMINZYME [product 191] → FLAGGED, not used.</w:t>
            </w:r>
            <w:r>
              <w:t xml:space="preserve"> It exists in the catalog (rice bran/germ + black sesame; mapped to Axes 17/18/19/28/29/30/35) but its mechanism, recommended dose, and safety/LD50 fields are recorded as 'None'. Per TSPI rules these details are NOT invented; </w:t>
            </w:r>
            <w:r>
              <w:rPr>
                <w:b/>
                <w:bCs/>
              </w:rPr>
              <w:t xml:space="preserve">Ricezozyme</w:t>
            </w:r>
            <w:r>
              <w:t xml:space="preserve"> (fully documented, same rice-bran niche) is used in its place.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B-LAX / Cathartic capsules → deliberately excluded</w:t>
            </w:r>
            <w:r>
              <w:t xml:space="preserve"> on safety grounds (post-total-colectomy), not for lack of catalog data.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 · Monitoring, Outcomes &amp; Prakati</w:t>
      </w:r>
    </w:p>
    <w:p>
      <w:pPr>
        <w:spacing w:after="120" w:before="0"/>
      </w:pPr>
      <w:r>
        <w:t xml:space="preserve">Recovery is tracked on three layers — </w:t>
      </w:r>
      <w:r>
        <w:rPr>
          <w:b/>
          <w:bCs/>
        </w:rPr>
        <w:t xml:space="preserve">biomarkers, functional indicators, and imaging/endoscopy</w:t>
      </w:r>
      <w:r>
        <w:t xml:space="preserve"> — and is expected to be </w:t>
      </w:r>
      <w:r>
        <w:rPr>
          <w:b/>
          <w:bCs/>
        </w:rPr>
        <w:t xml:space="preserve">non-linear</w:t>
      </w:r>
      <w:r>
        <w:t xml:space="preserve"> (functional improvement precedes biochemical, which precedes structural/field change). All thresholds are for clinician interpretation and are coordinated with the oncology surveillance schedule.</w:t>
      </w:r>
    </w:p>
    <w:p>
      <w:pPr>
        <w:pStyle w:val="Heading2"/>
      </w:pPr>
      <w:r>
        <w:t xml:space="preserve">Per-phase biomarker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960"/>
        <w:gridCol w:w="20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Marker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Baseline (this case)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trajectory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CEA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55.85 ng/mL (pre-op)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Normalise to &lt;3 after curative resection; stable thereafter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q1–3 months (rising = recurrence flag)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CRP / NLR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NLR ≈5.8→10.7; CRP not on file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CRP toward &lt;3 mg/L; NLR toward &lt;3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Each cycle / monthly in Phase 1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Haemoglobin / RDW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Hb 8.6 g/dL; RDW ~23%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Hb &gt;11–12; RDW normalising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Before each chemo cycle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Albumin / total protein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Alb 2.6–2.9; TP 4.1–5.2 g/dL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Alb &gt;3.5; TP &gt;6.0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Each cycle / 2–4 weekly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Platelets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449k (pre-op) → 292–301k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Within 150–400k; watch chemo-induced drop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Each cycle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LFT / renal / electrolytes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ALP transient ~120; Ca 7.5–8.0; Na 135–136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Normalise; correct albumin-adjusted Ca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Each cycle (colectomy fluid losses)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Pending baselines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Iron/ferritin, B12/folate, vit D, LDH, DPD, APC/MUTYH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Establish to refine inferred axes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Before escalation</w:t>
            </w:r>
          </w:p>
        </w:tc>
      </w:tr>
    </w:tbl>
    <w:p>
      <w:pPr>
        <w:pStyle w:val="Heading2"/>
      </w:pPr>
      <w:r>
        <w:t xml:space="preserve">Functional indicators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Energy/performance status, appetite, and body weight (reversing the pre-op loss).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Stool frequency &amp; consistency (critical post-colectomy) — fluid/electrolyte stability.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Chemo tolerance: mucositis, nausea, neutropenic events.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Sleep quality and stress/autonomic balance.</w:t>
      </w:r>
    </w:p>
    <w:p>
      <w:pPr>
        <w:pStyle w:val="Heading2"/>
      </w:pPr>
      <w:r>
        <w:t xml:space="preserve">Imaging / endoscopy cadence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Surveillance of the </w:t>
      </w:r>
      <w:r>
        <w:rPr>
          <w:b/>
          <w:bCs/>
        </w:rPr>
        <w:t xml:space="preserve">residual rectum</w:t>
      </w:r>
      <w:r>
        <w:t xml:space="preserve"> (the deferred rectal polyp + ileo-rectal anastomosis) — proctoscopy/flexible sigmoidoscopy at intervals set by the surgical/oncology team, tighter given the polyposis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Upper GI endoscopy</w:t>
      </w:r>
      <w:r>
        <w:t xml:space="preserve"> surveillance given fundic-gland gastric polyps and possible polyposis syndrome.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Cross-sectional imaging (CT) per oncology adjuvant-surveillance protocol; correlate with CEA trend.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germline APC/MUTYH confirms a syndrome, adopt the corresponding intensified surveillance and family-screening pathway.</w:t>
      </w:r>
    </w:p>
    <w:p>
      <w:pPr>
        <w:pStyle w:val="Heading2"/>
      </w:pPr>
      <w:r>
        <w:t xml:space="preserve">Relapse / red-flag signs</w:t>
      </w:r>
    </w:p>
    <w:p>
      <w:pPr>
        <w:spacing w:after="120" w:before="0"/>
      </w:pPr>
      <w:r>
        <w:t xml:space="preserve">Rising CEA, new or changing bowel symptoms, unexplained weight loss, recurrent anemia, new pain or hepatic findings, or rebound inflammatory markers — any of these prompts immediate oncology review.</w:t>
      </w:r>
    </w:p>
    <w:p>
      <w:pPr>
        <w:pStyle w:val="Heading2"/>
      </w:pPr>
      <w:r>
        <w:t xml:space="preserve">Maintenance &amp; Prakati</w:t>
      </w:r>
    </w:p>
    <w:p>
      <w:pPr>
        <w:spacing w:after="120" w:before="0"/>
      </w:pPr>
      <w:r>
        <w:t xml:space="preserve">Because this is a </w:t>
      </w:r>
      <w:r>
        <w:rPr>
          <w:b/>
          <w:bCs/>
        </w:rPr>
        <w:t xml:space="preserve">lifelong field-risk patient</w:t>
      </w:r>
      <w:r>
        <w:t xml:space="preserve">, the maintenance goal is a durable low-inflammation, diverse-microbiome, well-nourished, genomically protected state — the TSPI definition of </w:t>
      </w:r>
      <w:r>
        <w:rPr>
          <w:b/>
          <w:bCs/>
        </w:rPr>
        <w:t xml:space="preserve">Prakati (ปกติสภาวะ)</w:t>
      </w:r>
      <w:r>
        <w:t xml:space="preserve">. Long-term: sustain the microbiome/anti-inflammatory base, keep nutrition and blood optimised, emphasise autophagy/genomic protection, and remain on structured surveillance. Functional recovery (feeling well) will arrive before structural/field reassurance — both are tracked, neither is assumed.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CE4E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For clinician review and approval</w:t>
            </w:r>
          </w:p>
          <w:p>
            <w:pPr>
              <w:spacing w:after="60"/>
            </w:pPr>
            <w:r>
              <w:t xml:space="preserve">This TSPI Case Report is an AI-generated, network-level decision-support analysis intended to augment — not replace — the treating clinicians. Every diagnosis, module, dose, and sequencing decision must be reviewed, modified, or approved by the patient's oncology/surgical team before any action, and all botanical modules must be reconciled against active chemotherapy (5-FU/Leucovorin), DPD status, anticoagulation, and hepatic/renal function. Nothing here substitutes for surgery, adjuvant chemotherapy, or oncologic surveillance.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4"/>
        <w:szCs w:val="14"/>
      </w:rPr>
      <w:t xml:space="preserve">Generated by TSPI behind MiHealth · For clinician review and approval · Page </w:t>
    </w:r>
    <w:r>
      <w:rPr>
        <w:color w:val="A6A6A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jc w:val="right"/>
    </w:pPr>
    <w:r>
      <w:rPr>
        <w:color w:val="A6A6A6"/>
        <w:sz w:val="14"/>
        <w:szCs w:val="14"/>
      </w:rPr>
      <w:t xml:space="preserve">TSPI Case Report · TSPI-CRC-2026-06 · De-identified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Calibri" w:cs="Calibri" w:eastAsia="Calibri" w:hAnsi="Calibri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2026-06-16T14:33:24.628Z</dcterms:created>
  <dcterms:modified xsi:type="dcterms:W3CDTF">2026-06-16T14:33:24.628Z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