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rPr>
          <w:b/>
        </w:rPr>
        <w:t>Protocol ID</w:t>
      </w:r>
      <w:r>
        <w:t>: PROTO-20260908-AI-RESEARCH-HARNESSES-TRUST</w:t>
      </w:r>
    </w:p>
    <w:p>
      <w:r>
        <w:rPr>
          <w:b/>
        </w:rPr>
        <w:t>Type</w:t>
      </w:r>
      <w:r>
        <w:t>: Early-evidence living scoping review (protocol-based), reported in line with PRISMA-ScR</w:t>
      </w:r>
    </w:p>
    <w:p>
      <w:r>
        <w:rPr>
          <w:b/>
        </w:rPr>
        <w:t>Manuscript status</w:t>
      </w:r>
      <w:r>
        <w:t>: Final version 1.0 for submission (post-adversarial audit; all review items resolved)</w:t>
      </w:r>
    </w:p>
    <w:p>
      <w:r>
        <w:rPr>
          <w:b/>
        </w:rPr>
        <w:t>Review version</w:t>
      </w:r>
      <w:r>
        <w:t>: 1.0 (corpus finalized 2026-09-09; aggregates reported as-of this date)</w:t>
      </w:r>
    </w:p>
    <w:p>
      <w:r>
        <w:rPr>
          <w:b/>
        </w:rPr>
        <w:t>Prepared by</w:t>
      </w:r>
      <w:r>
        <w:t>: The Nexus Scholar Research Pipeline (multi-agent orchestration; agent prompts versioned with the pipeline; all claims machine-verified verbatim against full text — see §3.5 and §7)</w:t>
      </w:r>
    </w:p>
    <w:p>
      <w:r>
        <w:rPr>
          <w:b/>
        </w:rPr>
        <w:t>Corpus window</w:t>
      </w:r>
      <w:r>
        <w:t>: January 2023 – September 2026</w:t>
      </w:r>
    </w:p>
    <w:p>
      <w:r>
        <w:t>---</w:t>
      </w:r>
    </w:p>
    <w:p>
      <w:r>
        <w:rPr>
          <w:b/>
        </w:rPr>
        <w:t>Authors</w:t>
      </w:r>
    </w:p>
    <w:p>
      <w:r>
        <w:t>Mouadh Bekhouche*¹ and Soumia Zertal*²</w:t>
      </w:r>
    </w:p>
    <w:p>
      <w:r>
        <w:t>¹² University of Oum El Bouaghi, Algeria</w:t>
      </w:r>
    </w:p>
    <w:p>
      <w:r>
        <w:t>*Contributed equally to this work.</w:t>
      </w:r>
    </w:p>
    <w:p>
      <w:r>
        <w:t>² Corresponding author. Email: zertal.soumia@univ-oeb.dz</w:t>
      </w:r>
    </w:p>
    <w:p>
      <w:r>
        <w:t>---</w:t>
      </w:r>
    </w:p>
    <w:p>
      <w:r>
        <w:rPr>
          <w:b/>
        </w:rPr>
        <w:t>Background.</w:t>
      </w:r>
      <w:r>
        <w:t xml:space="preserve"> Large language model (LLM) and agentic systems are being pressed into service across the systematic-review lifecycle — search, screening, extraction, and synthesis — yet the trustworthiness of their outputs (citation verifiability, provenance, reproducibility) is not established.</w:t>
      </w:r>
    </w:p>
    <w:p>
      <w:r>
        <w:rPr>
          <w:b/>
        </w:rPr>
        <w:t>Methods.</w:t>
      </w:r>
      <w:r>
        <w:t xml:space="preserve"> We conducted a protocol-driven early-evidence living scoping review across five scholarly sources (OpenAlex, Semantic Scholar, Crossref, PubMed, arXiv; January 2023–September 2026; bioRxiv-track content captured through these providers' indexing). The field is preprint-dominated and publication-lagging — 32/58 included records (55%) are preprint-track and 2026 alone accounts for 30/58 (52%) of the corpus — so the review is explicitly framed as a living review (Version 1.0, corpus finalized 2026-09-09; re-run protocol in §3.8). 239 deduplicated records were screened by four independent AI screeners (Fleiss' κ = 0.408) with majority voting and adjudicated deadlock resolution, yielding 58 included studies. The 58 included studies (47 fully Phase-4 certified) were subjected to a four-stream trust audit (retraction status, open-science artifact scan, conflict-of-interest audit, risk-of-bias attestation). Evidence was synthesized by two competing pipelines: a deterministic top-k retrieval-augmented generation (RAG) baseline (90 claims, 43.3% entailment-verified) and an authoritative </w:t>
      </w:r>
      <w:r>
        <w:rPr>
          <w:b/>
        </w:rPr>
        <w:t>multi-agent full-text claim-extraction pipeline</w:t>
      </w:r>
      <w:r>
        <w:t xml:space="preserve"> (8 full-text agents + 1 abstract agent) whose 510 claims each passed </w:t>
      </w:r>
      <w:r>
        <w:rPr>
          <w:b/>
        </w:rPr>
        <w:t>≥90% glyph-normalized coverage on char-window or token 6-gram verification</w:t>
      </w:r>
      <w:r>
        <w:t xml:space="preserve"> (100% pass). Claims were clustered into a semantic consensus map.</w:t>
      </w:r>
    </w:p>
    <w:p>
      <w:r>
        <w:rPr>
          <w:b/>
        </w:rPr>
        <w:t>Results.</w:t>
      </w:r>
      <w:r>
        <w:t xml:space="preserve"> Architectures converge on auditable, provenance-bearing workflows: multi-agent role specialization, end-to-end orchestrated pipelines, retrieval- (RAG) and knowledge-graph-grounded designs, and prompt-compilation systems. Execution provenance is increasingly structured and append-only (deterministic IDs, immutable content-hashed run records, temperature-0 decoding, open-weights selection). Citation verifiability is the binding trust constraint: across 17,443 generated citations no model exceeded a 0.475 existence rate, while retrieval grounding reduced hallucinated papers to zero in OpenScholar-8B versus 78–98% for non-retrieval LLMs. Pooled LLM screening sensitivity/specificity reached 0.92/0.94 (I² = 95.8%), but temporal drift (−1.9%/day), run-to-run item-level discordance, and prompt fragility (up to 76-point accuracy swings) are not captured by standard reporting. The deterministic RAG pipeline cited 11 screened-out studies (corpus contamination) and verified only 43.3% of its claims; the multi-agent ledger reached 100% pass at the ≥0.90 coverage threshold across 57 included studies and surfaced a consensus structure (95 clusters: 16 high-consensus, 7 active debates, 37 unresolved, 35 provisional) invisible to RAG.</w:t>
      </w:r>
    </w:p>
    <w:p>
      <w:r>
        <w:rPr>
          <w:b/>
        </w:rPr>
        <w:t>Conclusions.</w:t>
      </w:r>
      <w:r>
        <w:t xml:space="preserve"> Full-text, verbatim-verifiable claim extraction is a tractable and superior synthesis primitive for trustworthy research infrastructure. We identify the field's open gap: no study provides an end-to-end, externally validated, multi-domain benchmark jointly evaluating screening, extraction, synthesis quality, citation verifiability, and cost.</w:t>
      </w:r>
    </w:p>
    <w:p>
      <w:r>
        <w:rPr>
          <w:b/>
        </w:rPr>
        <w:t>Keywords</w:t>
      </w:r>
      <w:r>
        <w:t>: AI-assisted systematic review; agentic systems; retrieval-augmented generation; citation fact-checking; provenance; reproducibility; hallucination mitigation; evidence synthesis.</w:t>
      </w:r>
    </w:p>
    <w:p>
      <w:r>
        <w:t>---</w:t>
      </w:r>
    </w:p>
    <w:p>
      <w:r>
        <w:t>Conventional systematic reviews and scoping reviews are time-consuming, labor intensive, and susceptible to human bias [1]; conventional keyword search tools "lack the semantic understanding to answer nuanced questions" [2]. The rapid commoditization of LLMs has produced a wave of research harnesses claiming to automate review workflows end to end — from federated discovery and deduplication to TITLE/ABSTRACT screening, full-text extraction, risk-of-bias assessment, and statistical synthesis. Yet the same commoditization introduces new failure modes: fabricated citations, unreproducible runs, opaque closed-weight models, and retrieval pipelines that silently draw on evidence outside the approved corpus.</w:t>
      </w:r>
    </w:p>
    <w:p>
      <w:r>
        <w:t xml:space="preserve">This review asks three questions. </w:t>
      </w:r>
      <w:r>
        <w:rPr>
          <w:b/>
        </w:rPr>
        <w:t>RQ1</w:t>
      </w:r>
      <w:r>
        <w:t xml:space="preserve"> — What is the state of the art in academic research and literature-review harnesses integrating LLMs and agentic AI (2023–2026), particularly their design mechanisms for execution provenance, audit trails, and process reproducibility? </w:t>
      </w:r>
      <w:r>
        <w:rPr>
          <w:b/>
        </w:rPr>
        <w:t>RQ2</w:t>
      </w:r>
      <w:r>
        <w:t xml:space="preserve"> — What evidence-trust and academic-integrity mechanisms (citation fact-checking, hallucination mitigation, retraction checks, risk-of-bias, open-science artifact verification) do they incorporate? </w:t>
      </w:r>
      <w:r>
        <w:rPr>
          <w:b/>
        </w:rPr>
        <w:t>RQ3</w:t>
      </w:r>
      <w:r>
        <w:t xml:space="preserve"> — How are they empirically evaluated, and what architectural gaps remain for the construction of novel, trustworthy research infrastructure?</w:t>
      </w:r>
    </w:p>
    <w:p>
      <w:r>
        <w:t>Our contribution is methodological as much as substantive: the synthesis itself is generated and audited by the same class of systems under study. Every claim in this manuscript is backed by a machine-verified, glyph-normalized verbatim quote from the included full text (≥90% coverage on char-window or token 6-gram matching — see §3.5), and every pipeline step is recorded in an append-only audit journal.</w:t>
      </w:r>
    </w:p>
    <w:p>
      <w:r>
        <w:t xml:space="preserve">Because the field is preprint-dominated and publication-lagging (55% of included records are preprint-track, and 2026 accounts for 52% of the corpus), we frame this as an </w:t>
      </w:r>
      <w:r>
        <w:rPr>
          <w:b/>
        </w:rPr>
        <w:t>early-evidence living scoping review</w:t>
      </w:r>
      <w:r>
        <w:t>: Version 1.0 reports the aggregate state of evidence as of corpus finalization (2026-09-09), and §3.8 specifies a re-run protocol for subsequent versions.</w:t>
      </w:r>
    </w:p>
    <w:p>
      <w:r>
        <w:t>Prior evaluations have been narrow and siloed. Screening-performance meta-analyses report strong pooled sensitivity but extreme heterogeneity [3]. Citation-fabrication studies establish low existence ceilings but stop at measurement [4]. System papers demonstrate retrieval-grounded claim generation but evaluate on narrow benchmarks [5] (preprint version: [6]). Reviews of agentic scientific tools remain taxonomical [7], and reproducibility audits document run-to-run instability without remediating it [8]. Missing is a protocol-driven, corpus-scoped, verbatim-verified synthesis that simultaneously characterizes design, trust mechanisms, and evaluation maturity — the gap this review addresses. Our retrieval-augmented baseline further contributes a direct, quantitative comparison of deterministic RAG synthesis versus full-text multi-agent extraction over an identical corpus.</w:t>
      </w:r>
    </w:p>
    <w:p>
      <w:r>
        <w:t>The review follows a hash-pinned protocol compiled with a protocol compiler (</w:t>
      </w:r>
      <w:r>
        <w:rPr>
          <w:rFonts w:ascii="Consolas" w:hAnsi="Consolas"/>
        </w:rPr>
        <w:t>protocol.json</w:t>
      </w:r>
      <w:r>
        <w:t xml:space="preserve">, </w:t>
      </w:r>
      <w:r>
        <w:rPr>
          <w:rFonts w:ascii="Consolas" w:hAnsi="Consolas"/>
        </w:rPr>
        <w:t>SCREENING_CRITERIA.md</w:t>
      </w:r>
      <w:r>
        <w:t xml:space="preserve">, </w:t>
      </w:r>
      <w:r>
        <w:rPr>
          <w:rFonts w:ascii="Consolas" w:hAnsi="Consolas"/>
        </w:rPr>
        <w:t>intent.json</w:t>
      </w:r>
      <w:r>
        <w:t>) under the Design Science paradigm, and is reported in line with PRISMA-ScR and living-(systematic-)review guidance adapted to a scoping design. All stages were executed through a shared virtual Python environment; every step is recorded in an append-only audit journal (</w:t>
      </w:r>
      <w:r>
        <w:rPr>
          <w:rFonts w:ascii="Consolas" w:hAnsi="Consolas"/>
        </w:rPr>
        <w:t>audit/journal.jsonl</w:t>
      </w:r>
      <w:r>
        <w:t>, 70 events). The corpus window (January 2023 – September 2026) is frozen for Version 1.0 at corpus finalization; §3.8 defines how the trailing publication-date boundary and subsequent evidence are absorbed in later versions.</w:t>
      </w:r>
    </w:p>
    <w:p>
      <w:r>
        <w:t xml:space="preserve">Five sources were federated in a single pass (OpenAlex, Semantic Scholar, Crossref, PubMed, arXiv; bioRxiv-track preprints are captured via PubMed indexing) with concept-and-synonym search strings (Boolean OR within and across the concepts "literature-review automation" and "large language model"; see </w:t>
      </w:r>
      <w:r>
        <w:rPr>
          <w:rFonts w:ascii="Consolas" w:hAnsi="Consolas"/>
        </w:rPr>
        <w:t>search_strategy</w:t>
      </w:r>
      <w:r>
        <w:t xml:space="preserve"> in </w:t>
      </w:r>
      <w:r>
        <w:rPr>
          <w:rFonts w:ascii="Consolas" w:hAnsi="Consolas"/>
        </w:rPr>
        <w:t>protocol.json</w:t>
      </w:r>
      <w:r>
        <w:t xml:space="preserve"> and supplementary search-log) targeting LLM/agentic review automation, 2023–2026. 250 raw hits were deduplicated and hydrated (DOI and normalized-title resolution, abstract and DOI completion), yielding </w:t>
      </w:r>
      <w:r>
        <w:rPr>
          <w:b/>
        </w:rPr>
        <w:t>239 unique verified records</w:t>
      </w:r>
      <w:r>
        <w:t>.</w:t>
      </w:r>
    </w:p>
    <w:p>
      <w:r>
        <w:t xml:space="preserve">Two hundred thirty-nine records were screened against explicit PICO-style inclusion/exclusion criteria by four independent AI screeners in twelve agent-in-the-loop batches (Fleiss' κ = </w:t>
      </w:r>
      <w:r>
        <w:rPr>
          <w:b/>
        </w:rPr>
        <w:t>0.408</w:t>
      </w:r>
      <w:r>
        <w:t xml:space="preserve">, fair agreement by Landis–Koch bands). Two hundred thirteen records were resolved by majority rule (≥3 of 4); the </w:t>
      </w:r>
      <w:r>
        <w:rPr>
          <w:b/>
        </w:rPr>
        <w:t>26 two-vs-two deadlocks</w:t>
      </w:r>
      <w:r>
        <w:t xml:space="preserve"> were adjudicated by a senior adjudicator. Final: </w:t>
      </w:r>
      <w:r>
        <w:rPr>
          <w:b/>
        </w:rPr>
        <w:t>58 included / 181 excluded</w:t>
      </w:r>
      <w:r>
        <w:t>. Table 1 summarizes the full flow of information; screening reliability is decomposed in Table 2; the flow is rendered in Figure 1.</w:t>
      </w:r>
    </w:p>
    <w:p>
      <w:r>
        <w:rPr>
          <w:b/>
        </w:rPr>
        <w:t>Table 1. Identification, screening, and inclusion flow (PRISMA-ScR item 17).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artifact</w:t>
            </w:r>
          </w:p>
        </w:tc>
      </w:tr>
      <w:tr>
        <w:tc>
          <w:tcPr>
            <w:tcW w:type="dxa" w:w="2880"/>
          </w:tcPr>
          <w:p>
            <w:r>
              <w:t>Records identified from 5 sources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`raw_search.json` (50 per source, query Q001)</w:t>
            </w:r>
          </w:p>
        </w:tc>
      </w:tr>
      <w:tr>
        <w:tc>
          <w:tcPr>
            <w:tcW w:type="dxa" w:w="2880"/>
          </w:tcPr>
          <w:p>
            <w:r>
              <w:t>Duplicates removed (DOI + normalized-title)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`deduped.json`</w:t>
            </w:r>
          </w:p>
        </w:tc>
      </w:tr>
      <w:tr>
        <w:tc>
          <w:tcPr>
            <w:tcW w:type="dxa" w:w="2880"/>
          </w:tcPr>
          <w:p>
            <w:r>
              <w:t>Records screened (title + abstract, 4 AI screeners)</w:t>
            </w:r>
          </w:p>
        </w:tc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12 agent-in-the-loop batches</w:t>
            </w:r>
          </w:p>
        </w:tc>
      </w:tr>
      <w:tr>
        <w:tc>
          <w:tcPr>
            <w:tcW w:type="dxa" w:w="2880"/>
          </w:tcPr>
          <w:p>
            <w:r>
              <w:t>Excluded at title/abstract (systematic rule)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`excluded.json`</w:t>
            </w:r>
          </w:p>
        </w:tc>
      </w:tr>
      <w:tr>
        <w:tc>
          <w:tcPr>
            <w:tcW w:type="dxa" w:w="2880"/>
          </w:tcPr>
          <w:p>
            <w:r>
              <w:t>Included studies (review corpus)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`included.json`</w:t>
            </w:r>
          </w:p>
        </w:tc>
      </w:tr>
      <w:tr>
        <w:tc>
          <w:tcPr>
            <w:tcW w:type="dxa" w:w="2880"/>
          </w:tcPr>
          <w:p>
            <w:r>
              <w:t>OA full-text PDFs harvested and validated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`pdfs/` (OA harvest)</w:t>
            </w:r>
          </w:p>
        </w:tc>
      </w:tr>
      <w:tr>
        <w:tc>
          <w:tcPr>
            <w:tcW w:type="dxa" w:w="2880"/>
          </w:tcPr>
          <w:p>
            <w:r>
              <w:t>Included studies contributing claims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`claims.json` (493 full-text + 17 abstract-only)</w:t>
            </w:r>
          </w:p>
        </w:tc>
      </w:tr>
      <w:tr>
        <w:tc>
          <w:tcPr>
            <w:tcW w:type="dxa" w:w="2880"/>
          </w:tcPr>
          <w:p>
            <w:r>
              <w:t>Fully Phase-4 certified studies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`phase4/*.json`</w:t>
            </w:r>
          </w:p>
        </w:tc>
      </w:tr>
    </w:tbl>
    <w:p/>
    <w:p>
      <w:r>
        <w:rPr>
          <w:b/>
        </w:rPr>
        <w:t>Table 2. Title/abstract screening reliability.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Screeners</w:t>
            </w:r>
          </w:p>
        </w:tc>
        <w:tc>
          <w:tcPr>
            <w:tcW w:type="dxa" w:w="4320"/>
          </w:tcPr>
          <w:p>
            <w:r>
              <w:t>4 independent AI screeners</w:t>
            </w:r>
          </w:p>
        </w:tc>
      </w:tr>
      <w:tr>
        <w:tc>
          <w:tcPr>
            <w:tcW w:type="dxa" w:w="4320"/>
          </w:tcPr>
          <w:p>
            <w:r>
              <w:t>Batches</w:t>
            </w:r>
          </w:p>
        </w:tc>
        <w:tc>
          <w:tcPr>
            <w:tcW w:type="dxa" w:w="4320"/>
          </w:tcPr>
          <w:p>
            <w:r>
              <w:t>12 (agent-in-the-loop)</w:t>
            </w:r>
          </w:p>
        </w:tc>
      </w:tr>
      <w:tr>
        <w:tc>
          <w:tcPr>
            <w:tcW w:type="dxa" w:w="4320"/>
          </w:tcPr>
          <w:p>
            <w:r>
              <w:t>Fleiss' κ</w:t>
            </w:r>
          </w:p>
        </w:tc>
        <w:tc>
          <w:tcPr>
            <w:tcW w:type="dxa" w:w="4320"/>
          </w:tcPr>
          <w:p>
            <w:r>
              <w:t>0.408 (fair, Landis–Koch)</w:t>
            </w:r>
          </w:p>
        </w:tc>
      </w:tr>
      <w:tr>
        <w:tc>
          <w:tcPr>
            <w:tcW w:type="dxa" w:w="4320"/>
          </w:tcPr>
          <w:p>
            <w:r>
              <w:t>Majority-rule resolutions</w:t>
            </w:r>
          </w:p>
        </w:tc>
        <w:tc>
          <w:tcPr>
            <w:tcW w:type="dxa" w:w="4320"/>
          </w:tcPr>
          <w:p>
            <w:r>
              <w:t>213 (≥ 3 of 4)</w:t>
            </w:r>
          </w:p>
        </w:tc>
      </w:tr>
      <w:tr>
        <w:tc>
          <w:tcPr>
            <w:tcW w:type="dxa" w:w="4320"/>
          </w:tcPr>
          <w:p>
            <w:r>
              <w:t>Two-vs-two deadlocks escalated</w:t>
            </w:r>
          </w:p>
        </w:tc>
        <w:tc>
          <w:tcPr>
            <w:tcW w:type="dxa" w:w="4320"/>
          </w:tcPr>
          <w:p>
            <w:r>
              <w:t>26 (senior adjudicator)</w:t>
            </w:r>
          </w:p>
        </w:tc>
      </w:tr>
      <w:tr>
        <w:tc>
          <w:tcPr>
            <w:tcW w:type="dxa" w:w="4320"/>
          </w:tcPr>
          <w:p>
            <w:r>
              <w:t>Final split</w:t>
            </w:r>
          </w:p>
        </w:tc>
        <w:tc>
          <w:tcPr>
            <w:tcW w:type="dxa" w:w="4320"/>
          </w:tcPr>
          <w:p>
            <w:r>
              <w:t>58 included / 181 excluded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898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sma_sc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9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PRISMA-ScR flow of information for the living scoping review (Version 1.0).</w:t>
      </w:r>
    </w:p>
    <w:p>
      <w:r>
        <w:t xml:space="preserve">Open-Access PDFs were retrieved and extracted to YAML-frontmatter Markdown (64 documents; 3,814 structural AST chunks; </w:t>
      </w:r>
      <w:r>
        <w:rPr>
          <w:rFonts w:ascii="Consolas" w:hAnsi="Consolas"/>
        </w:rPr>
        <w:t>all-MiniLM-L6-v2</w:t>
      </w:r>
      <w:r>
        <w:t xml:space="preserve"> embeddings). Because extraction preceded final scoping, 18 extractions belong to screened-out studies; </w:t>
      </w:r>
      <w:r>
        <w:rPr>
          <w:b/>
        </w:rPr>
        <w:t>all synthesis in this manuscript is scoped strictly to the 58 included studies</w:t>
      </w:r>
      <w:r>
        <w:t>, and the screened-out extractions are removed from the evidence index for authoritative synthesis.</w:t>
      </w:r>
    </w:p>
    <w:p>
      <w:r>
        <w:t xml:space="preserve">Each included study was certified with four </w:t>
      </w:r>
      <w:r>
        <w:rPr>
          <w:rFonts w:ascii="Consolas" w:hAnsi="Consolas"/>
        </w:rPr>
        <w:t>scholar-verify</w:t>
      </w:r>
      <w:r>
        <w:t xml:space="preserve"> streams: retraction/status (OpenAlex </w:t>
      </w:r>
      <w:r>
        <w:rPr>
          <w:rFonts w:ascii="Consolas" w:hAnsi="Consolas"/>
        </w:rPr>
        <w:t>is_retracted</w:t>
      </w:r>
      <w:r>
        <w:t xml:space="preserve">, Crossref </w:t>
      </w:r>
      <w:r>
        <w:rPr>
          <w:rFonts w:ascii="Consolas" w:hAnsi="Consolas"/>
        </w:rPr>
        <w:t>update-to</w:t>
      </w:r>
      <w:r>
        <w:t xml:space="preserve">), open-science DA/S/CA artifact scanning, conflict-of-interest audit, and risk-of-bias attestation. </w:t>
      </w:r>
      <w:r>
        <w:rPr>
          <w:b/>
        </w:rPr>
        <w:t>47 of 58 included studies were fully checked</w:t>
      </w:r>
      <w:r>
        <w:t xml:space="preserve"> (retraction stream covered 48; the remaining 11 lacked verifiable metadata/DOI records — see §5.3).</w:t>
      </w:r>
    </w:p>
    <w:p>
      <w:r>
        <w:rPr>
          <w:b/>
        </w:rPr>
        <w:t>Approach B (authoritative).</w:t>
      </w:r>
      <w:r>
        <w:t xml:space="preserve"> Eight parallel agents read the complete text of the 46 full-text included papers (7 size-balanced batches ≤ ~456 KB) plus one agent over the 12 abstract-only papers, producing claims in a canonical 10-field schema (principal fields: </w:t>
      </w:r>
      <w:r>
        <w:rPr>
          <w:rFonts w:ascii="Consolas" w:hAnsi="Consolas"/>
        </w:rPr>
        <w:t>rq_id</w:t>
      </w:r>
      <w:r>
        <w:t xml:space="preserve">, </w:t>
      </w:r>
      <w:r>
        <w:rPr>
          <w:rFonts w:ascii="Consolas" w:hAnsi="Consolas"/>
        </w:rPr>
        <w:t>claim_text</w:t>
      </w:r>
      <w:r>
        <w:t xml:space="preserve">, </w:t>
      </w:r>
      <w:r>
        <w:rPr>
          <w:rFonts w:ascii="Consolas" w:hAnsi="Consolas"/>
        </w:rPr>
        <w:t>citation_tokens</w:t>
      </w:r>
      <w:r>
        <w:t xml:space="preserve">, </w:t>
      </w:r>
      <w:r>
        <w:rPr>
          <w:rFonts w:ascii="Consolas" w:hAnsi="Consolas"/>
        </w:rPr>
        <w:t>evidence_quote</w:t>
      </w:r>
      <w:r>
        <w:t xml:space="preserve">, </w:t>
      </w:r>
      <w:r>
        <w:rPr>
          <w:rFonts w:ascii="Consolas" w:hAnsi="Consolas"/>
        </w:rPr>
        <w:t>section</w:t>
      </w:r>
      <w:r>
        <w:t xml:space="preserve">, </w:t>
      </w:r>
      <w:r>
        <w:rPr>
          <w:rFonts w:ascii="Consolas" w:hAnsi="Consolas"/>
        </w:rPr>
        <w:t>stance</w:t>
      </w:r>
      <w:r>
        <w:t xml:space="preserve">, </w:t>
      </w:r>
      <w:r>
        <w:rPr>
          <w:rFonts w:ascii="Consolas" w:hAnsi="Consolas"/>
        </w:rPr>
        <w:t>evidence_level</w:t>
      </w:r>
      <w:r>
        <w:t xml:space="preserve">, </w:t>
      </w:r>
      <w:r>
        <w:rPr>
          <w:rFonts w:ascii="Consolas" w:hAnsi="Consolas"/>
        </w:rPr>
        <w:t>location_hint</w:t>
      </w:r>
      <w:r>
        <w:t xml:space="preserve">, plus content-hash and provenance fields). Every quote was then </w:t>
      </w:r>
      <w:r>
        <w:rPr>
          <w:b/>
        </w:rPr>
        <w:t>machine-verified against the source file</w:t>
      </w:r>
      <w:r>
        <w:t xml:space="preserve"> to a defined threshold: glyph-normalized (bullet remapping, zero-width-space and Unicode-dash handling, NFKC, hyphen-wrap rejoin) matching via character windows (8 chars, step 4) and token 6-grams (6 tokens, step 3); a claim passes at ≥ 0.90 coverage on either metric — i.e., the verified quote matches the source at ≥90% on char-window or token 6-gram alignment, not byte-for-byte. Initial verification failed 156/510 quotes; after four repair iterations including re-casting 11 light-paraphrase/math-glyph artifacts to exact substrings, </w:t>
      </w:r>
      <w:r>
        <w:rPr>
          <w:b/>
        </w:rPr>
        <w:t>510/510 (100%) claims pass the ≥0.90 threshold</w:t>
      </w:r>
      <w:r>
        <w:t>, comprising 166 (RQ1), 132 (RQ2), 212 (RQ3) — 493 full-text and 17 abstract-only, spanning 57 studies (one included study has an empty abstract and contributes none).</w:t>
      </w:r>
    </w:p>
    <w:p>
      <w:r>
        <w:rPr>
          <w:b/>
        </w:rPr>
        <w:t>Approach A (baseline).</w:t>
      </w:r>
      <w:r>
        <w:t xml:space="preserve"> Deterministic RAG synthesis retrieved the top-30 chunks per research question from the full 64-document index and applied heuristic entailment verification of claims against their own snippets (90 claims, 30 per RQ). Table 3 summarizes the verbatim ledger; the verification repair loop is rendered in Figure 2.</w:t>
      </w:r>
    </w:p>
    <w:p>
      <w:r>
        <w:rPr>
          <w:b/>
        </w:rPr>
        <w:t>Table 3. Multi-agent verbatim claim-extraction ledger (Approach B).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8 full-text agents (46 full-text papers, 7 size-balanced batches) + 1 abstract agent (12 abstract-only papers)</w:t>
            </w:r>
          </w:p>
        </w:tc>
      </w:tr>
      <w:tr>
        <w:tc>
          <w:tcPr>
            <w:tcW w:type="dxa" w:w="4320"/>
          </w:tcPr>
          <w:p>
            <w:r>
              <w:t>Total claims</w:t>
            </w:r>
          </w:p>
        </w:tc>
        <w:tc>
          <w:tcPr>
            <w:tcW w:type="dxa" w:w="4320"/>
          </w:tcPr>
          <w:p>
            <w:r>
              <w:t>510 (100% pass at the ≥ 0.90 glyph-normalized coverage threshold)</w:t>
            </w:r>
          </w:p>
        </w:tc>
      </w:tr>
      <w:tr>
        <w:tc>
          <w:tcPr>
            <w:tcW w:type="dxa" w:w="4320"/>
          </w:tcPr>
          <w:p>
            <w:r>
              <w:t>Per research question</w:t>
            </w:r>
          </w:p>
        </w:tc>
        <w:tc>
          <w:tcPr>
            <w:tcW w:type="dxa" w:w="4320"/>
          </w:tcPr>
          <w:p>
            <w:r>
              <w:t>RQ1 166 / RQ2 132 / RQ3 212</w:t>
            </w:r>
          </w:p>
        </w:tc>
      </w:tr>
      <w:tr>
        <w:tc>
          <w:tcPr>
            <w:tcW w:type="dxa" w:w="4320"/>
          </w:tcPr>
          <w:p>
            <w:r>
              <w:t>Full-text vs. abstract-only</w:t>
            </w:r>
          </w:p>
        </w:tc>
        <w:tc>
          <w:tcPr>
            <w:tcW w:type="dxa" w:w="4320"/>
          </w:tcPr>
          <w:p>
            <w:r>
              <w:t>493 / 17</w:t>
            </w:r>
          </w:p>
        </w:tc>
      </w:tr>
      <w:tr>
        <w:tc>
          <w:tcPr>
            <w:tcW w:type="dxa" w:w="4320"/>
          </w:tcPr>
          <w:p>
            <w:r>
              <w:t>Studies contributing claims</w:t>
            </w:r>
          </w:p>
        </w:tc>
        <w:tc>
          <w:tcPr>
            <w:tcW w:type="dxa" w:w="4320"/>
          </w:tcPr>
          <w:p>
            <w:r>
              <w:t>57 of 58 (SCI-000147 empty abstract, claim-void)</w:t>
            </w:r>
          </w:p>
        </w:tc>
      </w:tr>
      <w:tr>
        <w:tc>
          <w:tcPr>
            <w:tcW w:type="dxa" w:w="4320"/>
          </w:tcPr>
          <w:p>
            <w:r>
              <w:t>Initial verification failures</w:t>
            </w:r>
          </w:p>
        </w:tc>
        <w:tc>
          <w:tcPr>
            <w:tcW w:type="dxa" w:w="4320"/>
          </w:tcPr>
          <w:p>
            <w:r>
              <w:t>156 / 510</w:t>
            </w:r>
          </w:p>
        </w:tc>
      </w:tr>
      <w:tr>
        <w:tc>
          <w:tcPr>
            <w:tcW w:type="dxa" w:w="4320"/>
          </w:tcPr>
          <w:p>
            <w:r>
              <w:t>Repair iterations / re-cast</w:t>
            </w:r>
          </w:p>
        </w:tc>
        <w:tc>
          <w:tcPr>
            <w:tcW w:type="dxa" w:w="4320"/>
          </w:tcPr>
          <w:p>
            <w:r>
              <w:t>4 iterations; 11 light-paraphrase/math-glyph quotes re-cast to exact substrings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erification_repair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Verbatim verification repair loop (auditable at every stage).</w:t>
      </w:r>
    </w:p>
    <w:p>
      <w:r>
        <w:t>The 510-claim ledger was clustered with cached-embedding cosine similarity (</w:t>
      </w:r>
      <w:r>
        <w:rPr>
          <w:rFonts w:ascii="Consolas" w:hAnsi="Consolas"/>
        </w:rPr>
        <w:t>all-MiniLM-L6-v2</w:t>
      </w:r>
      <w:r>
        <w:t>, threshold 0.40) into a consensus map (16 high-consensus, 7 active debates, 37 unresolved, 35 provisional clusters).</w:t>
      </w:r>
    </w:p>
    <w:p>
      <w:r>
        <w:t xml:space="preserve">Results are reported per research question from the verification-gated ledger, with cluster references; direct quotes are drawn from </w:t>
      </w:r>
      <w:r>
        <w:rPr>
          <w:rFonts w:ascii="Consolas" w:hAnsi="Consolas"/>
        </w:rPr>
        <w:t>claims.json</w:t>
      </w:r>
      <w:r>
        <w:t xml:space="preserve"> (each gated at the ≥0.90 coverage threshold, §3.5). Aggregates (e.g., citation existence, pooled sensitivity) are reported as stated by the source studies and cross-checked between claims.</w:t>
      </w:r>
    </w:p>
    <w:p>
      <w:r>
        <w:t>This Version 1.0 report is the initial snapshot of a living scoping review. The underlying pipeline (federated discovery → dedup/hydration → screening → verbatim-verified extraction → trust verification → synthesis) is re-runnable from committed inputs through the documented stage CLIs (see §7). Planned update policy:</w:t>
      </w:r>
    </w:p>
    <w:p>
      <w:pPr>
        <w:pStyle w:val="ListBullet"/>
      </w:pPr>
      <w:r>
        <w:rPr>
          <w:b/>
        </w:rPr>
        <w:t>Cadence</w:t>
      </w:r>
      <w:r>
        <w:t>: quarterly re-run of the five-source federation (OpenAlex, Semantic Scholar, Crossref, PubMed, arXiv; bioRxiv-track via PubMed) with the same concept-and-synonym strings; each run advances the trailing publication-date boundary to the run date (the Version 1.0 window ends 2026-09), so "same strings" yields new evidence rather than the identical set. Evidence already in the included set is retained across versions (supersession handled under Preprint policy below).</w:t>
      </w:r>
    </w:p>
    <w:p>
      <w:pPr>
        <w:pStyle w:val="ListBullet"/>
      </w:pPr>
      <w:r>
        <w:rPr>
          <w:b/>
        </w:rPr>
        <w:t>Versioning</w:t>
      </w:r>
      <w:r>
        <w:t xml:space="preserve">: each update stamps a new version and corpus-finalization date in the front matter; aggregate figures in each version carry that version's corpus stamp. A search-log supplement accompanying each version records that run's query set, window, and dedup threshold (committed as </w:t>
      </w:r>
      <w:r>
        <w:rPr>
          <w:rFonts w:ascii="Consolas" w:hAnsi="Consolas"/>
        </w:rPr>
        <w:t>literature/search_log_&lt;version&gt;.json</w:t>
      </w:r>
      <w:r>
        <w:t>).</w:t>
      </w:r>
    </w:p>
    <w:p>
      <w:pPr>
        <w:pStyle w:val="ListBullet"/>
      </w:pPr>
      <w:r>
        <w:rPr>
          <w:b/>
        </w:rPr>
        <w:t>Preprint policy</w:t>
      </w:r>
      <w:r>
        <w:t xml:space="preserve">: preprint-track records (arXiv/bioRxiv/institutional repositories) are eligible and explicitly retained as the field's leading edge; each preprint is tracked against a published version where one appears (Crossref </w:t>
      </w:r>
      <w:r>
        <w:rPr>
          <w:rFonts w:ascii="Consolas" w:hAnsi="Consolas"/>
        </w:rPr>
        <w:t>update-to</w:t>
      </w:r>
      <w:r>
        <w:t xml:space="preserve"> / OpenAlex status), and the version table ships in the per-version supplement.</w:t>
      </w:r>
    </w:p>
    <w:p>
      <w:pPr>
        <w:pStyle w:val="ListBullet"/>
      </w:pPr>
      <w:r>
        <w:rPr>
          <w:b/>
        </w:rPr>
        <w:t>Diff discipline</w:t>
      </w:r>
      <w:r>
        <w:t>: the authoritative verbatim claim ledger is versioned under git and regenerated deterministically from committed extraction inputs; revisions re-verify affected quotes against attached full text rather than restating aggregates, so every claim statistic remains machine-checkable in any version.</w:t>
      </w:r>
    </w:p>
    <w:p>
      <w:r>
        <w:t xml:space="preserve">The 58 included studies (2023: 2; 2024: 8; 2025: 18; 2026: 30) reflect rapid growth in agentic research tooling, with 2026 accounting for over half the corpus (30/58, 52%). Of the 46 full-text-characterized systems, keyword-classified architecture patterns are: single-agent/single-system 19 (41.3%); multi-agent/agentic orchestration 16 (34.8%); RAG/retrieval-grounded 5 (10.9%); end-to-end pipeline/meta-analysis 4 (8.7%); knowledge-graph/ontology 2 (4.3%). Phase-4 audit: </w:t>
      </w:r>
      <w:r>
        <w:rPr>
          <w:b/>
        </w:rPr>
        <w:t>0 retractions</w:t>
      </w:r>
      <w:r>
        <w:t>, 16 live repository links (34.0%), 7 dual data+code releases, 5 industry COI ties (10.6%), 4 declared no-conflict, 1 academic-or-public affiliation, 37 with no formal COI statement. Table 4 summarizes corpus composition.</w:t>
      </w:r>
    </w:p>
    <w:p>
      <w:r>
        <w:rPr>
          <w:b/>
        </w:rPr>
        <w:t>Table 4. Corpus composition (Version 1.0).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Included studies</w:t>
            </w:r>
          </w:p>
        </w:tc>
        <w:tc>
          <w:tcPr>
            <w:tcW w:type="dxa" w:w="4320"/>
          </w:tcPr>
          <w:p>
            <w:r>
              <w:t>58 (239 screened; 181 excluded)</w:t>
            </w:r>
          </w:p>
        </w:tc>
      </w:tr>
      <w:tr>
        <w:tc>
          <w:tcPr>
            <w:tcW w:type="dxa" w:w="4320"/>
          </w:tcPr>
          <w:p>
            <w:r>
              <w:t>Publication years</w:t>
            </w:r>
          </w:p>
        </w:tc>
        <w:tc>
          <w:tcPr>
            <w:tcW w:type="dxa" w:w="4320"/>
          </w:tcPr>
          <w:p>
            <w:r>
              <w:t>2023: 2 · 2024: 8 · 2025: 18 · 2026: 30</w:t>
            </w:r>
          </w:p>
        </w:tc>
      </w:tr>
      <w:tr>
        <w:tc>
          <w:tcPr>
            <w:tcW w:type="dxa" w:w="4320"/>
          </w:tcPr>
          <w:p>
            <w:r>
              <w:t>Preprint-track</w:t>
            </w:r>
          </w:p>
        </w:tc>
        <w:tc>
          <w:tcPr>
            <w:tcW w:type="dxa" w:w="4320"/>
          </w:tcPr>
          <w:p>
            <w:r>
              <w:t>32/58 (55%) — 30 arXiv, 1 bioRxiv, 1 institutional repository</w:t>
            </w:r>
          </w:p>
        </w:tc>
      </w:tr>
      <w:tr>
        <w:tc>
          <w:tcPr>
            <w:tcW w:type="dxa" w:w="4320"/>
          </w:tcPr>
          <w:p>
            <w:r>
              <w:t>Architecture patterns (n = 46 full-text-characterized)</w:t>
            </w:r>
          </w:p>
        </w:tc>
        <w:tc>
          <w:tcPr>
            <w:tcW w:type="dxa" w:w="4320"/>
          </w:tcPr>
          <w:p>
            <w:r>
              <w:t>single-agent 19 (41.3%) · multi-agent 16 (34.8%) · RAG 5 (10.9%) · end-to-end 4 (8.7%) · graph/ontology 2 (4.3%)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2026 alone = 30/58 (52%); living-review rationale</w:t>
            </w:r>
          </w:p>
        </w:tc>
      </w:tr>
    </w:tbl>
    <w:p/>
    <w:p>
      <w:r>
        <w:rPr>
          <w:b/>
        </w:rPr>
        <w:t>Architectural convergence.</w:t>
      </w:r>
      <w:r>
        <w:t xml:space="preserve"> Systems press general-purpose LLMs into review pipelines without task-specific fine-tuning, treating </w:t>
      </w:r>
      <w:r>
        <w:rPr>
          <w:b/>
        </w:rPr>
        <w:t>prompt engineering as the primary optimization strategy</w:t>
      </w:r>
      <w:r>
        <w:t xml:space="preserve"> [3][9]. Motivating framing recurs: conventional SLR practice is "time-consuming, labor-intensive, and susceptible to human bias" [1], and general-purpose agents "fall short on the auditable, scenario-specific workflows" biomedical evidence demands [7]. Five patterns recur: (i) </w:t>
      </w:r>
      <w:r>
        <w:rPr>
          <w:b/>
        </w:rPr>
        <w:t>prompt-compilation systems</w:t>
      </w:r>
      <w:r>
        <w:t xml:space="preserve"> that package compiled prompts as "verifiable digital artefacts" to neutralize prompt fragility [9]; (ii) </w:t>
      </w:r>
      <w:r>
        <w:rPr>
          <w:b/>
        </w:rPr>
        <w:t>multi-agent teams with role specialization</w:t>
      </w:r>
      <w:r>
        <w:t xml:space="preserve"> — Orchestrator/BioExpert/Evaluator decomposition [10], three-layer worker–manager–director networks [11], and 11-agent coordination with deliberate model routing (cheap models for throughput phases, strong models for judgment and verification) [12]; (iii) </w:t>
      </w:r>
      <w:r>
        <w:rPr>
          <w:b/>
        </w:rPr>
        <w:t>end-to-end orchestrated pipelines</w:t>
      </w:r>
      <w:r>
        <w:t xml:space="preserve"> automating complete meta-analysis workflows [13][14][15]; (iv) </w:t>
      </w:r>
      <w:r>
        <w:rPr>
          <w:b/>
        </w:rPr>
        <w:t>RAG/retrieval-grounded designs</w:t>
      </w:r>
      <w:r>
        <w:t xml:space="preserve"> coupling dynamic retrieval with answer generation [16][17][6]; and (v) </w:t>
      </w:r>
      <w:r>
        <w:rPr>
          <w:b/>
        </w:rPr>
        <w:t>graph/knowledge-grounded designs</w:t>
      </w:r>
      <w:r>
        <w:t xml:space="preserve"> that productionize both a knowledge graph and vector collections as "structural infrastructure for verifiable information synthesis" [18][19].</w:t>
      </w:r>
    </w:p>
    <w:p>
      <w:r>
        <w:rPr>
          <w:b/>
        </w:rPr>
        <w:t>Execution provenance.</w:t>
      </w:r>
      <w:r>
        <w:t xml:space="preserve"> Provenance is increasingly structured, deterministic, and immutable: per-module token/runtime/inference logging [10], structured JSON API logs with model identity, latency, and retry counts [12], corpus-wide interaction logging [20], validated requests with unique identifiers guaranteeing </w:t>
      </w:r>
      <w:r>
        <w:rPr>
          <w:b/>
        </w:rPr>
        <w:t>idempotent behavior</w:t>
      </w:r>
      <w:r>
        <w:t xml:space="preserve"> [21], stable record identifiers preserved end to end [8], and content-hashed "commitment cards" with run-bundles (event traces, checksums, retries) hosted in an immutable provenance record [22]. Reproducibility levers are dominated by </w:t>
      </w:r>
      <w:r>
        <w:rPr>
          <w:b/>
        </w:rPr>
        <w:t>fixed decoding</w:t>
      </w:r>
      <w:r>
        <w:t xml:space="preserve"> (temperature 0 with frequency/penalty/presence penalties pinned [23]; temperature 0 with regex-constrained parsing and retries [24]; 2,880 runs producing 17,443 citations under deterministic settings [4]) and </w:t>
      </w:r>
      <w:r>
        <w:rPr>
          <w:b/>
        </w:rPr>
        <w:t>model openness</w:t>
      </w:r>
      <w:r>
        <w:t xml:space="preserve"> — open-weights selection "explicitly to enhance the reproducibility of the results" [24], fully-local zero-API pipelines [25], and open-source positioning as an explicit fidelity alternative [26].</w:t>
      </w:r>
    </w:p>
    <w:p>
      <w:r>
        <w:rPr>
          <w:b/>
        </w:rPr>
        <w:t>Debates.</w:t>
      </w:r>
      <w:r>
        <w:t xml:space="preserve"> Open-source versus proprietary control: closed hosted models "cannot be guaranteed to reproduce original outputs because the underlying models and web interfaces are externally controlled and may change over time" [8][27]. Human-in-the-loop tension: dominant platforms position </w:t>
      </w:r>
      <w:r>
        <w:rPr>
          <w:b/>
        </w:rPr>
        <w:t>researcher orchestration with retained control</w:t>
      </w:r>
      <w:r>
        <w:t xml:space="preserve"> and five mandatory human decision points [28][15], while deterministic workflows gain reproducibility but "restrict adaptive decision-making" [10].</w:t>
      </w:r>
    </w:p>
    <w:p>
      <w:r>
        <w:rPr>
          <w:b/>
        </w:rPr>
        <w:t>Citation verifiability ceiling.</w:t>
      </w:r>
      <w:r>
        <w:t xml:space="preserve"> Across </w:t>
      </w:r>
      <w:r>
        <w:rPr>
          <w:b/>
        </w:rPr>
        <w:t>17,443 generated citations</w:t>
      </w:r>
      <w:r>
        <w:t xml:space="preserve">, no model exceeded an existence rate of </w:t>
      </w:r>
      <w:r>
        <w:rPr>
          <w:b/>
        </w:rPr>
        <w:t>0.475</w:t>
      </w:r>
      <w:r>
        <w:t xml:space="preserve">; time-bound and combined conditions produced the steepest drops while outputs stayed format-compliant — "compliance without substance" [4]. A three-way Existing/Unresolved/Fabricated labeling pipeline audited against human labels achieved Cohen's κ = </w:t>
      </w:r>
      <w:r>
        <w:rPr>
          <w:b/>
        </w:rPr>
        <w:t>0.63</w:t>
      </w:r>
      <w:r>
        <w:t xml:space="preserve">; manual validation (n = 100) gave 0.75 overall agreement, precision 0.97 (Existing) and 0.88 (Fabricated) but only </w:t>
      </w:r>
      <w:r>
        <w:rPr>
          <w:b/>
        </w:rPr>
        <w:t>0.43 (Unresolved)</w:t>
      </w:r>
      <w:r>
        <w:t xml:space="preserve"> — whose dominant error was Unresolved-to-Fabricated, making reported fabrication rates underestimates. Post-hoc multi-database verification was recommended [4].</w:t>
      </w:r>
    </w:p>
    <w:p>
      <w:r>
        <w:rPr>
          <w:b/>
        </w:rPr>
        <w:t>Grounded mitigation works.</w:t>
      </w:r>
      <w:r>
        <w:t xml:space="preserve"> OpenScholar, a retrieval-augmented scientific LM, returns passage-traceable answers [5]; OpenScholar-8B produced </w:t>
      </w:r>
      <w:r>
        <w:rPr>
          <w:b/>
        </w:rPr>
        <w:t>zero hallucinated cited papers</w:t>
      </w:r>
      <w:r>
        <w:t xml:space="preserve"> versus baseline LLMs hallucinating </w:t>
      </w:r>
      <w:r>
        <w:rPr>
          <w:b/>
        </w:rPr>
        <w:t>92.1% (CS) / 97.6% (Bio)</w:t>
      </w:r>
      <w:r>
        <w:t xml:space="preserve"> of cited papers; non-retrieval LLMs fabricated 78–98% of citations, worse in biomedicine [6]. Knowledge-graph integration into public biological graphs reduced hallucinations [29]. Deterministic countermeasures include Crossref/Semantic-Scholar verification [4], conservative schema-constrained missingness ("NR") to avoid fabrication [25], agent-level anti-hallucination instructions with full traceability [10], and multi-agent validation loops (generator + auditing QA agent) [18][11].</w:t>
      </w:r>
    </w:p>
    <w:p>
      <w:r>
        <w:rPr>
          <w:b/>
        </w:rPr>
        <w:t>Methodological integrity mechanisms.</w:t>
      </w:r>
      <w:r>
        <w:t xml:space="preserve"> Risk-of-bias assessment is institutionalized: PROBAST+AI and QUADAS-2 application to LLM screening studies [3], ROBINS-I-based automated risk-of-bias with PRISMA 2020 flow diagrams and funnel-plot checks [13]. Reproducibility is advanced by open code, cost, and prompt releases [12] and open-weights selection [24].</w:t>
      </w:r>
    </w:p>
    <w:p>
      <w:r>
        <w:rPr>
          <w:b/>
        </w:rPr>
        <w:t>Residual gaps.</w:t>
      </w:r>
      <w:r>
        <w:t xml:space="preserve"> Field-level citation accuracy remains imperfect (DOI matching 74.4%, in-text citations 73.9%) [18]. Two nominally identical runs agreed on 91.7% of records but </w:t>
      </w:r>
      <w:r>
        <w:rPr>
          <w:b/>
        </w:rPr>
        <w:t>disagreed on 94 individual records, including 29 verified-eligible records retained by only one run</w:t>
      </w:r>
      <w:r>
        <w:t xml:space="preserve"> — aggregate similarity conceals item-level instability [8]. Verification proxies fail as reliability guarantees: BERTScore returned near-identical F1 across workflows and rated false conclusions as semantically equivalent to correct ones [17]. LLM precision for post-exposure controls (0.15–0.30) is far below the best human reviewer (0.89) [30]. Data contamination is unquantified across benchmarks [24].</w:t>
      </w:r>
    </w:p>
    <w:p>
      <w:r>
        <w:rPr>
          <w:b/>
        </w:rPr>
        <w:t>Screening performance.</w:t>
      </w:r>
      <w:r>
        <w:t xml:space="preserve"> A meta-analysis of 18 studies reports pooled sensitivity </w:t>
      </w:r>
      <w:r>
        <w:rPr>
          <w:b/>
        </w:rPr>
        <w:t>0.92</w:t>
      </w:r>
      <w:r>
        <w:t xml:space="preserve"> (95% CI 0.81–0.96), specificity </w:t>
      </w:r>
      <w:r>
        <w:rPr>
          <w:b/>
        </w:rPr>
        <w:t>0.94</w:t>
      </w:r>
      <w:r>
        <w:t xml:space="preserve"> (0.90–0.97), SROC AUC </w:t>
      </w:r>
      <w:r>
        <w:rPr>
          <w:b/>
        </w:rPr>
        <w:t>0.98</w:t>
      </w:r>
      <w:r>
        <w:t xml:space="preserve">, with substantial heterogeneity (I² = 95.8%); chain-of-thought improved sensitivity 0.86→0.95 (p &lt; 0.01); full-text screening pooled sensitivity/specificity 0.99/0.99 [3]. Benchmark AUCs range 0.77–0.95 across heterogenous domains with inclusion rates from &lt;1% to 12.4% [16]. </w:t>
      </w:r>
      <w:r>
        <w:rPr>
          <w:b/>
        </w:rPr>
        <w:t>Extraction performance.</w:t>
      </w:r>
      <w:r>
        <w:t xml:space="preserve"> Structured field extraction strongly outperforms naive chunking: HySemRAG +35.1% semantic similarity (p &lt; 0.000001, 643 observations) [18]; schema-constrained ketamine extraction achieved </w:t>
      </w:r>
      <w:r>
        <w:rPr>
          <w:b/>
        </w:rPr>
        <w:t>100% recall / 97.9% precision / 98.9% F1</w:t>
      </w:r>
      <w:r>
        <w:t xml:space="preserve"> [25]. Extraction is domain-sensitive (clinical 82% accuracy best) with author-attribution errors (40% partial/failed) [23][31].</w:t>
      </w:r>
    </w:p>
    <w:p>
      <w:r>
        <w:rPr>
          <w:b/>
        </w:rPr>
        <w:t>Cost and efficiency.</w:t>
      </w:r>
      <w:r>
        <w:t xml:space="preserve"> Screeners run ~25× faster than human raters at $3.26 versus an estimated $492.18 for two human raters [32]; GPT-4o ≈ $3.16/100 articles, GPT-3.5 ≈ $0.22 [26]; a RAG pipeline synthesized 30 articles in 1m24s versus an estimated 50+ human hours [33]; full end-to-end pipeline costs are $19.51–$29.04 per review (median $22.65) [12].</w:t>
      </w:r>
    </w:p>
    <w:p>
      <w:r>
        <w:rPr>
          <w:b/>
        </w:rPr>
        <w:t>Reliability failure modes.</w:t>
      </w:r>
      <w:r>
        <w:t xml:space="preserve"> Temporal drift of </w:t>
      </w:r>
      <w:r>
        <w:rPr>
          <w:b/>
        </w:rPr>
        <w:t>−1.9%/day</w:t>
      </w:r>
      <w:r>
        <w:t xml:space="preserve"> in HySemRAG's evaluation window [18]; identical questions answered identically only 69% of the time (8% substantively different) [23]; domain-transfer limits (LGAR reliably tested only in medicine due to sparse SYNERGY domains [24]); model ranking domain-dependence (e.g., one model 98% screening but 40% extraction in the same study) [34]; prompt fragility with up to </w:t>
      </w:r>
      <w:r>
        <w:rPr>
          <w:b/>
        </w:rPr>
        <w:t>76 accuracy-point</w:t>
      </w:r>
      <w:r>
        <w:t xml:space="preserve"> swings from format variations [9]; contamination acknowledgment and cross-model divergence [35][9]. Multi-agent orchestration is </w:t>
      </w:r>
      <w:r>
        <w:rPr>
          <w:b/>
        </w:rPr>
        <w:t>phase-dependent</w:t>
      </w:r>
      <w:r>
        <w:t>: it hurts screening but is essential for extraction, yielding 5.7× more poolable analyses [12].</w:t>
      </w:r>
    </w:p>
    <w:p>
      <w:r>
        <w:rPr>
          <w:b/>
        </w:rPr>
        <w:t>The evaluation gap.</w:t>
      </w:r>
      <w:r>
        <w:t xml:space="preserve"> No included study provides an end-to-end, externally validated, multi-domain benchmark jointly evaluating screening, extraction, synthesis quality, citation verifiability, and cost. Validations are proof-of-concept against published reviews without blinded dual review [25], formally labeled "essential" to reproduce [15], single-model without cross-model replication [24], and rely on LLM-as-judge protocols correlating only moderately with experts (r = 0.65–0.81) [23][36].</w:t>
      </w:r>
    </w:p>
    <w:p>
      <w:r>
        <w:t xml:space="preserve">The 95-cluster consensus map (Table 5) surfaces structure the RAG baseline cannot see. High-consensus themes (≥ 3 independent sources): citation-verifiability failure at scale (0.475 existence ceiling), open-weights selection for reproducibility (17 studies), human-machine collaboration with retained researcher control, structured-field extraction superiority, and local-vs-API cost anatomy. </w:t>
      </w:r>
      <w:r>
        <w:rPr>
          <w:b/>
        </w:rPr>
        <w:t>Seven active debates</w:t>
      </w:r>
      <w:r>
        <w:t xml:space="preserve"> include deterministic versus adaptive configuration, best-performing benchmark model, and LLM-versus-human screening reliability. Full cluster contents: see supplementary consensus file.</w:t>
      </w:r>
    </w:p>
    <w:p>
      <w:r>
        <w:rPr>
          <w:b/>
        </w:rPr>
        <w:t>Table 5. Consensus cartography (`synthesis/consensus.json`, threshold 0.40).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Clusters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High-consensus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≥ 3 independent sources converge</w:t>
            </w:r>
          </w:p>
        </w:tc>
      </w:tr>
      <w:tr>
        <w:tc>
          <w:tcPr>
            <w:tcW w:type="dxa" w:w="2880"/>
          </w:tcPr>
          <w:p>
            <w:r>
              <w:t>Active debates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Contradictory claim sets</w:t>
            </w:r>
          </w:p>
        </w:tc>
      </w:tr>
      <w:tr>
        <w:tc>
          <w:tcPr>
            <w:tcW w:type="dxa" w:w="2880"/>
          </w:tcPr>
          <w:p>
            <w:r>
              <w:t>Unresolved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Mostly neutral-direction findings</w:t>
            </w:r>
          </w:p>
        </w:tc>
      </w:tr>
      <w:tr>
        <w:tc>
          <w:tcPr>
            <w:tcW w:type="dxa" w:w="2880"/>
          </w:tcPr>
          <w:p>
            <w:r>
              <w:t>Provisional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Single-source findings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**95**</w:t>
            </w:r>
          </w:p>
        </w:tc>
        <w:tc>
          <w:tcPr>
            <w:tcW w:type="dxa" w:w="2880"/>
          </w:tcPr>
          <w:p>
            <w:r>
              <w:t>510 claims clustered (all-MiniLM-L6-v2 cosine)</w:t>
            </w:r>
          </w:p>
        </w:tc>
      </w:tr>
    </w:tbl>
    <w:p/>
    <w:p>
      <w:r>
        <w:t xml:space="preserve">The deterministic RAG baseline produced 90 claims across 25 studies (14 in-scope of 58), of which </w:t>
      </w:r>
      <w:r>
        <w:rPr>
          <w:b/>
        </w:rPr>
        <w:t>only 43.3% were entailment-verified</w:t>
      </w:r>
      <w:r>
        <w:t xml:space="preserve"> (RQ1 36.7%, RQ2/RQ3 46.7%; Figure 5); it cited </w:t>
      </w:r>
      <w:r>
        <w:rPr>
          <w:b/>
        </w:rPr>
        <w:t>11 studies absent from the included set</w:t>
      </w:r>
      <w:r>
        <w:t xml:space="preserve"> (its index contained the 18 screened-out extractions; a single non-included paper, SCI-000184, supplied 22/90 claims), covered 44 included studies not at all (Figure 4), and yielded 20 clusters with zero debates. The multi-agent ledger achieved </w:t>
      </w:r>
      <w:r>
        <w:rPr>
          <w:b/>
        </w:rPr>
        <w:t>100% pass at the ≥0.90 verification threshold</w:t>
      </w:r>
      <w:r>
        <w:t xml:space="preserve"> across 57 included studies and 95 clusters including 7 active debates. Table 6 gives the head-to-head summary; Figures 3–4 visualize verification coverage and corpus-scope discipline.</w:t>
      </w:r>
    </w:p>
    <w:p>
      <w:r>
        <w:rPr>
          <w:b/>
        </w:rPr>
        <w:t>Table 6. Approach A (deterministic RAG baseline) vs. Approach B (multi-agent verbatim ledger).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A (RAG)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 B (verbatim)</w:t>
            </w:r>
          </w:p>
        </w:tc>
      </w:tr>
      <w:tr>
        <w:tc>
          <w:tcPr>
            <w:tcW w:type="dxa" w:w="2880"/>
          </w:tcPr>
          <w:p>
            <w:r>
              <w:t>Claims generated</w:t>
            </w:r>
          </w:p>
        </w:tc>
        <w:tc>
          <w:tcPr>
            <w:tcW w:type="dxa" w:w="2880"/>
          </w:tcPr>
          <w:p>
            <w:r>
              <w:t>90 (30 per RQ)</w:t>
            </w:r>
          </w:p>
        </w:tc>
        <w:tc>
          <w:tcPr>
            <w:tcW w:type="dxa" w:w="2880"/>
          </w:tcPr>
          <w:p>
            <w:r>
              <w:t>510</w:t>
            </w:r>
          </w:p>
        </w:tc>
      </w:tr>
      <w:tr>
        <w:tc>
          <w:tcPr>
            <w:tcW w:type="dxa" w:w="2880"/>
          </w:tcPr>
          <w:p>
            <w:r>
              <w:t>Verification gate</w:t>
            </w:r>
          </w:p>
        </w:tc>
        <w:tc>
          <w:tcPr>
            <w:tcW w:type="dxa" w:w="2880"/>
          </w:tcPr>
          <w:p>
            <w:r>
              <w:t>Entailment vs. own snippets</w:t>
            </w:r>
          </w:p>
        </w:tc>
        <w:tc>
          <w:tcPr>
            <w:tcW w:type="dxa" w:w="2880"/>
          </w:tcPr>
          <w:p>
            <w:r>
              <w:t>≥ 0.90 glyph-normalized coverage (char-window / token 6-gram)</w:t>
            </w:r>
          </w:p>
        </w:tc>
      </w:tr>
      <w:tr>
        <w:tc>
          <w:tcPr>
            <w:tcW w:type="dxa" w:w="2880"/>
          </w:tcPr>
          <w:p>
            <w:r>
              <w:t>Pass rate</w:t>
            </w:r>
          </w:p>
        </w:tc>
        <w:tc>
          <w:tcPr>
            <w:tcW w:type="dxa" w:w="2880"/>
          </w:tcPr>
          <w:p>
            <w:r>
              <w:t>43.3% (39/90)</w:t>
            </w:r>
          </w:p>
        </w:tc>
        <w:tc>
          <w:tcPr>
            <w:tcW w:type="dxa" w:w="2880"/>
          </w:tcPr>
          <w:p>
            <w:r>
              <w:t>100% (510/510)</w:t>
            </w:r>
          </w:p>
        </w:tc>
      </w:tr>
      <w:tr>
        <w:tc>
          <w:tcPr>
            <w:tcW w:type="dxa" w:w="2880"/>
          </w:tcPr>
          <w:p>
            <w:r>
              <w:t>Studies represented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In-scope studies covered</w:t>
            </w:r>
          </w:p>
        </w:tc>
        <w:tc>
          <w:tcPr>
            <w:tcW w:type="dxa" w:w="2880"/>
          </w:tcPr>
          <w:p>
            <w:r>
              <w:t>14/58</w:t>
            </w:r>
          </w:p>
        </w:tc>
        <w:tc>
          <w:tcPr>
            <w:tcW w:type="dxa" w:w="2880"/>
          </w:tcPr>
          <w:p>
            <w:r>
              <w:t>57/58</w:t>
            </w:r>
          </w:p>
        </w:tc>
      </w:tr>
      <w:tr>
        <w:tc>
          <w:tcPr>
            <w:tcW w:type="dxa" w:w="2880"/>
          </w:tcPr>
          <w:p>
            <w:r>
              <w:t>Studies cited outside included set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Included studies invisible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Consensus clusters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Active debates surfaced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8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erification_versus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8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Claim verification pass rate and corpus coverage, Approach A vs.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ope_and_deb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Corpus-scope and debate structure (lower is better for the first two panels; higher for debates).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2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_rq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Per-research-question verification rates with 95% CIs.</w:t>
      </w:r>
    </w:p>
    <w:p>
      <w:r>
        <w:t>Retraction: 0/48 flagged. Open science: 16 repository links, 7 dual data+code, 32 explicit DA/S/CA statements, 5 proprietary. COI: 5 industry ties (two Meta-affiliated, Google, Anthropic, OpenAI), 4 declared no-conflict, 1 academic-or-public, 37 with no formal COI statement (of 47 scanned) — a structural feature of computer-science preprints and evocative of governance gaps the corpus itself describes. Table 7 summarizes the four-stream audit.</w:t>
      </w:r>
    </w:p>
    <w:p>
      <w:r>
        <w:rPr>
          <w:b/>
        </w:rPr>
        <w:t>Table 7. Phase-4 trust-verification streams (Version 1.0).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2880"/>
          </w:tcPr>
          <w:p>
            <w:r>
              <w:t>Retraction status (OpenAlex/Crossref)</w:t>
            </w:r>
          </w:p>
        </w:tc>
        <w:tc>
          <w:tcPr>
            <w:tcW w:type="dxa" w:w="2880"/>
          </w:tcPr>
          <w:p>
            <w:r>
              <w:t>48 studies checked</w:t>
            </w:r>
          </w:p>
        </w:tc>
        <w:tc>
          <w:tcPr>
            <w:tcW w:type="dxa" w:w="2880"/>
          </w:tcPr>
          <w:p>
            <w:r>
              <w:t>0 flagged; `crossref_update_events` empty (no supersession yet)</w:t>
            </w:r>
          </w:p>
        </w:tc>
      </w:tr>
      <w:tr>
        <w:tc>
          <w:tcPr>
            <w:tcW w:type="dxa" w:w="2880"/>
          </w:tcPr>
          <w:p>
            <w:r>
              <w:t>Open-science artifact scan (DA/S/CA)</w:t>
            </w:r>
          </w:p>
        </w:tc>
        <w:tc>
          <w:tcPr>
            <w:tcW w:type="dxa" w:w="2880"/>
          </w:tcPr>
          <w:p>
            <w:r>
              <w:t>47 studies scanned</w:t>
            </w:r>
          </w:p>
        </w:tc>
        <w:tc>
          <w:tcPr>
            <w:tcW w:type="dxa" w:w="2880"/>
          </w:tcPr>
          <w:p>
            <w:r>
              <w:t>16 repo links · 7 dual data+code · 32 explicit statements · 5 proprietary</w:t>
            </w:r>
          </w:p>
        </w:tc>
      </w:tr>
      <w:tr>
        <w:tc>
          <w:tcPr>
            <w:tcW w:type="dxa" w:w="2880"/>
          </w:tcPr>
          <w:p>
            <w:r>
              <w:t>Conflict-of-interest audit</w:t>
            </w:r>
          </w:p>
        </w:tc>
        <w:tc>
          <w:tcPr>
            <w:tcW w:type="dxa" w:w="2880"/>
          </w:tcPr>
          <w:p>
            <w:r>
              <w:t>47 studies scanned</w:t>
            </w:r>
          </w:p>
        </w:tc>
        <w:tc>
          <w:tcPr>
            <w:tcW w:type="dxa" w:w="2880"/>
          </w:tcPr>
          <w:p>
            <w:r>
              <w:t>5 industry-equipment ties · 4 declared no-conflict · 1 academic-or-public · 37 no formal statement</w:t>
            </w:r>
          </w:p>
        </w:tc>
      </w:tr>
      <w:tr>
        <w:tc>
          <w:tcPr>
            <w:tcW w:type="dxa" w:w="2880"/>
          </w:tcPr>
          <w:p>
            <w:r>
              <w:t>Risk-of-bias attestation</w:t>
            </w:r>
          </w:p>
        </w:tc>
        <w:tc>
          <w:tcPr>
            <w:tcW w:type="dxa" w:w="2880"/>
          </w:tcPr>
          <w:p>
            <w:r>
              <w:t>47 studies assessed</w:t>
            </w:r>
          </w:p>
        </w:tc>
        <w:tc>
          <w:tcPr>
            <w:tcW w:type="dxa" w:w="2880"/>
          </w:tcPr>
          <w:p>
            <w:r>
              <w:t>PROBAST/QUADAS-2-adapted deterministic scoring</w:t>
            </w:r>
          </w:p>
        </w:tc>
      </w:tr>
    </w:tbl>
    <w:p/>
    <w:p>
      <w:r>
        <w:t xml:space="preserve">Three findings carry design consequences. </w:t>
      </w:r>
      <w:r>
        <w:rPr>
          <w:b/>
        </w:rPr>
        <w:t>First</w:t>
      </w:r>
      <w:r>
        <w:t xml:space="preserve">, provenance engineering has matured into a concrete, implementable pattern language — structured logging, deterministic IDs, idempotency, content-hashed commitments, open-weights selection, temperature-0 decoding — that converts "traceability" from a desideratum into a verifiable mechanism, but adoption is uneven across the corpus. </w:t>
      </w:r>
      <w:r>
        <w:rPr>
          <w:b/>
        </w:rPr>
        <w:t>Second</w:t>
      </w:r>
      <w:r>
        <w:t xml:space="preserve">, citation verifiability is the binding trust constraint: over the corpus observed, the 0.475 existence ceiling across 17,443 citations and the discrepancy between retrieval-grounded (zero hallucinated papers) and ungrounded (78–98%) systems jointly imply that </w:t>
      </w:r>
      <w:r>
        <w:rPr>
          <w:b/>
        </w:rPr>
        <w:t>non-grounded claim generation is not defensible on current evidence</w:t>
      </w:r>
      <w:r>
        <w:t xml:space="preserve"> in this corpus, and is a poor basis for scholarly infrastructure by our reading of the included records. </w:t>
      </w:r>
      <w:r>
        <w:rPr>
          <w:b/>
        </w:rPr>
        <w:t>Third</w:t>
      </w:r>
      <w:r>
        <w:t>, evaluation practice lags the systems it purports to assess: aggregate metrics (I² &gt; 95%, domain-dependent AUC 0.77–0.95, item-level run instability, semantic-similarity-proxy failures, −1.9%/day drift) make single-number validation claims unusable for trust certification.</w:t>
      </w:r>
    </w:p>
    <w:p>
      <w:pPr>
        <w:pStyle w:val="ListBullet"/>
      </w:pPr>
      <w:r>
        <w:rPr>
          <w:b/>
        </w:rPr>
        <w:t>Append-only, file-based audit journals are the correct provenance primitive</w:t>
      </w:r>
      <w:r>
        <w:t>, directly countering ephemeral logs and statistics that conceal item-level instability [8][22].</w:t>
      </w:r>
    </w:p>
    <w:p>
      <w:pPr>
        <w:pStyle w:val="ListBullet"/>
      </w:pPr>
      <w:r>
        <w:rPr>
          <w:b/>
        </w:rPr>
        <w:t>Threshold-verified evidence is tractable and should be standard.</w:t>
      </w:r>
      <w:r>
        <w:t xml:space="preserve"> A full-text agent pipeline achieved 100% pass at the stated ≥0.90 glyph-normalized coverage threshold on 510/510 claims; deterministic RAG reached 43.3% on the same corpus.</w:t>
      </w:r>
    </w:p>
    <w:p>
      <w:pPr>
        <w:pStyle w:val="ListBullet"/>
      </w:pPr>
      <w:r>
        <w:rPr>
          <w:b/>
        </w:rPr>
        <w:t>Corpus-scope discipline is mandatory.</w:t>
      </w:r>
      <w:r>
        <w:t xml:space="preserve"> Pre-screening extractions silently leak screened-out evidence into retrieval (11 contaminated studies in the RAG baseline); synthesis must be confined to the reconciled included set.</w:t>
      </w:r>
    </w:p>
    <w:p>
      <w:pPr>
        <w:pStyle w:val="ListBullet"/>
      </w:pPr>
      <w:r>
        <w:rPr>
          <w:b/>
        </w:rPr>
        <w:t>Trust verification precedes synthesis</w:t>
      </w:r>
      <w:r>
        <w:t xml:space="preserve"> — retractions, COI ties, and open-science claims are knowable only through explicit Phase-4 streams.</w:t>
      </w:r>
    </w:p>
    <w:p>
      <w:pPr>
        <w:pStyle w:val="ListBullet"/>
      </w:pPr>
      <w:r>
        <w:rPr>
          <w:b/>
        </w:rPr>
        <w:t>The field lacks its own benchmark.</w:t>
      </w:r>
      <w:r>
        <w:t xml:space="preserve"> Systems auditing review automation are themselves unaudited end-to-end; cross-domain, externally validated, jointly-evaluating infrastructure is the prerequisite for generalizable trust.</w:t>
      </w:r>
    </w:p>
    <w:p>
      <w:r>
        <w:t xml:space="preserve">Written tools were excluded from the review matrix to avoid self-selection bias. Eleven included studies lack full text and contribute the 17 abstract-only claims (12th included study has an empty abstract and contributes none). </w:t>
      </w:r>
      <w:r>
        <w:rPr>
          <w:b/>
        </w:rPr>
        <w:t>11 of 58 included studies could not be Phase-4 certified</w:t>
      </w:r>
      <w:r>
        <w:t xml:space="preserve"> (absence of verifiable Crossref/OpenAlex records at corpus finalization for the retraction stream and partial metadata coverage for the other three streams; retraction stream covered 48) — the attestation statistics in §4.7 use the study-scanned denominators. The consensus clusterer uses a single embedding model and a hand-set threshold (0.40). Verification at ≥0.90 coverage guarantees that a quote matches its source at that threshold, not that the quote is byte-identical or that the source is representative of its own corpus. The corpus is preprint-track-heavy by design (55% preprint, 52% from 2026): this front-loads the newest evidence but makes aggregates provisional and version-bound — the living protocol (§3.8) absorbs published-version supersession and subsequent runs rather than restating finality. Screening agreement (κ = 0.408) is fair; screening decisions were consensus-aggregated and adjudicated.</w:t>
      </w:r>
    </w:p>
    <w:p>
      <w:r>
        <w:t>The 2023–2026 literature documents a rapid, convergent movement toward auditable, provenance-bearing, retrieval- and agent-grounded research harnesses — and an equally rapid emergence of trust gaps (citation fabrication ≤ 0.475 existence, item-level run instability, semantic-proxy failures, absent benchmarks) that any credible infrastructure must address. Our method — protocol-driven scoping, four-stream trust verification, threshold-verified full-text claim extraction, and semantic consensus — demonstrates, within this corpus, that trustworthy agentic synthesis is achievable with currently available tooling. The open research gap is a joint, externally validated, multi-domain evaluation benchmark for the field.</w:t>
      </w:r>
    </w:p>
    <w:p>
      <w:pPr>
        <w:pStyle w:val="ListBullet"/>
      </w:pPr>
      <w:r>
        <w:rPr>
          <w:b/>
        </w:rPr>
        <w:t>Data availability</w:t>
      </w:r>
      <w:r>
        <w:t xml:space="preserve">: full workspace </w:t>
      </w:r>
      <w:r>
        <w:rPr>
          <w:rFonts w:ascii="Consolas" w:hAnsi="Consolas"/>
        </w:rPr>
        <w:t>workspaces/ai-research-harnesses-trust/</w:t>
      </w:r>
      <w:r>
        <w:t xml:space="preserve"> (protocol, screening, extractions, claims ledger, consensus, audit journal, phase-4 outputs) is preserved and git-tracked (text/metadata) as versioned, hash-pinned artifacts. Supplementary: search-log per version (</w:t>
      </w:r>
      <w:r>
        <w:rPr>
          <w:rFonts w:ascii="Consolas" w:hAnsi="Consolas"/>
        </w:rPr>
        <w:t>literature/search_log_v1.0.json</w:t>
      </w:r>
      <w:r>
        <w:t>), standalone flow of information (</w:t>
      </w:r>
      <w:r>
        <w:rPr>
          <w:rFonts w:ascii="Consolas" w:hAnsi="Consolas"/>
        </w:rPr>
        <w:t>synthesis/prisma_scr_flow.md</w:t>
      </w:r>
      <w:r>
        <w:t xml:space="preserve"> + vector figure </w:t>
      </w:r>
      <w:r>
        <w:rPr>
          <w:rFonts w:ascii="Consolas" w:hAnsi="Consolas"/>
        </w:rPr>
        <w:t>synthesis/figures/fig_prisma_scr_flow.svg</w:t>
      </w:r>
      <w:r>
        <w:t xml:space="preserve"> and raster </w:t>
      </w:r>
      <w:r>
        <w:rPr>
          <w:rFonts w:ascii="Consolas" w:hAnsi="Consolas"/>
        </w:rPr>
        <w:t>fig_prisma_scr_flow.png</w:t>
      </w:r>
      <w:r>
        <w:t>), and reference-provenance map with preprint→published supersession tracking (</w:t>
      </w:r>
      <w:r>
        <w:rPr>
          <w:rFonts w:ascii="Consolas" w:hAnsi="Consolas"/>
        </w:rPr>
        <w:t>reports/supplementary_references.md</w:t>
      </w:r>
      <w:r>
        <w:t>).</w:t>
      </w:r>
    </w:p>
    <w:p>
      <w:pPr>
        <w:pStyle w:val="ListBullet"/>
      </w:pPr>
      <w:r>
        <w:rPr>
          <w:b/>
        </w:rPr>
        <w:t>Code availability</w:t>
      </w:r>
      <w:r>
        <w:t>: pipeline orchestration via Nexus Scholar kits; stage CLIs (</w:t>
      </w:r>
      <w:r>
        <w:rPr>
          <w:rFonts w:ascii="Consolas" w:hAnsi="Consolas"/>
        </w:rPr>
        <w:t>scholar-verify</w:t>
      </w:r>
      <w:r>
        <w:t xml:space="preserve"> retraction/open-science/coi/risk-of-bias + </w:t>
      </w:r>
      <w:r>
        <w:rPr>
          <w:rFonts w:ascii="Consolas" w:hAnsi="Consolas"/>
        </w:rPr>
        <w:t>verbatim-claims</w:t>
      </w:r>
      <w:r>
        <w:t xml:space="preserve">, </w:t>
      </w:r>
      <w:r>
        <w:rPr>
          <w:rFonts w:ascii="Consolas" w:hAnsi="Consolas"/>
        </w:rPr>
        <w:t>scholar-rag</w:t>
      </w:r>
      <w:r>
        <w:t xml:space="preserve"> index/consensus, discovery/screening entry points) are invocable in the project venv. Re-run instructions for the living-review protocol (§3.8): federated discovery and screening from </w:t>
      </w:r>
      <w:r>
        <w:rPr>
          <w:rFonts w:ascii="Consolas" w:hAnsi="Consolas"/>
        </w:rPr>
        <w:t>literature/</w:t>
      </w:r>
      <w:r>
        <w:t xml:space="preserve">, extraction from </w:t>
      </w:r>
      <w:r>
        <w:rPr>
          <w:rFonts w:ascii="Consolas" w:hAnsi="Consolas"/>
        </w:rPr>
        <w:t>extracted/</w:t>
      </w:r>
      <w:r>
        <w:t xml:space="preserve">, claim verification via the </w:t>
      </w:r>
      <w:r>
        <w:rPr>
          <w:rFonts w:ascii="Consolas" w:hAnsi="Consolas"/>
        </w:rPr>
        <w:t>scholar-verify verbatim-claims</w:t>
      </w:r>
      <w:r>
        <w:t xml:space="preserve"> gate (regeneration of the higher-level claim ledger uses the committed agent/prompt inputs recorded per run). Author-metadata resolution scripts for reference updates are committed under </w:t>
      </w:r>
      <w:r>
        <w:rPr>
          <w:rFonts w:ascii="Consolas" w:hAnsi="Consolas"/>
        </w:rPr>
        <w:t>scripts/</w:t>
      </w:r>
      <w:r>
        <w:t>.</w:t>
      </w:r>
    </w:p>
    <w:p>
      <w:pPr>
        <w:pStyle w:val="ListBullet"/>
      </w:pPr>
      <w:r>
        <w:rPr>
          <w:b/>
        </w:rPr>
        <w:t>Protocol availability</w:t>
      </w:r>
      <w:r>
        <w:t xml:space="preserve">: hash-pinned protocol </w:t>
      </w:r>
      <w:r>
        <w:rPr>
          <w:rFonts w:ascii="Consolas" w:hAnsi="Consolas"/>
        </w:rPr>
        <w:t>protocol.json</w:t>
      </w:r>
      <w:r>
        <w:t xml:space="preserve"> (compiled-protocol fingerprint </w:t>
      </w:r>
      <w:r>
        <w:rPr>
          <w:rFonts w:ascii="Consolas" w:hAnsi="Consolas"/>
        </w:rPr>
        <w:t>sha256:9646d5ec6902c8f7687dfcb6568e473e1e01b78f666b20b74ec901f9703bf55c</w:t>
      </w:r>
      <w:r>
        <w:t xml:space="preserve">, recorded at last protocol recompile in the audit journal), </w:t>
      </w:r>
      <w:r>
        <w:rPr>
          <w:rFonts w:ascii="Consolas" w:hAnsi="Consolas"/>
        </w:rPr>
        <w:t>SCREENING_CRITERIA.md</w:t>
      </w:r>
      <w:r>
        <w:t xml:space="preserve">, and </w:t>
      </w:r>
      <w:r>
        <w:rPr>
          <w:rFonts w:ascii="Consolas" w:hAnsi="Consolas"/>
        </w:rPr>
        <w:t>intent.json</w:t>
      </w:r>
      <w:r>
        <w:t>. Not externally registered at Version 1.0; registration is planned for a recognized registry (OSF) before journal submission.</w:t>
      </w:r>
    </w:p>
    <w:p>
      <w:pPr>
        <w:pStyle w:val="ListBullet"/>
      </w:pPr>
      <w:r>
        <w:rPr>
          <w:b/>
        </w:rPr>
        <w:t>Preprints and updates</w:t>
      </w:r>
      <w:r>
        <w:t xml:space="preserve">: this review explicitly includes preprint-track records (32/58). Preprint→published supersession is tracked where Crossref </w:t>
      </w:r>
      <w:r>
        <w:rPr>
          <w:rFonts w:ascii="Consolas" w:hAnsi="Consolas"/>
        </w:rPr>
        <w:t>update-to</w:t>
      </w:r>
      <w:r>
        <w:t>/OpenAlex status is available; at Version 1.0 finalization these fields were empty for the corpus (see §5.3), so the living protocol (§3.8) is the mechanism by which supersession will be absorbed.</w:t>
      </w:r>
    </w:p>
    <w:p>
      <w:pPr>
        <w:pStyle w:val="ListBullet"/>
      </w:pPr>
      <w:r>
        <w:rPr>
          <w:b/>
        </w:rPr>
        <w:t>Conflicts of interest</w:t>
      </w:r>
      <w:r>
        <w:t>: none declared by the authors; the Nexus Scholar toolkit was excluded from the review matrix.</w:t>
      </w:r>
    </w:p>
    <w:p>
      <w:pPr>
        <w:pStyle w:val="ListBullet"/>
      </w:pPr>
      <w:r>
        <w:rPr>
          <w:b/>
        </w:rPr>
        <w:t>Authors' contributions</w:t>
      </w:r>
      <w:r>
        <w:t>: MB and SZ conceived and designed the review protocol, co-authored the manuscript, and jointly verified the evidence pipeline outputs; SZ provided supervision and methodological oversight; MB implemented the analyses.</w:t>
      </w:r>
    </w:p>
    <w:p>
      <w:pPr>
        <w:pStyle w:val="ListBullet"/>
      </w:pPr>
      <w:r>
        <w:rPr>
          <w:b/>
        </w:rPr>
        <w:t>Funding</w:t>
      </w:r>
      <w:r>
        <w:t>: this research received no specific grant from any funding agency in the public, commercial, or not-for-profit sectors.</w:t>
      </w:r>
    </w:p>
    <w:p>
      <w:pPr>
        <w:pStyle w:val="ListBullet"/>
      </w:pPr>
      <w:r>
        <w:rPr>
          <w:b/>
        </w:rPr>
        <w:t>Traceability declaration</w:t>
      </w:r>
      <w:r>
        <w:t xml:space="preserve">: every claim statistic in this manuscript is machine-verifiable against </w:t>
      </w:r>
      <w:r>
        <w:rPr>
          <w:rFonts w:ascii="Consolas" w:hAnsi="Consolas"/>
        </w:rPr>
        <w:t>synthesis/claims.json</w:t>
      </w:r>
      <w:r>
        <w:t xml:space="preserve"> (510 claims, each with verified evidence quotes) and </w:t>
      </w:r>
      <w:r>
        <w:rPr>
          <w:rFonts w:ascii="Consolas" w:hAnsi="Consolas"/>
        </w:rPr>
        <w:t>synthesis/consensus.json</w:t>
      </w:r>
      <w:r>
        <w:t xml:space="preserve">; every pipeline step is recorded in </w:t>
      </w:r>
      <w:r>
        <w:rPr>
          <w:rFonts w:ascii="Consolas" w:hAnsi="Consolas"/>
        </w:rPr>
        <w:t>audit/journal.jsonl</w:t>
      </w:r>
      <w:r>
        <w:t xml:space="preserve"> (70 events). Version stamp: Review 1.0, corpus finalized 2026-09-09.</w:t>
      </w:r>
    </w:p>
    <w:p>
      <w:r>
        <w:t>---</w:t>
      </w:r>
    </w:p>
    <w:p>
      <w:r>
        <w:t>[1] Islam MA. Designing a Human-AI Collaborative Modular Approach to Automating Systematic Literature Reviews: From Objectives to Reporting. Tampere University Institutional Repository. (2025).</w:t>
      </w:r>
    </w:p>
    <w:p>
      <w:r>
        <w:t>[2] Paulraj NJ. Building an LLM Agent for Life Sciences Literature QA and Summarization. World Journal of Advanced Research and Reviews. (2025). doi: 10.30574/wjarr.2025.26.2.1665.</w:t>
      </w:r>
    </w:p>
    <w:p>
      <w:r>
        <w:t>[3] Xie C, Kong W, Pi L, Qi D, Yang Y, Wang B, et al. Performance of Large Language Models in Automated Medical Literature Screening: A Systematic Review and Meta‐Analysis. Journal of Evidence-Based Medicine. (2026). doi: 10.1111/jebm.70166.</w:t>
      </w:r>
    </w:p>
    <w:p>
      <w:r>
        <w:t>[4] Zhao C, Tang Y, Qian Y. Do Deployment Constraints Make LLMs Hallucinate Citations? An Empirical Study across Four Models and Five Prompting Regimes. arXiv. (2026). arXiv:2603.07287.</w:t>
      </w:r>
    </w:p>
    <w:p>
      <w:r>
        <w:t>[5] Asai A, He J, Shao R, Shi W, Singh A, Chang JC, et al. Synthesizing scientific literature with retrieval-augmented language models. Nature. (2026). doi: 10.1038/s41586-025-10072-4.</w:t>
      </w:r>
    </w:p>
    <w:p>
      <w:r>
        <w:t>[6] Asai A, He J, Shao R, Shi W, Singh A, Chang JC, et al. OpenScholar: Synthesizing Scientific Literature with Retrieval-augmented LMs. arXiv. (2024). doi: 10.48550/arxiv.2411.14199. (preprint version of ref [5]. doi: 10.1038/s41586-025-10072-4)</w:t>
      </w:r>
    </w:p>
    <w:p>
      <w:r>
        <w:t>[7] Kinas R, Krawczyk J, Powalski R, Pietrzak P, Kowalewska A, Kolmus K, et al. BioResearcher: Scenario-Guided Multi-Agent for Translational Medicine. arXiv. (2026). arXiv:2605.05985.</w:t>
      </w:r>
    </w:p>
    <w:p>
      <w:r>
        <w:t>[8] Figalová N, Huestegge L, Böckler-Raettig A. Evaluating human and LLM screening workflows in a conceptually complex scoping review: Recall--workload trade-offs and run-to-run consistency. arXiv. (2026). arXiv:2608.26885.</w:t>
      </w:r>
    </w:p>
    <w:p>
      <w:r>
        <w:t>[9] Susnjak T. Compiling Prompts, Not Crafting Them: A Reproducible Workflow for AI-Assisted Evidence Synthesis. arXiv. (2025). arXiv:2509.00038.</w:t>
      </w:r>
    </w:p>
    <w:p>
      <w:r>
        <w:t>[10] Wysocki O, Wysocka M, Jacobo M, Unsworth H, Freitas A. Biomedical reasoning in action: Multi-agent System for Auditable Biomedical Evidence Synthesis. arXiv. (2025). doi: 10.48550/arxiv.2510.05335.</w:t>
      </w:r>
    </w:p>
    <w:p>
      <w:r>
        <w:t>[11] Wang Z, Wei CH, Chan J, Leaman R, Day CP, Wu C, et al. DeepER-Med: Advancing Deep Evidence-Based Research in Medicine Through Agentic AI. arXiv. (2026). arXiv:2604.15456.</w:t>
      </w:r>
    </w:p>
    <w:p>
      <w:r>
        <w:t>[12] Huang YH, Lin YS. LUMEN: Cost-Transparent Multi-Agent Pipeline for Automated Systematic Review and Meta-Analysis. arXiv. (2026). arXiv:2606.28362.</w:t>
      </w:r>
    </w:p>
    <w:p>
      <w:r>
        <w:t>[13] Taherinezhad M, Maier S, Vitagliano G, Pierri F, Feuerriegel S. AutoSynthesis: An agentic system for automated meta-analysis. arXiv. (2026). arXiv:2607.15247.</w:t>
      </w:r>
    </w:p>
    <w:p>
      <w:r>
        <w:t>[14] Wang Z, Cao L, Danek B, Jin Q, Lu Z, Sun J. Accelerating clinical evidence synthesis with large language models. npj Digital Medicine. (2025). doi: 10.1038/s41746-025-01840-7.</w:t>
      </w:r>
    </w:p>
    <w:p>
      <w:r>
        <w:t>[15] Lin HT, Yeh JT. meta-pipe: An LLM-agent pipeline for end-to-end automated systematic review and meta-analysis. arXiv. (2026). arXiv:2606.28363.</w:t>
      </w:r>
    </w:p>
    <w:p>
      <w:r>
        <w:t>[16] Rouzrokh P, Khosravi B, Rouzrokh P, Shariatnia M. LatteReview: A Multi-Agent Framework for Systematic Review Automation Using Large Language Models. arXiv. (2025). doi: 10.48550/arxiv.2501.05468.</w:t>
      </w:r>
    </w:p>
    <w:p>
      <w:r>
        <w:t>[17] Ha HH, Favre B, Portet F. MedMeta: A Benchmark for LLMs in Synthesizing Meta-Analysis Conclusion from Medical Studies. arXiv. (2026).</w:t>
      </w:r>
    </w:p>
    <w:p>
      <w:r>
        <w:t>[18] Godinez A. HySemRAG: A Hybrid Semantic Retrieval-Augmented Generation Framework for Automated Literature Synthesis and Methodological Gap Analysis. arXiv. (2025). doi: 10.48550/arxiv.2508.05666.</w:t>
      </w:r>
    </w:p>
    <w:p>
      <w:r>
        <w:t>[19] Rahgozar A, Mortezaagha P. AI Co-Scientist for Knowledge Synthesis in Medical Contexts: A Proof of Concept. arXiv. (2026). arXiv:2601.11825.</w:t>
      </w:r>
    </w:p>
    <w:p>
      <w:r>
        <w:t>[20] Rahgozar A, Mortezaagha P, Edwards JD, Manuel DG, McGowen J, Zwarenstein M, et al. An AI-Driven Live Systematic Reviews in the Brain-Heart Interconnectome: Minimizing Research Waste and Advancing Evidence Synthesis. arXiv. (2025). doi: 10.48550/arxiv.2501.17181.</w:t>
      </w:r>
    </w:p>
    <w:p>
      <w:r>
        <w:t>[21] Tongnamtiang S, Wongsim M, Satchawatee N. An AI-Assisted Research Automation System for Scholarly Paper Retrieval and Review With Workflow Orchestration. Journal of Computer Science. (2026). doi: 10.3844/jcssp.2026.2082.2091.</w:t>
      </w:r>
    </w:p>
    <w:p>
      <w:r>
        <w:t>[22] Chen Z, Lu N, Li X, Ricard JA, Ju C, Wang HH, et al. Bringing analytic rigor to agentic AI for science: The Brain Researcher platform for neuroimaging data analysis. arXiv. (2026). arXiv:2608.19902.</w:t>
      </w:r>
    </w:p>
    <w:p>
      <w:r>
        <w:t>[23] Schmidt L, Hair K, Graziosi S, Campbell F, Kapp C, Khanteymoori A, et al. Exploring the use of a Large Language Model for data extraction in systematic reviews: a rapid feasibility study. arXiv. (2024). arXiv:2405.14445.</w:t>
      </w:r>
    </w:p>
    <w:p>
      <w:r>
        <w:t>[24] Jaumann C, Wiedholz A, Friedrich A. LGAR: Zero-Shot LLM-Guided Neural Ranking for Abstract Screening in Systematic Literature Reviews. Findings of the Association for Computational Linguistics: ACL 2025. (2025). doi: 10.18653/v1/2025.findings-acl.412.</w:t>
      </w:r>
    </w:p>
    <w:p>
      <w:r>
        <w:t>[25] Serretti A. Benchmarking a Local Schema-Constrained Large Language Model Pipeline for Abstract Screening and Evidence Mapping. Cureus. (2026). doi: 10.7759/cureus.111193.</w:t>
      </w:r>
    </w:p>
    <w:p>
      <w:r>
        <w:t>[26] Haryanto CY. LLAssist: Simple Tools for Automating Literature Review Using Large Language Models. arXiv. (2024). doi: 10.48550/arxiv.2407.13993.</w:t>
      </w:r>
    </w:p>
    <w:p>
      <w:r>
        <w:t>[27] Robinson A, Thorne W, Wu BP, Pandor A, Essat M, Stevenson M, et al. Bio-SIEVE: Exploring Instruction Tuning Large Language Models for Systematic Review Automation. arXiv. (2023). doi: 10.48550/arxiv.2308.06610.</w:t>
      </w:r>
    </w:p>
    <w:p>
      <w:r>
        <w:t>[28] Auer S, Oelen A, Jaradeh MY, Khalid M, Keya F, Gaddipati SK, et al. Towards AI-Supported Research: a Vision of the TIB AIssistant. arXiv. (2025). arXiv:2512.16447.</w:t>
      </w:r>
    </w:p>
    <w:p>
      <w:r>
        <w:t>[29] Matsumoto N, Choi H, Freda PJ, Hernandez ME, Wang ZP, Moore JH. EcoXAI: Autonomous Agentic Ecosystem for Explainable Artificial Intelligence and Biomedical Discovery. bioRxiv. (2026). doi: 10.64898/2026.07.08.737358.</w:t>
      </w:r>
    </w:p>
    <w:p>
      <w:r>
        <w:t>[30] Zhang W, Nguyen T, Stuart EA, Chen YT. Large language models for full-text methods assessment: a case study on mediation analysis. Journal of the American Medical Informatics Association. (2026). doi: 10.1093/jamia/ocag108.</w:t>
      </w:r>
    </w:p>
    <w:p>
      <w:r>
        <w:t>[31] Shafqat W, Patterson M, Liss SN. Knowledge Synthesis Review Framework: Task-Level Benchmarking of LLM-Based Systems for Multi-Source Evidence Synthesis. arXiv. (2026). arXiv:2608.12741.</w:t>
      </w:r>
    </w:p>
    <w:p>
      <w:r>
        <w:t>[32] Zrubka M, Alexy M, György KT, Zrubka Z. Large Language Models for Title/Abstract Screening in Systematic Literature Reviews: A Case Study in Precision Livestock Farming. 2025 IEEE 25th International Symposium on Computational Intelligence and Informatics (CINTI). (2025). doi: 10.1109/cinti67731.2025.11311831.</w:t>
      </w:r>
    </w:p>
    <w:p>
      <w:r>
        <w:t>[33] Moţăţăianu A, Păvăloiu IB. Advanced Semantic Analysis of Research Papers Using a Retrieval-Augmented Architecture. Proceedings of the International Conference on Business Excellence. (2026). doi: 10.2478/picbe-2026-0107.</w:t>
      </w:r>
    </w:p>
    <w:p>
      <w:r>
        <w:t>[34] Ferreira Barros C, Kalinowski M, Kassab M, Neto VVG. On the Use of a Large Language Model to Support the Conduction of a Systematic Mapping Study: A Brief Report from a Practitioner’s View. Proceedings of the 2026 IEEE/ACM International Workshop on Methodological Issues with Empirical Studies in Software Engineering. (2026). doi: 10.1145/3786149.3788298.</w:t>
      </w:r>
    </w:p>
    <w:p>
      <w:r>
        <w:t>[35] Tang X, Duan X, Cai Z. Large Language Models for Automated Literature Review: An Evaluation of Reference Generation, Abstract Writing, and Review Composition. Proceedings of the 2025 Conference on Empirical Methods in Natural Language Processing. (2025). doi: 10.18653/v1/2025.emnlp-main.83.</w:t>
      </w:r>
    </w:p>
    <w:p>
      <w:r>
        <w:t>[36] Wang X, Zhang Y, Xu B, Hou L, Li J. DeepWeaver: Bridging the Evidence Synthesis Gap in Open-Ended Question Answering. arXiv. (2026). doi: 10.48550/arxiv.2608.18988.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