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sz w:val="36"/>
          <w:szCs w:val="36"/>
        </w:rPr>
        <w:t xml:space="preserve">N.E.X.U.S. OneApp</w:t>
      </w:r>
    </w:p>
    <w:p>
      <w:pPr>
        <w:spacing w:after="100"/>
        <w:jc w:val="center"/>
      </w:pPr>
      <w:r>
        <w:rPr>
          <w:rFonts w:ascii="Calibri" w:cs="Calibri" w:eastAsia="Calibri" w:hAnsi="Calibri"/>
          <w:sz w:val="28"/>
          <w:szCs w:val="28"/>
        </w:rPr>
        <w:t xml:space="preserve">Fachliche Spezifikation</w:t>
      </w:r>
    </w:p>
    <w:p>
      <w:pPr>
        <w:spacing w:after="600"/>
        <w:jc w:val="center"/>
      </w:pPr>
      <w:r>
        <w:rPr>
          <w:rFonts w:ascii="Calibri" w:cs="Calibri" w:eastAsia="Calibri" w:hAnsi="Calibri"/>
          <w:b/>
          <w:bCs/>
          <w:color w:val="D4AF37"/>
          <w:sz w:val="32"/>
          <w:szCs w:val="32"/>
        </w:rPr>
        <w:t xml:space="preserve">AETHER-Protokoll</w:t>
      </w:r>
    </w:p>
    <w:p>
      <w:pPr>
        <w:spacing w:after="100"/>
        <w:jc w:val="center"/>
      </w:pPr>
      <w:r>
        <w:rPr>
          <w:rFonts w:ascii="Calibri" w:cs="Calibri" w:eastAsia="Calibri" w:hAnsi="Calibri"/>
          <w:i/>
          <w:iCs/>
          <w:sz w:val="22"/>
          <w:szCs w:val="22"/>
        </w:rPr>
        <w:t xml:space="preserve">Diskussionsgrundlage für Beirat, Entwicklerteam und ökonomische Fachprüfung</w:t>
      </w:r>
    </w:p>
    <w:p>
      <w:pPr>
        <w:spacing w:after="600"/>
        <w:jc w:val="center"/>
      </w:pPr>
      <w:r>
        <w:rPr>
          <w:rFonts w:ascii="Calibri" w:cs="Calibri" w:eastAsia="Calibri" w:hAnsi="Calibri"/>
          <w:b/>
          <w:bCs/>
          <w:sz w:val="22"/>
          <w:szCs w:val="22"/>
        </w:rPr>
        <w:t>Version: 0.4 – Erweiterter Arbeitsentwurf</w:t>
      </w:r>
    </w:p>
    <w:p>
      <w:pPr>
        <w:spacing w:after="80"/>
        <w:jc w:val="center"/>
      </w:pPr>
      <w:r>
        <w:rPr>
          <w:rFonts w:ascii="Calibri" w:cs="Calibri" w:eastAsia="Calibri" w:hAnsi="Calibri"/>
          <w:sz w:val="22"/>
          <w:szCs w:val="22"/>
        </w:rPr>
        <w:t xml:space="preserve">Projekt: N.E.X.U.S. OneApp</w:t>
      </w:r>
    </w:p>
    <w:p>
      <w:pPr>
        <w:spacing w:after="80"/>
        <w:jc w:val="center"/>
      </w:pPr>
      <w:r>
        <w:rPr>
          <w:rFonts w:ascii="Calibri" w:cs="Calibri" w:eastAsia="Calibri" w:hAnsi="Calibri"/>
          <w:sz w:val="22"/>
          <w:szCs w:val="22"/>
        </w:rPr>
        <w:t xml:space="preserve">Bezug: Bauplan Projekt N.E.X.U.S. V12.x, Kapitel 5 „Die Ökonomie“ und Kapitel 9.2 „Bootstrapping“</w:t>
      </w:r>
    </w:p>
    <w:p>
      <w:pPr>
        <w:spacing w:after="600"/>
        <w:jc w:val="center"/>
      </w:pPr>
      <w:r>
        <w:rPr>
          <w:rFonts w:ascii="Calibri" w:cs="Calibri" w:eastAsia="Calibri" w:hAnsi="Calibri"/>
          <w:sz w:val="22"/>
          <w:szCs w:val="22"/>
        </w:rPr>
        <w:t xml:space="preserve">Status: Nicht final, nicht implementierungsverbindlich, Diskussionsgrundlage</w:t>
      </w:r>
    </w:p>
    <w:p>
      <w:pPr>
        <w:spacing w:after="200"/>
        <w:jc w:val="center"/>
      </w:pPr>
      <w:r>
        <w:rPr>
          <w:rFonts w:ascii="Calibri" w:cs="Calibri" w:eastAsia="Calibri" w:hAnsi="Calibri"/>
          <w:i/>
          <w:iCs/>
          <w:sz w:val="20"/>
          <w:szCs w:val="20"/>
        </w:rPr>
        <w:t xml:space="preserve">Hinweis: Dieses Dokument beschreibt fachliche Leitplanken und Diskussionspunkte. Es ist keine Rechts-, Steuer- oder Anlageberatung und keine finale Produktspezifikation.</w:t>
      </w:r>
    </w:p>
    <w:p>
      <w:r>
        <w:br w:type="page"/>
      </w:r>
    </w:p>
    <w:p/>
    <w:p>
      <w:pPr>
        <w:pStyle w:val="ListParagraph"/>
      </w:pPr>
      <w:r>
        <w:t>aether_balances bleibt ausdrücklich UI-Cache und darf niemals zur primären Wahrheit des Protokolls werden.</w:t>
      </w:r>
    </w:p>
    <w:p>
      <w:pPr>
        <w:pStyle w:val="ListParagraph"/>
      </w:pPr>
      <w:r>
        <w:t>Historische Ereignisse werden nicht überschrieben. Fehler werden durch Korrektur- oder Reversal-Events behoben, nicht durch Löschung oder Replacement.</w:t>
      </w:r>
    </w:p>
    <w:p>
      <w:pPr>
        <w:pStyle w:val="Heading3"/>
      </w:pPr>
      <w:r>
        <w:t>Technisch korrigiert in v0.4</w:t>
      </w:r>
    </w:p>
    <w:p>
      <w:pPr>
        <w:pStyle w:val="ListParagraph"/>
      </w:pPr>
      <w:r>
        <w:t>Offline-Mesh-Risiko in die Missbrauchs- und Risikotabelle aufgenommen: Claims dürfen weder durch Offline-Verifikatoren blockiert noch durch verspätete Antworten inkonsistent werden.</w:t>
      </w:r>
    </w:p>
    <w:p>
      <w:pPr>
        <w:pStyle w:val="ListParagraph"/>
      </w:pPr>
      <w:r>
        <w:t>Phase B0 als AETHER-Testnet / lokale Simulation geschärft: B0 dient als Lern-, UX- und Architektur-Testumgebung ohne echte wirtschaftliche Wirkung; B1 und alle produktiven AETHER-Phasen bleiben an stabile G2-Governance gebunden.</w:t>
      </w:r>
    </w:p>
    <w:p>
      <w:pPr>
        <w:pStyle w:val="ListParagraph"/>
      </w:pPr>
      <w:r>
        <w:t>Timeout und Re-Roll für Random Audit ergänzt (Kapitel 7.5.4): Nicht erreichbare Verifikatoren blockieren den Wertschöpfungsprozess nicht dauerhaft; nach definierten Fristen wird deterministisch neu zugewiesen.</w:t>
      </w:r>
    </w:p>
    <w:p>
      <w:pPr>
        <w:pStyle w:val="ListParagraph"/>
      </w:pPr>
      <w:r>
        <w:t>Nostr Event-Kinds korrigiert (Kapitel 19.2): Claims, Verifications, Gaia-Vorgänge und TERRA-Share-Zuteilungen werden als Regular Events im 7000er-Bereich vorgeschlagen; nur Status-, Policy- und Snapshot-Informationen bleiben im 30000er-Bereich.</w:t>
      </w:r>
    </w:p>
    <w:p>
      <w:pPr>
        <w:pStyle w:val="ListParagraph"/>
      </w:pPr>
      <w:r>
        <w:t>Append-only-Prinzip für AETHER festgeschrieben: Die Wahrheit des AETHER-Protokolls liegt niemals in einem gespeicherten Kontostand, sondern ausschließlich in der unveränderlichen Historie signierter Ereignisse.</w:t>
      </w:r>
    </w:p>
    <w:p>
      <w:pPr>
        <w:pStyle w:val="Heading3"/>
      </w:pPr>
      <w:r>
        <w:t>Neu in v0.4</w:t>
      </w:r>
    </w:p>
    <w:p>
      <w:r>
        <w:t>Diese Version v0.4 übernimmt die soziale und technische Schärfung aus v0.3 und korrigiert einen wichtigen Architekturpunkt im Bereich Nostr/Event-Sourcing. Zusätzlich wird Random Audit für Offline-/Mesh-Bedingungen robuster gemacht und Phase B0 als AETHER-Testnet klarer definiert.</w:t>
      </w:r>
    </w:p>
    <w:p>
      <w:pPr>
        <w:pStyle w:val="Heading1"/>
      </w:pPr>
      <w:r>
        <w:t>Änderungslog v0.3 → v0.4</w:t>
      </w:r>
    </w:p>
    <w:p>
      <w:pPr>
        <w:pStyle w:val="Heading1"/>
      </w:pPr>
      <w:r>
        <w:t>Änderungslog v0.2 → v0.3</w:t>
      </w:r>
    </w:p>
    <w:p>
      <w:r>
        <w:t>Diese Version v0.3 übernimmt die fachliche Erweiterung aus v0.2 und schärft fünf Punkte nach, die für eine menschliche, alltagstaugliche und technisch robuste Umsetzung entscheidend sind: Roadmap-Reihenfolge, Schutzstatus, Care-Arbeit, Random-Audit-Alltagstauglichkeit und technische Wahrheitsschicht.</w:t>
      </w:r>
    </w:p>
    <w:p>
      <w:pPr>
        <w:pStyle w:val="Heading3"/>
      </w:pPr>
      <w:r>
        <w:t>Neu in v0.3</w:t>
      </w:r>
    </w:p>
    <w:p>
      <w:pPr>
        <w:pStyle w:val="ListParagraph"/>
      </w:pPr>
      <w:r>
        <w:t>Phase B wird in B0 und B1 geteilt: B0 erlaubt eine rein lokale UI-/Ledger-Simulation ohne Governance-Abhängigkeit; B1 beschreibt die echte zellbezogene AETHER-Logik nach stabiler G2-Governance.</w:t>
      </w:r>
    </w:p>
    <w:p>
      <w:pPr>
        <w:pStyle w:val="ListParagraph"/>
      </w:pPr>
      <w:r>
        <w:t>Temporärer Schutzstatus ergänzt (neu in Kapitel 12.2.5): Krankheit, Trauma, Trauer, Krise, Pflegezeit und Erholung werden als Schutzräume behandelt, ohne dass Menschen in den dauerhaften Würde-Status gedrängt werden.</w:t>
      </w:r>
    </w:p>
    <w:p>
      <w:pPr>
        <w:pStyle w:val="ListParagraph"/>
      </w:pPr>
      <w:r>
        <w:t>Care-Arbeit gegen kalte Messlogik geschützt (neu in Kapitel 7.4.1): Output-Korrelation darf bei Pflege, Begleitung, Seelsorge und Konfliktarbeit nicht rein quantitativ verstanden werden.</w:t>
      </w:r>
    </w:p>
    <w:p>
      <w:pPr>
        <w:pStyle w:val="ListParagraph"/>
      </w:pPr>
      <w:r>
        <w:t>Bagatellgrenze und Stichprobenlogik ergänzt (neu in Kapitel 7.5.3): Kleinstbeiträge sollen nicht jeden Alltag bürokratisieren, sondern aggregiert oder stichprobenartig geprüft werden.</w:t>
      </w:r>
    </w:p>
    <w:p>
      <w:pPr>
        <w:pStyle w:val="ListParagraph"/>
      </w:pPr>
      <w:r>
        <w:t>aether_balances als Cache definiert (Kapitel 19.1): Primäre Wahrheit ist die Ledger-/Event-Historie; Salden sind rekonstruierbare lokale Projektionen.</w:t>
      </w:r>
    </w:p>
    <w:p>
      <w:pPr>
        <w:pStyle w:val="Heading3"/>
      </w:pPr>
      <w:r>
        <w:t>Konkretisiert in v0.3</w:t>
      </w:r>
    </w:p>
    <w:p>
      <w:pPr>
        <w:pStyle w:val="ListParagraph"/>
      </w:pPr>
      <w:r>
        <w:t>Roadmap und Implementierungsreihenfolge wurden so angepasst, dass frühe Simulation möglich ist, ohne das Protokoll produktiv scharf zu stellen.</w:t>
      </w:r>
    </w:p>
    <w:p>
      <w:pPr>
        <w:pStyle w:val="ListParagraph"/>
      </w:pPr>
      <w:r>
        <w:t>Der zentrale Leitgedanke wurde ergänzt: AETHER darf nicht nur betrugssicher sein. Es muss auch menschlich bleiben.</w:t>
      </w:r>
    </w:p>
    <w:p>
      <w:pPr>
        <w:pStyle w:val="Heading1"/>
        <w:spacing w:after="200" w:before="360"/>
      </w:pPr>
      <w:r>
        <w:rPr>
          <w:rFonts w:ascii="Calibri" w:cs="Calibri" w:eastAsia="Calibri" w:hAnsi="Calibri"/>
          <w:b/>
          <w:bCs/>
          <w:sz w:val="32"/>
          <w:szCs w:val="32"/>
        </w:rPr>
        <w:t xml:space="preserve">Änderungslog v0.1 → v0.2</w:t>
      </w:r>
    </w:p>
    <w:p>
      <w:pPr>
        <w:spacing w:after="120" w:line="300"/>
      </w:pPr>
      <w:r>
        <w:rPr>
          <w:rFonts w:ascii="Calibri" w:cs="Calibri" w:eastAsia="Calibri" w:hAnsi="Calibri"/>
          <w:sz w:val="22"/>
          <w:szCs w:val="22"/>
        </w:rPr>
        <w:t xml:space="preserve">Diese Version v0.2 schließt sechs inhaltliche Lücken gegenüber v0.1, bereinigt die Begrifflichkeit (insbesondere die Verwendung des Wortes „System“) und ergänzt einen Architektur-Anhang, der jedes AETHER-Konzept in der bestehenden OneApp-Architektur (SQLite-Tabellen, Nostr-Event-Kinds, Services) verortet.</w:t>
      </w:r>
    </w:p>
    <w:p>
      <w:pPr>
        <w:pStyle w:val="Heading3"/>
        <w:spacing w:after="120" w:before="220"/>
      </w:pPr>
      <w:r>
        <w:rPr>
          <w:rFonts w:ascii="Calibri" w:cs="Calibri" w:eastAsia="Calibri" w:hAnsi="Calibri"/>
          <w:b/>
          <w:bCs/>
          <w:sz w:val="23"/>
          <w:szCs w:val="23"/>
        </w:rPr>
        <w:t xml:space="preserve">Neu in v0.2</w:t>
      </w:r>
    </w:p>
    <w:p>
      <w:pPr>
        <w:pStyle w:val="ListParagraph"/>
        <w:numPr>
          <w:ilvl w:val="0"/>
          <w:numId w:val="2"/>
        </w:numPr>
        <w:spacing w:after="80" w:line="290"/>
      </w:pPr>
      <w:r>
        <w:rPr>
          <w:rFonts w:ascii="Calibri" w:cs="Calibri" w:eastAsia="Calibri" w:hAnsi="Calibri"/>
          <w:b/>
          <w:bCs/>
          <w:sz w:val="22"/>
          <w:szCs w:val="22"/>
        </w:rPr>
        <w:t xml:space="preserve">Random Audit als Kerndesign der Verifikation</w:t>
      </w:r>
      <w:r>
        <w:rPr>
          <w:rFonts w:ascii="Calibri" w:cs="Calibri" w:eastAsia="Calibri" w:hAnsi="Calibri"/>
          <w:sz w:val="22"/>
          <w:szCs w:val="22"/>
        </w:rPr>
        <w:t xml:space="preserve"> (neu in Kapitel 7) – Verifikatoren werden zufällig zugewiesen, nicht von der beitragenden Person ausgewählt. Anzahl skaliert mit Beitragsgröße.</w:t>
      </w:r>
    </w:p>
    <w:p>
      <w:pPr>
        <w:pStyle w:val="ListParagraph"/>
        <w:numPr>
          <w:ilvl w:val="0"/>
          <w:numId w:val="2"/>
        </w:numPr>
        <w:spacing w:after="80" w:line="290"/>
      </w:pPr>
      <w:r>
        <w:rPr>
          <w:rFonts w:ascii="Calibri" w:cs="Calibri" w:eastAsia="Calibri" w:hAnsi="Calibri"/>
          <w:b/>
          <w:bCs/>
          <w:sz w:val="22"/>
          <w:szCs w:val="22"/>
        </w:rPr>
        <w:t xml:space="preserve">Output-Korrelation als dritte Verifikationsspur</w:t>
      </w:r>
      <w:r>
        <w:rPr>
          <w:rFonts w:ascii="Calibri" w:cs="Calibri" w:eastAsia="Calibri" w:hAnsi="Calibri"/>
          <w:sz w:val="22"/>
          <w:szCs w:val="22"/>
        </w:rPr>
        <w:t xml:space="preserve"> (neu in Kapitel 7) – Plausibilitätsprüfung durch Outcome-Messung statt nur durch Sensorik.</w:t>
      </w:r>
    </w:p>
    <w:p>
      <w:pPr>
        <w:pStyle w:val="ListParagraph"/>
        <w:numPr>
          <w:ilvl w:val="0"/>
          <w:numId w:val="2"/>
        </w:numPr>
        <w:spacing w:after="80" w:line="290"/>
      </w:pPr>
      <w:r>
        <w:rPr>
          <w:rFonts w:ascii="Calibri" w:cs="Calibri" w:eastAsia="Calibri" w:hAnsi="Calibri"/>
          <w:b/>
          <w:bCs/>
          <w:sz w:val="22"/>
          <w:szCs w:val="22"/>
        </w:rPr>
        <w:t xml:space="preserve">Wertanker-Klärung</w:t>
      </w:r>
      <w:r>
        <w:rPr>
          <w:rFonts w:ascii="Calibri" w:cs="Calibri" w:eastAsia="Calibri" w:hAnsi="Calibri"/>
          <w:sz w:val="22"/>
          <w:szCs w:val="22"/>
        </w:rPr>
        <w:t xml:space="preserve"> (neu in Kapitel 6) – Verhältnis zwischen Bauplan-Wertanker (Zeit + Energie + Ressourcen) und der Recheneinheit „10 VITA pro Stunde Basisbeitrag“.</w:t>
      </w:r>
    </w:p>
    <w:p>
      <w:pPr>
        <w:pStyle w:val="ListParagraph"/>
        <w:numPr>
          <w:ilvl w:val="0"/>
          <w:numId w:val="2"/>
        </w:numPr>
        <w:spacing w:after="80" w:line="290"/>
      </w:pPr>
      <w:r>
        <w:rPr>
          <w:rFonts w:ascii="Calibri" w:cs="Calibri" w:eastAsia="Calibri" w:hAnsi="Calibri"/>
          <w:b/>
          <w:bCs/>
          <w:sz w:val="22"/>
          <w:szCs w:val="22"/>
        </w:rPr>
        <w:t xml:space="preserve">Würde-Status</w:t>
      </w:r>
      <w:r>
        <w:rPr>
          <w:rFonts w:ascii="Calibri" w:cs="Calibri" w:eastAsia="Calibri" w:hAnsi="Calibri"/>
          <w:sz w:val="22"/>
          <w:szCs w:val="22"/>
        </w:rPr>
        <w:t xml:space="preserve"> (neu in Kapitel 12) – Menschen, die nachweislich nicht beitragen können, erhalten automatisch Grundversorgung plus mittlere AURA, ohne Leistungsnachweis.</w:t>
      </w:r>
    </w:p>
    <w:p>
      <w:pPr>
        <w:pStyle w:val="ListParagraph"/>
        <w:numPr>
          <w:ilvl w:val="0"/>
          <w:numId w:val="2"/>
        </w:numPr>
        <w:spacing w:after="80" w:line="290"/>
      </w:pPr>
      <w:r>
        <w:rPr>
          <w:rFonts w:ascii="Calibri" w:cs="Calibri" w:eastAsia="Calibri" w:hAnsi="Calibri"/>
          <w:b/>
          <w:bCs/>
          <w:sz w:val="22"/>
          <w:szCs w:val="22"/>
        </w:rPr>
        <w:t xml:space="preserve">TERRA-Schöpfungsverfahren</w:t>
      </w:r>
      <w:r>
        <w:rPr>
          <w:rFonts w:ascii="Calibri" w:cs="Calibri" w:eastAsia="Calibri" w:hAnsi="Calibri"/>
          <w:sz w:val="22"/>
          <w:szCs w:val="22"/>
        </w:rPr>
        <w:t xml:space="preserve"> (neu als Kapitel 13) – konkretes Verfahren für VITA→TERRA-Übergänge, eingebettet in G1 Proposals und G2 Liquid Democracy.</w:t>
      </w:r>
    </w:p>
    <w:p>
      <w:pPr>
        <w:pStyle w:val="ListParagraph"/>
        <w:numPr>
          <w:ilvl w:val="0"/>
          <w:numId w:val="2"/>
        </w:numPr>
        <w:spacing w:after="80" w:line="290"/>
      </w:pPr>
      <w:r>
        <w:rPr>
          <w:rFonts w:ascii="Calibri" w:cs="Calibri" w:eastAsia="Calibri" w:hAnsi="Calibri"/>
          <w:b/>
          <w:bCs/>
          <w:sz w:val="22"/>
          <w:szCs w:val="22"/>
        </w:rPr>
        <w:t xml:space="preserve">Privacy-Architektur unter Nostr</w:t>
      </w:r>
      <w:r>
        <w:rPr>
          <w:rFonts w:ascii="Calibri" w:cs="Calibri" w:eastAsia="Calibri" w:hAnsi="Calibri"/>
          <w:sz w:val="22"/>
          <w:szCs w:val="22"/>
        </w:rPr>
        <w:t xml:space="preserve"> (neu in Kapitel 15) – Behandlung des Verkettbarkeits-Problems durch DID-signierte Events; Anforderungen an NIP-44-Verschlüsselung und Zero-Knowledge-Verfahren.</w:t>
      </w:r>
    </w:p>
    <w:p>
      <w:pPr>
        <w:pStyle w:val="ListParagraph"/>
        <w:numPr>
          <w:ilvl w:val="0"/>
          <w:numId w:val="2"/>
        </w:numPr>
        <w:spacing w:after="80" w:line="290"/>
      </w:pPr>
      <w:r>
        <w:rPr>
          <w:rFonts w:ascii="Calibri" w:cs="Calibri" w:eastAsia="Calibri" w:hAnsi="Calibri"/>
          <w:b/>
          <w:bCs/>
          <w:sz w:val="22"/>
          <w:szCs w:val="22"/>
        </w:rPr>
        <w:t xml:space="preserve">Architektur-Anhang</w:t>
      </w:r>
      <w:r>
        <w:rPr>
          <w:rFonts w:ascii="Calibri" w:cs="Calibri" w:eastAsia="Calibri" w:hAnsi="Calibri"/>
          <w:sz w:val="22"/>
          <w:szCs w:val="22"/>
        </w:rPr>
        <w:t xml:space="preserve"> (neu als Kapitel 19) – AETHER-Konzepte verortet in OneApp-Architektur.</w:t>
      </w:r>
    </w:p>
    <w:p>
      <w:pPr>
        <w:pStyle w:val="Heading3"/>
        <w:spacing w:after="120" w:before="220"/>
      </w:pPr>
      <w:r>
        <w:rPr>
          <w:rFonts w:ascii="Calibri" w:cs="Calibri" w:eastAsia="Calibri" w:hAnsi="Calibri"/>
          <w:b/>
          <w:bCs/>
          <w:sz w:val="23"/>
          <w:szCs w:val="23"/>
        </w:rPr>
        <w:t xml:space="preserve">Bereinigt in v0.2</w:t>
      </w:r>
    </w:p>
    <w:p>
      <w:pPr>
        <w:pStyle w:val="ListParagraph"/>
        <w:numPr>
          <w:ilvl w:val="0"/>
          <w:numId w:val="2"/>
        </w:numPr>
        <w:spacing w:after="80" w:line="290"/>
      </w:pPr>
      <w:r>
        <w:rPr>
          <w:rFonts w:ascii="Calibri" w:cs="Calibri" w:eastAsia="Calibri" w:hAnsi="Calibri"/>
          <w:sz w:val="22"/>
          <w:szCs w:val="22"/>
        </w:rPr>
        <w:t xml:space="preserve">„System“ ersetzt durch „Protokoll“, „Wertfluss-Protokoll“ oder „Verrechnungseinheit der Menschheitsfamilie“, wo es semantisch passt.</w:t>
      </w:r>
    </w:p>
    <w:p>
      <w:pPr>
        <w:pStyle w:val="ListParagraph"/>
        <w:numPr>
          <w:ilvl w:val="0"/>
          <w:numId w:val="2"/>
        </w:numPr>
        <w:spacing w:after="80" w:line="290"/>
      </w:pPr>
      <w:r>
        <w:rPr>
          <w:rFonts w:ascii="Calibri" w:cs="Calibri" w:eastAsia="Calibri" w:hAnsi="Calibri"/>
          <w:sz w:val="22"/>
          <w:szCs w:val="22"/>
        </w:rPr>
        <w:t xml:space="preserve">Skill-Multiplikator-Vergabe konkretisiert (Kapitel 8).</w:t>
      </w:r>
    </w:p>
    <w:p>
      <w:pPr>
        <w:pStyle w:val="ListParagraph"/>
        <w:numPr>
          <w:ilvl w:val="0"/>
          <w:numId w:val="2"/>
        </w:numPr>
        <w:spacing w:after="80" w:line="290"/>
      </w:pPr>
      <w:r>
        <w:rPr>
          <w:rFonts w:ascii="Calibri" w:cs="Calibri" w:eastAsia="Calibri" w:hAnsi="Calibri"/>
          <w:sz w:val="22"/>
          <w:szCs w:val="22"/>
        </w:rPr>
        <w:t xml:space="preserve">Verifikationsstufen mit Random-Audit-Anforderungen verschränkt (Kapitel 7).</w:t>
      </w:r>
    </w:p>
    <w:p>
      <w:r>
        <w:br w:type="page"/>
      </w:r>
    </w:p>
    <w:p>
      <w:pPr>
        <w:pStyle w:val="Heading1"/>
        <w:spacing w:after="200" w:before="360"/>
      </w:pPr>
      <w:r>
        <w:rPr>
          <w:rFonts w:ascii="Calibri" w:cs="Calibri" w:eastAsia="Calibri" w:hAnsi="Calibri"/>
          <w:b/>
          <w:bCs/>
          <w:sz w:val="32"/>
          <w:szCs w:val="32"/>
        </w:rPr>
        <w:t xml:space="preserve">Inhaltsübersicht</w:t>
      </w:r>
    </w:p>
    <w:p>
      <w:pPr>
        <w:spacing w:after="120" w:line="300"/>
      </w:pPr>
      <w:r>
        <w:rPr>
          <w:rFonts w:ascii="Calibri" w:cs="Calibri" w:eastAsia="Calibri" w:hAnsi="Calibri"/>
          <w:sz w:val="22"/>
          <w:szCs w:val="22"/>
        </w:rPr>
        <w:t xml:space="preserve">1. Zweck dieser Spezifikation</w:t>
      </w:r>
    </w:p>
    <w:p>
      <w:pPr>
        <w:spacing w:after="120" w:line="300"/>
      </w:pPr>
      <w:r>
        <w:rPr>
          <w:rFonts w:ascii="Calibri" w:cs="Calibri" w:eastAsia="Calibri" w:hAnsi="Calibri"/>
          <w:sz w:val="22"/>
          <w:szCs w:val="22"/>
        </w:rPr>
        <w:t xml:space="preserve">2. Grundproblem, das AETHER lösen soll</w:t>
      </w:r>
    </w:p>
    <w:p>
      <w:pPr>
        <w:spacing w:after="120" w:line="300"/>
      </w:pPr>
      <w:r>
        <w:rPr>
          <w:rFonts w:ascii="Calibri" w:cs="Calibri" w:eastAsia="Calibri" w:hAnsi="Calibri"/>
          <w:sz w:val="22"/>
          <w:szCs w:val="22"/>
        </w:rPr>
        <w:t xml:space="preserve">3. Designprinzipien des AETHER-Protokolls</w:t>
      </w:r>
    </w:p>
    <w:p>
      <w:pPr>
        <w:spacing w:after="120" w:line="300"/>
      </w:pPr>
      <w:r>
        <w:rPr>
          <w:rFonts w:ascii="Calibri" w:cs="Calibri" w:eastAsia="Calibri" w:hAnsi="Calibri"/>
          <w:sz w:val="22"/>
          <w:szCs w:val="22"/>
        </w:rPr>
        <w:t xml:space="preserve">4. Die drei Zustände des AETHER</w:t>
      </w:r>
    </w:p>
    <w:p>
      <w:pPr>
        <w:spacing w:after="120" w:line="300"/>
      </w:pPr>
      <w:r>
        <w:rPr>
          <w:rFonts w:ascii="Calibri" w:cs="Calibri" w:eastAsia="Calibri" w:hAnsi="Calibri"/>
          <w:sz w:val="22"/>
          <w:szCs w:val="22"/>
        </w:rPr>
        <w:t xml:space="preserve">5. Wertschöpfung – Proof of Useful Work und Automatisierungsdividende</w:t>
      </w:r>
    </w:p>
    <w:p>
      <w:pPr>
        <w:spacing w:after="120" w:line="300"/>
      </w:pPr>
      <w:r>
        <w:rPr>
          <w:rFonts w:ascii="Calibri" w:cs="Calibri" w:eastAsia="Calibri" w:hAnsi="Calibri"/>
          <w:sz w:val="22"/>
          <w:szCs w:val="22"/>
        </w:rPr>
        <w:t xml:space="preserve">6. Proof of Useful Work im Detail (mit Wertanker-Klärung)</w:t>
      </w:r>
    </w:p>
    <w:p>
      <w:pPr>
        <w:spacing w:after="120" w:line="300"/>
      </w:pPr>
      <w:r>
        <w:rPr>
          <w:rFonts w:ascii="Calibri" w:cs="Calibri" w:eastAsia="Calibri" w:hAnsi="Calibri"/>
          <w:sz w:val="22"/>
          <w:szCs w:val="22"/>
        </w:rPr>
        <w:t>7. Verifikation – Die Dreifaltigkeit der Wahrheit, Random Audit, Output-Korrelation und Re-Roll</w:t>
      </w:r>
    </w:p>
    <w:p>
      <w:pPr>
        <w:spacing w:after="120" w:line="300"/>
      </w:pPr>
      <w:r>
        <w:rPr>
          <w:rFonts w:ascii="Calibri" w:cs="Calibri" w:eastAsia="Calibri" w:hAnsi="Calibri"/>
          <w:sz w:val="22"/>
          <w:szCs w:val="22"/>
        </w:rPr>
        <w:t xml:space="preserve">8. Skill-Multiplikator</w:t>
      </w:r>
    </w:p>
    <w:p>
      <w:pPr>
        <w:spacing w:after="120" w:line="300"/>
      </w:pPr>
      <w:r>
        <w:rPr>
          <w:rFonts w:ascii="Calibri" w:cs="Calibri" w:eastAsia="Calibri" w:hAnsi="Calibri"/>
          <w:sz w:val="22"/>
          <w:szCs w:val="22"/>
        </w:rPr>
        <w:t xml:space="preserve">9. Human Need Index</w:t>
      </w:r>
    </w:p>
    <w:p>
      <w:pPr>
        <w:spacing w:after="120" w:line="300"/>
      </w:pPr>
      <w:r>
        <w:rPr>
          <w:rFonts w:ascii="Calibri" w:cs="Calibri" w:eastAsia="Calibri" w:hAnsi="Calibri"/>
          <w:sz w:val="22"/>
          <w:szCs w:val="22"/>
        </w:rPr>
        <w:t xml:space="preserve">10. Gaia-Fonds</w:t>
      </w:r>
    </w:p>
    <w:p>
      <w:pPr>
        <w:spacing w:after="120" w:line="300"/>
      </w:pPr>
      <w:r>
        <w:rPr>
          <w:rFonts w:ascii="Calibri" w:cs="Calibri" w:eastAsia="Calibri" w:hAnsi="Calibri"/>
          <w:sz w:val="22"/>
          <w:szCs w:val="22"/>
        </w:rPr>
        <w:t xml:space="preserve">11. Demurrage / Umlauf-Impuls</w:t>
      </w:r>
    </w:p>
    <w:p>
      <w:pPr>
        <w:spacing w:after="120" w:line="300"/>
      </w:pPr>
      <w:r>
        <w:rPr>
          <w:rFonts w:ascii="Calibri" w:cs="Calibri" w:eastAsia="Calibri" w:hAnsi="Calibri"/>
          <w:sz w:val="22"/>
          <w:szCs w:val="22"/>
        </w:rPr>
        <w:t xml:space="preserve">12. Grundversorgung, Würde-Status und Automatisierungsdividende</w:t>
      </w:r>
    </w:p>
    <w:p>
      <w:pPr>
        <w:spacing w:after="120" w:line="300"/>
      </w:pPr>
      <w:r>
        <w:rPr>
          <w:rFonts w:ascii="Calibri" w:cs="Calibri" w:eastAsia="Calibri" w:hAnsi="Calibri"/>
          <w:sz w:val="22"/>
          <w:szCs w:val="22"/>
        </w:rPr>
        <w:t xml:space="preserve">13. TERRA-Schöpfungsverfahren</w:t>
      </w:r>
    </w:p>
    <w:p>
      <w:pPr>
        <w:spacing w:after="120" w:line="300"/>
      </w:pPr>
      <w:r>
        <w:rPr>
          <w:rFonts w:ascii="Calibri" w:cs="Calibri" w:eastAsia="Calibri" w:hAnsi="Calibri"/>
          <w:sz w:val="22"/>
          <w:szCs w:val="22"/>
        </w:rPr>
        <w:t xml:space="preserve">14. Rechtliche und steuerliche Einordnung</w:t>
      </w:r>
    </w:p>
    <w:p>
      <w:pPr>
        <w:spacing w:after="120" w:line="300"/>
      </w:pPr>
      <w:r>
        <w:rPr>
          <w:rFonts w:ascii="Calibri" w:cs="Calibri" w:eastAsia="Calibri" w:hAnsi="Calibri"/>
          <w:sz w:val="22"/>
          <w:szCs w:val="22"/>
        </w:rPr>
        <w:t xml:space="preserve">15. Datenschutz, Anti-Social-Credit-Schutz und Privacy unter Nostr</w:t>
      </w:r>
    </w:p>
    <w:p>
      <w:pPr>
        <w:spacing w:after="120" w:line="300"/>
      </w:pPr>
      <w:r>
        <w:rPr>
          <w:rFonts w:ascii="Calibri" w:cs="Calibri" w:eastAsia="Calibri" w:hAnsi="Calibri"/>
          <w:sz w:val="22"/>
          <w:szCs w:val="22"/>
        </w:rPr>
        <w:t xml:space="preserve">16. Governance-Anbindung</w:t>
      </w:r>
    </w:p>
    <w:p>
      <w:pPr>
        <w:spacing w:after="120" w:line="300"/>
      </w:pPr>
      <w:r>
        <w:rPr>
          <w:rFonts w:ascii="Calibri" w:cs="Calibri" w:eastAsia="Calibri" w:hAnsi="Calibri"/>
          <w:sz w:val="22"/>
          <w:szCs w:val="22"/>
        </w:rPr>
        <w:t xml:space="preserve">17. Missbrauchsrisiken</w:t>
      </w:r>
    </w:p>
    <w:p>
      <w:pPr>
        <w:spacing w:after="120" w:line="300"/>
      </w:pPr>
      <w:r>
        <w:rPr>
          <w:rFonts w:ascii="Calibri" w:cs="Calibri" w:eastAsia="Calibri" w:hAnsi="Calibri"/>
          <w:sz w:val="22"/>
          <w:szCs w:val="22"/>
        </w:rPr>
        <w:t xml:space="preserve">18. Phasenmodell für die Umsetzung</w:t>
      </w:r>
    </w:p>
    <w:p>
      <w:pPr>
        <w:spacing w:after="120" w:line="300"/>
      </w:pPr>
      <w:r>
        <w:rPr>
          <w:rFonts w:ascii="Calibri" w:cs="Calibri" w:eastAsia="Calibri" w:hAnsi="Calibri"/>
          <w:sz w:val="22"/>
          <w:szCs w:val="22"/>
        </w:rPr>
        <w:t xml:space="preserve">19. Architektur-Anhang – Verortung in der OneApp</w:t>
      </w:r>
    </w:p>
    <w:p>
      <w:pPr>
        <w:spacing w:after="120" w:line="300"/>
      </w:pPr>
      <w:r>
        <w:rPr>
          <w:rFonts w:ascii="Calibri" w:cs="Calibri" w:eastAsia="Calibri" w:hAnsi="Calibri"/>
          <w:sz w:val="22"/>
          <w:szCs w:val="22"/>
        </w:rPr>
        <w:t xml:space="preserve">20. Entscheidungsfragen für das Team</w:t>
      </w:r>
    </w:p>
    <w:p>
      <w:pPr>
        <w:spacing w:after="120" w:line="300"/>
      </w:pPr>
      <w:r>
        <w:rPr>
          <w:rFonts w:ascii="Calibri" w:cs="Calibri" w:eastAsia="Calibri" w:hAnsi="Calibri"/>
          <w:sz w:val="22"/>
          <w:szCs w:val="22"/>
        </w:rPr>
        <w:t xml:space="preserve">21. Empfehlung für den nächsten praktischen Schritt</w:t>
      </w:r>
    </w:p>
    <w:p>
      <w:r>
        <w:br w:type="page"/>
      </w:r>
    </w:p>
    <w:p>
      <w:pPr>
        <w:pStyle w:val="Heading1"/>
        <w:spacing w:after="200" w:before="360"/>
      </w:pPr>
      <w:r>
        <w:rPr>
          <w:rFonts w:ascii="Calibri" w:cs="Calibri" w:eastAsia="Calibri" w:hAnsi="Calibri"/>
          <w:b/>
          <w:bCs/>
          <w:sz w:val="32"/>
          <w:szCs w:val="32"/>
        </w:rPr>
        <w:t xml:space="preserve">1. Zweck dieser Spezifikation</w:t>
      </w:r>
    </w:p>
    <w:p>
      <w:pPr>
        <w:spacing w:after="120" w:line="300"/>
      </w:pPr>
      <w:r>
        <w:rPr>
          <w:rFonts w:ascii="Calibri" w:cs="Calibri" w:eastAsia="Calibri" w:hAnsi="Calibri"/>
          <w:sz w:val="22"/>
          <w:szCs w:val="22"/>
        </w:rPr>
        <w:t xml:space="preserve">Diese Spezifikation beschreibt die fachliche Grundlage für die Integration des AETHER-Protokolls in die N.E.X.U.S. OneApp.</w:t>
      </w:r>
    </w:p>
    <w:p>
      <w:pPr>
        <w:spacing w:after="120" w:line="300"/>
      </w:pPr>
      <w:r>
        <w:rPr>
          <w:rFonts w:ascii="Calibri" w:cs="Calibri" w:eastAsia="Calibri" w:hAnsi="Calibri"/>
          <w:sz w:val="22"/>
          <w:szCs w:val="22"/>
        </w:rPr>
        <w:t xml:space="preserve">Sie dient als gemeinsame Diskussionsbasis für das N.E.X.U.S.-Entwicklungsteam, den Beirat, ökonomische Fachberater, technische Architekten, Governance-Verantwortliche sowie rechtliche und steuerliche Prüfer.</w:t>
      </w:r>
    </w:p>
    <w:p>
      <w:pPr>
        <w:spacing w:after="120" w:line="300"/>
      </w:pPr>
      <w:r>
        <w:rPr>
          <w:rFonts w:ascii="Calibri" w:cs="Calibri" w:eastAsia="Calibri" w:hAnsi="Calibri"/>
          <w:sz w:val="22"/>
          <w:szCs w:val="22"/>
        </w:rPr>
        <w:t xml:space="preserve">Ziel ist es, aus dem im Bauplan beschriebenen ökonomischen Modell ein klar diskutierbares, prüfbares und später implementierbares Protokoll abzuleiten.</w:t>
      </w:r>
    </w:p>
    <w:p>
      <w:pPr>
        <w:spacing w:after="120" w:line="300"/>
      </w:pPr>
      <w:r>
        <w:rPr>
          <w:rFonts w:ascii="Calibri" w:cs="Calibri" w:eastAsia="Calibri" w:hAnsi="Calibri"/>
          <w:sz w:val="22"/>
          <w:szCs w:val="22"/>
        </w:rPr>
        <w:t xml:space="preserve">Das AETHER-Protokoll soll ausdrücklich nicht als klassischer Coin, Token oder spekulatives Krypto-Asset verstanden werden. Es ist vielmehr ein sozioökonomisches Verrechnungsprotokoll für reale Beiträge, Bedürfnisse, Infrastruktur und Reputation innerhalb dezentraler N.E.X.U.S.-Gemeinschaften.</w:t>
      </w:r>
    </w:p>
    <w:p>
      <w:pPr>
        <w:spacing w:after="120" w:line="300"/>
      </w:pPr>
      <w:r>
        <w:rPr>
          <w:rFonts w:ascii="Calibri" w:cs="Calibri" w:eastAsia="Calibri" w:hAnsi="Calibri"/>
          <w:sz w:val="22"/>
          <w:szCs w:val="22"/>
        </w:rPr>
        <w:t xml:space="preserve">Der Bauplan beschreibt AETHER als ein Wertfluss-Protokoll mit drei Aggregatzuständen: VITA Ꝟ, TERRA ₮ und AURA ₳. VITA dient dem täglichen Leben, TERRA dem dauerhaften Aufbau, AURA dem sichtbaren Wirken einer Person innerhalb der Gemeinschaft.</w:t>
      </w:r>
    </w:p>
    <w:p>
      <w:pPr>
        <w:pStyle w:val="Heading1"/>
        <w:spacing w:after="200" w:before="360"/>
      </w:pPr>
      <w:r>
        <w:rPr>
          <w:rFonts w:ascii="Calibri" w:cs="Calibri" w:eastAsia="Calibri" w:hAnsi="Calibri"/>
          <w:b/>
          <w:bCs/>
          <w:sz w:val="32"/>
          <w:szCs w:val="32"/>
        </w:rPr>
        <w:t xml:space="preserve">2. Grundproblem, das AETHER lösen soll</w:t>
      </w:r>
    </w:p>
    <w:p>
      <w:pPr>
        <w:spacing w:after="120" w:line="300"/>
      </w:pPr>
      <w:r>
        <w:rPr>
          <w:rFonts w:ascii="Calibri" w:cs="Calibri" w:eastAsia="Calibri" w:hAnsi="Calibri"/>
          <w:sz w:val="22"/>
          <w:szCs w:val="22"/>
        </w:rPr>
        <w:t xml:space="preserve">Die bestehende Geldordnung erzeugt aus Sicht des N.E.X.U.S.-Bauplans mehrere strukturelle Fehlanreize:</w:t>
      </w:r>
    </w:p>
    <w:p>
      <w:pPr>
        <w:pStyle w:val="ListParagraph"/>
        <w:numPr>
          <w:ilvl w:val="0"/>
          <w:numId w:val="2"/>
        </w:numPr>
        <w:spacing w:after="80" w:line="290"/>
      </w:pPr>
      <w:r>
        <w:rPr>
          <w:rFonts w:ascii="Calibri" w:cs="Calibri" w:eastAsia="Calibri" w:hAnsi="Calibri"/>
          <w:sz w:val="22"/>
          <w:szCs w:val="22"/>
        </w:rPr>
        <w:t xml:space="preserve">Geld entsteht überwiegend durch Schuld.</w:t>
      </w:r>
    </w:p>
    <w:p>
      <w:pPr>
        <w:pStyle w:val="ListParagraph"/>
        <w:numPr>
          <w:ilvl w:val="0"/>
          <w:numId w:val="2"/>
        </w:numPr>
        <w:spacing w:after="80" w:line="290"/>
      </w:pPr>
      <w:r>
        <w:rPr>
          <w:rFonts w:ascii="Calibri" w:cs="Calibri" w:eastAsia="Calibri" w:hAnsi="Calibri"/>
          <w:sz w:val="22"/>
          <w:szCs w:val="22"/>
        </w:rPr>
        <w:t xml:space="preserve">Kapital kann gehortet und konzentriert werden.</w:t>
      </w:r>
    </w:p>
    <w:p>
      <w:pPr>
        <w:pStyle w:val="ListParagraph"/>
        <w:numPr>
          <w:ilvl w:val="0"/>
          <w:numId w:val="2"/>
        </w:numPr>
        <w:spacing w:after="80" w:line="290"/>
      </w:pPr>
      <w:r>
        <w:rPr>
          <w:rFonts w:ascii="Calibri" w:cs="Calibri" w:eastAsia="Calibri" w:hAnsi="Calibri"/>
          <w:sz w:val="22"/>
          <w:szCs w:val="22"/>
        </w:rPr>
        <w:t xml:space="preserve">Arbeit wird geringer bewertet als Besitz, Spekulation und Kontrolle.</w:t>
      </w:r>
    </w:p>
    <w:p>
      <w:pPr>
        <w:pStyle w:val="ListParagraph"/>
        <w:numPr>
          <w:ilvl w:val="0"/>
          <w:numId w:val="2"/>
        </w:numPr>
        <w:spacing w:after="80" w:line="290"/>
      </w:pPr>
      <w:r>
        <w:rPr>
          <w:rFonts w:ascii="Calibri" w:cs="Calibri" w:eastAsia="Calibri" w:hAnsi="Calibri"/>
          <w:sz w:val="22"/>
          <w:szCs w:val="22"/>
        </w:rPr>
        <w:t xml:space="preserve">Geld fließt nicht automatisch dorthin, wo reale Bedürfnisse bestehen.</w:t>
      </w:r>
    </w:p>
    <w:p>
      <w:pPr>
        <w:pStyle w:val="ListParagraph"/>
        <w:numPr>
          <w:ilvl w:val="0"/>
          <w:numId w:val="2"/>
        </w:numPr>
        <w:spacing w:after="80" w:line="290"/>
      </w:pPr>
      <w:r>
        <w:rPr>
          <w:rFonts w:ascii="Calibri" w:cs="Calibri" w:eastAsia="Calibri" w:hAnsi="Calibri"/>
          <w:sz w:val="22"/>
          <w:szCs w:val="22"/>
        </w:rPr>
        <w:t xml:space="preserve">Natur, Pflege, Bildung, Gemeinschaftsarbeit und emotionale Sorgearbeit werden strukturell unterbewertet.</w:t>
      </w:r>
    </w:p>
    <w:p>
      <w:pPr>
        <w:pStyle w:val="ListParagraph"/>
        <w:numPr>
          <w:ilvl w:val="0"/>
          <w:numId w:val="2"/>
        </w:numPr>
        <w:spacing w:after="80" w:line="290"/>
      </w:pPr>
      <w:r>
        <w:rPr>
          <w:rFonts w:ascii="Calibri" w:cs="Calibri" w:eastAsia="Calibri" w:hAnsi="Calibri"/>
          <w:sz w:val="22"/>
          <w:szCs w:val="22"/>
        </w:rPr>
        <w:t xml:space="preserve">Die Versorgung des Menschen wird an Marktfähigkeit statt an Würde gekoppelt.</w:t>
      </w:r>
    </w:p>
    <w:p>
      <w:pPr>
        <w:spacing w:after="120" w:line="300"/>
      </w:pPr>
      <w:r>
        <w:rPr>
          <w:rFonts w:ascii="Calibri" w:cs="Calibri" w:eastAsia="Calibri" w:hAnsi="Calibri"/>
          <w:sz w:val="22"/>
          <w:szCs w:val="22"/>
        </w:rPr>
        <w:t xml:space="preserve">AETHER soll darauf eine alternative Antwort geben.</w:t>
      </w:r>
    </w:p>
    <w:p>
      <w:pPr>
        <w:spacing w:after="120" w:line="300"/>
      </w:pPr>
      <w:r>
        <w:rPr>
          <w:rFonts w:ascii="Calibri" w:cs="Calibri" w:eastAsia="Calibri" w:hAnsi="Calibri"/>
          <w:b/>
          <w:bCs/>
          <w:sz w:val="22"/>
          <w:szCs w:val="22"/>
        </w:rPr>
        <w:t xml:space="preserve">Zentrale These:</w:t>
      </w:r>
    </w:p>
    <w:p>
      <w:pPr>
        <w:pBdr>
          <w:left w:val="single" w:color="D4AF37" w:sz="18" w:space="12"/>
        </w:pBdr>
        <w:spacing w:after="200" w:before="160" w:line="300"/>
        <w:ind w:left="360" w:right="360"/>
      </w:pPr>
      <w:r>
        <w:rPr>
          <w:rFonts w:ascii="Calibri" w:cs="Calibri" w:eastAsia="Calibri" w:hAnsi="Calibri"/>
          <w:i/>
          <w:iCs/>
          <w:sz w:val="22"/>
          <w:szCs w:val="22"/>
        </w:rPr>
        <w:t xml:space="preserve">Wert entsteht nicht durch Schuld, Knappheit oder Spekulation, sondern durch nützliche Wirkung im lebendigen Organismus der Gemeinschaft.</w:t>
      </w:r>
    </w:p>
    <w:p>
      <w:pPr>
        <w:spacing w:after="120" w:line="300"/>
      </w:pPr>
      <w:r>
        <w:rPr>
          <w:rFonts w:ascii="Calibri" w:cs="Calibri" w:eastAsia="Calibri" w:hAnsi="Calibri"/>
          <w:sz w:val="22"/>
          <w:szCs w:val="22"/>
        </w:rPr>
        <w:t xml:space="preserve">Der Bauplan formuliert das als Wechsel vom „Staudamm“ zum „Blutkreislauf“: Geld soll kein Machtreservoir sein, sondern ein Indikator für Fluss, Bedürfnisdeckung und reale Wertschöpfung.</w:t>
      </w:r>
    </w:p>
    <w:p>
      <w:pPr>
        <w:pStyle w:val="Heading1"/>
        <w:spacing w:after="200" w:before="360"/>
      </w:pPr>
      <w:r>
        <w:rPr>
          <w:rFonts w:ascii="Calibri" w:cs="Calibri" w:eastAsia="Calibri" w:hAnsi="Calibri"/>
          <w:b/>
          <w:bCs/>
          <w:sz w:val="32"/>
          <w:szCs w:val="32"/>
        </w:rPr>
        <w:t xml:space="preserve">3. Designprinzipien des AETHER-Protokolls</w:t>
      </w:r>
    </w:p>
    <w:p>
      <w:pPr>
        <w:pStyle w:val="Heading2"/>
        <w:spacing w:after="160" w:before="280"/>
      </w:pPr>
      <w:r>
        <w:rPr>
          <w:rFonts w:ascii="Calibri" w:cs="Calibri" w:eastAsia="Calibri" w:hAnsi="Calibri"/>
          <w:b/>
          <w:bCs/>
          <w:sz w:val="26"/>
          <w:szCs w:val="26"/>
        </w:rPr>
        <w:t xml:space="preserve">3.1 Würde vor Leistung</w:t>
      </w:r>
    </w:p>
    <w:p>
      <w:pPr>
        <w:spacing w:after="120" w:line="300"/>
      </w:pPr>
      <w:r>
        <w:rPr>
          <w:rFonts w:ascii="Calibri" w:cs="Calibri" w:eastAsia="Calibri" w:hAnsi="Calibri"/>
          <w:sz w:val="22"/>
          <w:szCs w:val="22"/>
        </w:rPr>
        <w:t xml:space="preserve">Jeder Mensch hat ein unverlierbares Recht auf Grundversorgung. AETHER darf nicht dazu führen, dass Menschen ohne dokumentierte Leistung aus der Versorgung fallen. Das Protokoll muss daher unterscheiden zwischen:</w:t>
      </w:r>
    </w:p>
    <w:p>
      <w:pPr>
        <w:pStyle w:val="ListParagraph"/>
        <w:numPr>
          <w:ilvl w:val="0"/>
          <w:numId w:val="2"/>
        </w:numPr>
        <w:spacing w:after="80" w:line="290"/>
      </w:pPr>
      <w:r>
        <w:rPr>
          <w:rFonts w:ascii="Calibri" w:cs="Calibri" w:eastAsia="Calibri" w:hAnsi="Calibri"/>
          <w:b/>
          <w:bCs/>
          <w:sz w:val="22"/>
          <w:szCs w:val="22"/>
        </w:rPr>
        <w:t xml:space="preserve">Würde-Minimum: </w:t>
      </w:r>
      <w:r>
        <w:rPr>
          <w:rFonts w:ascii="Calibri" w:cs="Calibri" w:eastAsia="Calibri" w:hAnsi="Calibri"/>
          <w:sz w:val="22"/>
          <w:szCs w:val="22"/>
        </w:rPr>
        <w:t xml:space="preserve">bedingungslose Grundversorgung.</w:t>
      </w:r>
    </w:p>
    <w:p>
      <w:pPr>
        <w:pStyle w:val="ListParagraph"/>
        <w:numPr>
          <w:ilvl w:val="0"/>
          <w:numId w:val="2"/>
        </w:numPr>
        <w:spacing w:after="80" w:line="290"/>
      </w:pPr>
      <w:r>
        <w:rPr>
          <w:rFonts w:ascii="Calibri" w:cs="Calibri" w:eastAsia="Calibri" w:hAnsi="Calibri"/>
          <w:b/>
          <w:bCs/>
          <w:sz w:val="22"/>
          <w:szCs w:val="22"/>
        </w:rPr>
        <w:t xml:space="preserve">Beitragswert: </w:t>
      </w:r>
      <w:r>
        <w:rPr>
          <w:rFonts w:ascii="Calibri" w:cs="Calibri" w:eastAsia="Calibri" w:hAnsi="Calibri"/>
          <w:sz w:val="22"/>
          <w:szCs w:val="22"/>
        </w:rPr>
        <w:t xml:space="preserve">zusätzliche Anerkennung für Wirken.</w:t>
      </w:r>
    </w:p>
    <w:p>
      <w:pPr>
        <w:pStyle w:val="ListParagraph"/>
        <w:numPr>
          <w:ilvl w:val="0"/>
          <w:numId w:val="2"/>
        </w:numPr>
        <w:spacing w:after="80" w:line="290"/>
      </w:pPr>
      <w:r>
        <w:rPr>
          <w:rFonts w:ascii="Calibri" w:cs="Calibri" w:eastAsia="Calibri" w:hAnsi="Calibri"/>
          <w:b/>
          <w:bCs/>
          <w:sz w:val="22"/>
          <w:szCs w:val="22"/>
        </w:rPr>
        <w:t xml:space="preserve">Zugangsrechte: </w:t>
      </w:r>
      <w:r>
        <w:rPr>
          <w:rFonts w:ascii="Calibri" w:cs="Calibri" w:eastAsia="Calibri" w:hAnsi="Calibri"/>
          <w:sz w:val="22"/>
          <w:szCs w:val="22"/>
        </w:rPr>
        <w:t xml:space="preserve">faire Vergabe begrenzter Ressourcen.</w:t>
      </w:r>
    </w:p>
    <w:p>
      <w:pPr>
        <w:pStyle w:val="ListParagraph"/>
        <w:numPr>
          <w:ilvl w:val="0"/>
          <w:numId w:val="2"/>
        </w:numPr>
        <w:spacing w:after="80" w:line="290"/>
      </w:pPr>
      <w:r>
        <w:rPr>
          <w:rFonts w:ascii="Calibri" w:cs="Calibri" w:eastAsia="Calibri" w:hAnsi="Calibri"/>
          <w:b/>
          <w:bCs/>
          <w:sz w:val="22"/>
          <w:szCs w:val="22"/>
        </w:rPr>
        <w:t xml:space="preserve">Reputation: </w:t>
      </w:r>
      <w:r>
        <w:rPr>
          <w:rFonts w:ascii="Calibri" w:cs="Calibri" w:eastAsia="Calibri" w:hAnsi="Calibri"/>
          <w:sz w:val="22"/>
          <w:szCs w:val="22"/>
        </w:rPr>
        <w:t xml:space="preserve">sichtbare Vertrauens- und Wirkungsbiografie.</w:t>
      </w:r>
    </w:p>
    <w:p>
      <w:pPr>
        <w:pStyle w:val="Heading2"/>
        <w:spacing w:after="160" w:before="280"/>
      </w:pPr>
      <w:r>
        <w:rPr>
          <w:rFonts w:ascii="Calibri" w:cs="Calibri" w:eastAsia="Calibri" w:hAnsi="Calibri"/>
          <w:b/>
          <w:bCs/>
          <w:sz w:val="26"/>
          <w:szCs w:val="26"/>
        </w:rPr>
        <w:t xml:space="preserve">3.2 Fluss statt Hortung</w:t>
      </w:r>
    </w:p>
    <w:p>
      <w:pPr>
        <w:spacing w:after="120" w:line="300"/>
      </w:pPr>
      <w:r>
        <w:rPr>
          <w:rFonts w:ascii="Calibri" w:cs="Calibri" w:eastAsia="Calibri" w:hAnsi="Calibri"/>
          <w:sz w:val="22"/>
          <w:szCs w:val="22"/>
        </w:rPr>
        <w:t xml:space="preserve">VITA soll fließen. Deshalb sieht der Bauplan einen sanften Umlauf-Impuls vor: VITA unterliegt einer Demurrage von etwa 0,5 % pro Monat beziehungsweise etwa 6 % pro Jahr. Der Zweck ist nicht Zwangskonsum, sondern die Vermeidung dauerhafter Machtkonzentration durch Geldhortung.</w:t>
      </w:r>
    </w:p>
    <w:p>
      <w:pPr>
        <w:pStyle w:val="Heading2"/>
        <w:spacing w:after="160" w:before="280"/>
      </w:pPr>
      <w:r>
        <w:rPr>
          <w:rFonts w:ascii="Calibri" w:cs="Calibri" w:eastAsia="Calibri" w:hAnsi="Calibri"/>
          <w:b/>
          <w:bCs/>
          <w:sz w:val="26"/>
          <w:szCs w:val="26"/>
        </w:rPr>
        <w:t xml:space="preserve">3.3 Aufbau statt Spekulation</w:t>
      </w:r>
    </w:p>
    <w:p>
      <w:pPr>
        <w:spacing w:after="120" w:line="300"/>
      </w:pPr>
      <w:r>
        <w:rPr>
          <w:rFonts w:ascii="Calibri" w:cs="Calibri" w:eastAsia="Calibri" w:hAnsi="Calibri"/>
          <w:sz w:val="22"/>
          <w:szCs w:val="22"/>
        </w:rPr>
        <w:t xml:space="preserve">TERRA dient dem Aufbau langfristiger Infrastruktur. Es ist nicht für Konsum gedacht und soll nicht als Spekulationsobjekt handelbar sein. Beispiele für TERRA-fähige Werte:</w:t>
      </w:r>
    </w:p>
    <w:p>
      <w:pPr>
        <w:pStyle w:val="ListParagraph"/>
        <w:numPr>
          <w:ilvl w:val="0"/>
          <w:numId w:val="2"/>
        </w:numPr>
        <w:spacing w:after="80" w:line="290"/>
      </w:pPr>
      <w:r>
        <w:rPr>
          <w:rFonts w:ascii="Calibri" w:cs="Calibri" w:eastAsia="Calibri" w:hAnsi="Calibri"/>
          <w:sz w:val="22"/>
          <w:szCs w:val="22"/>
        </w:rPr>
        <w:t xml:space="preserve">Häuser, Werkstätten, Maschinen, Energieanlagen.</w:t>
      </w:r>
    </w:p>
    <w:p>
      <w:pPr>
        <w:pStyle w:val="ListParagraph"/>
        <w:numPr>
          <w:ilvl w:val="0"/>
          <w:numId w:val="2"/>
        </w:numPr>
        <w:spacing w:after="80" w:line="290"/>
      </w:pPr>
      <w:r>
        <w:rPr>
          <w:rFonts w:ascii="Calibri" w:cs="Calibri" w:eastAsia="Calibri" w:hAnsi="Calibri"/>
          <w:sz w:val="22"/>
          <w:szCs w:val="22"/>
        </w:rPr>
        <w:t xml:space="preserve">Gemeinschaftsinfrastruktur, Bildungs- und Forschungseinrichtungen.</w:t>
      </w:r>
    </w:p>
    <w:p>
      <w:pPr>
        <w:pStyle w:val="ListParagraph"/>
        <w:numPr>
          <w:ilvl w:val="0"/>
          <w:numId w:val="2"/>
        </w:numPr>
        <w:spacing w:after="80" w:line="290"/>
      </w:pPr>
      <w:r>
        <w:rPr>
          <w:rFonts w:ascii="Calibri" w:cs="Calibri" w:eastAsia="Calibri" w:hAnsi="Calibri"/>
          <w:sz w:val="22"/>
          <w:szCs w:val="22"/>
        </w:rPr>
        <w:t xml:space="preserve">Langfristige Produktionsmittel.</w:t>
      </w:r>
    </w:p>
    <w:p>
      <w:pPr>
        <w:pStyle w:val="Heading2"/>
        <w:spacing w:after="160" w:before="280"/>
      </w:pPr>
      <w:r>
        <w:rPr>
          <w:rFonts w:ascii="Calibri" w:cs="Calibri" w:eastAsia="Calibri" w:hAnsi="Calibri"/>
          <w:b/>
          <w:bCs/>
          <w:sz w:val="26"/>
          <w:szCs w:val="26"/>
        </w:rPr>
        <w:t xml:space="preserve">3.4 Reputation darf nicht käuflich sein</w:t>
      </w:r>
    </w:p>
    <w:p>
      <w:pPr>
        <w:spacing w:after="120" w:line="300"/>
      </w:pPr>
      <w:r>
        <w:rPr>
          <w:rFonts w:ascii="Calibri" w:cs="Calibri" w:eastAsia="Calibri" w:hAnsi="Calibri"/>
          <w:sz w:val="22"/>
          <w:szCs w:val="22"/>
        </w:rPr>
        <w:t xml:space="preserve">AURA ist kein Geld. AURA ist nicht übertragbar, nicht kaufbar und nicht vererbbar. Sie bildet ab, wie sehr ein Mensch durch sein Handeln für andere wirkt.</w:t>
      </w:r>
    </w:p>
    <w:p>
      <w:pPr>
        <w:spacing w:after="120" w:line="300"/>
      </w:pPr>
      <w:r>
        <w:rPr>
          <w:rFonts w:ascii="Calibri" w:cs="Calibri" w:eastAsia="Calibri" w:hAnsi="Calibri"/>
          <w:sz w:val="22"/>
          <w:szCs w:val="22"/>
        </w:rPr>
        <w:t xml:space="preserve">Damit darf AURA niemals zu einer verdeckten Bewertungslogik nach Vorbild eines Social-Credit-Mechanismus werden. AURA muss transparent, begrenzt, korrigierbar und gegen Machtmissbrauch geschützt sein.</w:t>
      </w:r>
    </w:p>
    <w:p>
      <w:pPr>
        <w:pStyle w:val="Heading2"/>
        <w:spacing w:after="160" w:before="280"/>
      </w:pPr>
      <w:r>
        <w:rPr>
          <w:rFonts w:ascii="Calibri" w:cs="Calibri" w:eastAsia="Calibri" w:hAnsi="Calibri"/>
          <w:b/>
          <w:bCs/>
          <w:sz w:val="26"/>
          <w:szCs w:val="26"/>
        </w:rPr>
        <w:t xml:space="preserve">3.5 Lokale Autonomie, föderierte Anschlussfähigkeit</w:t>
      </w:r>
    </w:p>
    <w:p>
      <w:pPr>
        <w:spacing w:after="120" w:line="300"/>
      </w:pPr>
      <w:r>
        <w:rPr>
          <w:rFonts w:ascii="Calibri" w:cs="Calibri" w:eastAsia="Calibri" w:hAnsi="Calibri"/>
          <w:sz w:val="22"/>
          <w:szCs w:val="22"/>
        </w:rPr>
        <w:t xml:space="preserve">AETHER muss zunächst innerhalb einzelner N.E.X.U.S.-Gemeinschaften funktionieren. Die spätere Vernetzung mehrerer Gemeinschaften muss möglich sein, darf aber nicht vorausgesetzt werden:</w:t>
      </w:r>
    </w:p>
    <w:p>
      <w:pPr>
        <w:pStyle w:val="ListParagraph"/>
        <w:numPr>
          <w:ilvl w:val="0"/>
          <w:numId w:val="3"/>
        </w:numPr>
        <w:spacing w:after="80" w:line="290"/>
      </w:pPr>
      <w:r>
        <w:rPr>
          <w:rFonts w:ascii="Calibri" w:cs="Calibri" w:eastAsia="Calibri" w:hAnsi="Calibri"/>
          <w:sz w:val="22"/>
          <w:szCs w:val="22"/>
        </w:rPr>
        <w:t xml:space="preserve">Zuerst lokales Ledger.</w:t>
      </w:r>
    </w:p>
    <w:p>
      <w:pPr>
        <w:pStyle w:val="ListParagraph"/>
        <w:numPr>
          <w:ilvl w:val="0"/>
          <w:numId w:val="3"/>
        </w:numPr>
        <w:spacing w:after="80" w:line="290"/>
      </w:pPr>
      <w:r>
        <w:rPr>
          <w:rFonts w:ascii="Calibri" w:cs="Calibri" w:eastAsia="Calibri" w:hAnsi="Calibri"/>
          <w:sz w:val="22"/>
          <w:szCs w:val="22"/>
        </w:rPr>
        <w:t xml:space="preserve">Dann zellinterne Verifikation.</w:t>
      </w:r>
    </w:p>
    <w:p>
      <w:pPr>
        <w:pStyle w:val="ListParagraph"/>
        <w:numPr>
          <w:ilvl w:val="0"/>
          <w:numId w:val="3"/>
        </w:numPr>
        <w:spacing w:after="80" w:line="290"/>
      </w:pPr>
      <w:r>
        <w:rPr>
          <w:rFonts w:ascii="Calibri" w:cs="Calibri" w:eastAsia="Calibri" w:hAnsi="Calibri"/>
          <w:sz w:val="22"/>
          <w:szCs w:val="22"/>
        </w:rPr>
        <w:t xml:space="preserve">Dann Interzellen-Abgleich.</w:t>
      </w:r>
    </w:p>
    <w:p>
      <w:pPr>
        <w:pStyle w:val="ListParagraph"/>
        <w:numPr>
          <w:ilvl w:val="0"/>
          <w:numId w:val="3"/>
        </w:numPr>
        <w:spacing w:after="80" w:line="290"/>
      </w:pPr>
      <w:r>
        <w:rPr>
          <w:rFonts w:ascii="Calibri" w:cs="Calibri" w:eastAsia="Calibri" w:hAnsi="Calibri"/>
          <w:sz w:val="22"/>
          <w:szCs w:val="22"/>
        </w:rPr>
        <w:t xml:space="preserve">Später föderierte Märkte.</w:t>
      </w:r>
    </w:p>
    <w:p>
      <w:pPr>
        <w:pStyle w:val="ListParagraph"/>
        <w:numPr>
          <w:ilvl w:val="0"/>
          <w:numId w:val="3"/>
        </w:numPr>
        <w:spacing w:after="80" w:line="290"/>
      </w:pPr>
      <w:r>
        <w:rPr>
          <w:rFonts w:ascii="Calibri" w:cs="Calibri" w:eastAsia="Calibri" w:hAnsi="Calibri"/>
          <w:sz w:val="22"/>
          <w:szCs w:val="22"/>
        </w:rPr>
        <w:t xml:space="preserve">Erst ganz zuletzt Übergang zur alten Geldordnung (Airlock).</w:t>
      </w:r>
    </w:p>
    <w:p>
      <w:pPr>
        <w:pStyle w:val="Heading1"/>
        <w:spacing w:after="200" w:before="360"/>
      </w:pPr>
      <w:r>
        <w:rPr>
          <w:rFonts w:ascii="Calibri" w:cs="Calibri" w:eastAsia="Calibri" w:hAnsi="Calibri"/>
          <w:b/>
          <w:bCs/>
          <w:sz w:val="32"/>
          <w:szCs w:val="32"/>
        </w:rPr>
        <w:t xml:space="preserve">4. Die drei Zustände des AETHER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tblHeader/>
        </w:trPr>
        <w:tc>
          <w:tcPr>
            <w:tcW w:type="dxa" w:w="15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Zustand</w:t>
            </w:r>
          </w:p>
        </w:tc>
        <w:tc>
          <w:tcPr>
            <w:tcW w:type="dxa" w:w="33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Kurzfunktion</w:t>
            </w:r>
          </w:p>
        </w:tc>
        <w:tc>
          <w:tcPr>
            <w:tcW w:type="dxa" w:w="45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Kernlogik</w:t>
            </w:r>
          </w:p>
        </w:tc>
      </w:tr>
      <w:tr>
        <w:trPr>
          <w:tblHeader w:val="false"/>
        </w:trPr>
        <w:tc>
          <w:tcPr>
            <w:tcW w:type="dxa" w:w="1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VITA Ꝟ</w:t>
            </w:r>
          </w:p>
        </w:tc>
        <w:tc>
          <w:tcPr>
            <w:tcW w:type="dxa" w:w="33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Alltag, Versorgung, Arbeit, Konsum</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Fließend, demurragepflichtig, durch nützliche Arbeit und Dividende erzeugbar.</w:t>
            </w:r>
          </w:p>
        </w:tc>
      </w:tr>
      <w:tr>
        <w:trPr>
          <w:tblHeader w:val="false"/>
        </w:trPr>
        <w:tc>
          <w:tcPr>
            <w:tcW w:type="dxa" w:w="15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TERRA ₮</w:t>
            </w:r>
          </w:p>
        </w:tc>
        <w:tc>
          <w:tcPr>
            <w:tcW w:type="dxa" w:w="33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Infrastruktur, Maschinen, Gebäude, langfristiger Aufbau</w:t>
            </w:r>
          </w:p>
        </w:tc>
        <w:tc>
          <w:tcPr>
            <w:tcW w:type="dxa" w:w="45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Stabil, zweckgebunden, nicht für Spekulation.</w:t>
            </w:r>
          </w:p>
        </w:tc>
      </w:tr>
      <w:tr>
        <w:trPr>
          <w:tblHeader w:val="false"/>
        </w:trPr>
        <w:tc>
          <w:tcPr>
            <w:tcW w:type="dxa" w:w="1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AURA ₳</w:t>
            </w:r>
          </w:p>
        </w:tc>
        <w:tc>
          <w:tcPr>
            <w:tcW w:type="dxa" w:w="33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Reputation, Vertrauen, sichtbares Wirken</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Nicht kaufbar, nicht übertragbar, kontextbezogen.</w:t>
            </w:r>
          </w:p>
        </w:tc>
      </w:tr>
    </w:tbl>
    <w:p>
      <w:pPr>
        <w:spacing w:after="0"/>
      </w:pPr>
    </w:p>
    <w:p>
      <w:pPr>
        <w:pStyle w:val="Heading2"/>
        <w:spacing w:after="160" w:before="280"/>
      </w:pPr>
      <w:r>
        <w:rPr>
          <w:rFonts w:ascii="Calibri" w:cs="Calibri" w:eastAsia="Calibri" w:hAnsi="Calibri"/>
          <w:b/>
          <w:bCs/>
          <w:sz w:val="26"/>
          <w:szCs w:val="26"/>
        </w:rPr>
        <w:t xml:space="preserve">4.1 VITA Ꝟ – das fließende Leben</w:t>
      </w:r>
    </w:p>
    <w:p>
      <w:pPr>
        <w:spacing w:after="120" w:line="300"/>
      </w:pPr>
      <w:r>
        <w:rPr>
          <w:rFonts w:ascii="Calibri" w:cs="Calibri" w:eastAsia="Calibri" w:hAnsi="Calibri"/>
          <w:sz w:val="22"/>
          <w:szCs w:val="22"/>
        </w:rPr>
        <w:t xml:space="preserve">Funktion: Alltag, Versorgung, Dienstleistung, Essen, Kleidung, Wohnen, lokale Arbeit. VITA ist der lebendige, schnell fließende Anteil des AETHER-Protokolls.</w:t>
      </w:r>
    </w:p>
    <w:p>
      <w:pPr>
        <w:pStyle w:val="ListParagraph"/>
        <w:numPr>
          <w:ilvl w:val="0"/>
          <w:numId w:val="2"/>
        </w:numPr>
        <w:spacing w:after="80" w:line="290"/>
      </w:pPr>
      <w:r>
        <w:rPr>
          <w:rFonts w:ascii="Calibri" w:cs="Calibri" w:eastAsia="Calibri" w:hAnsi="Calibri"/>
          <w:sz w:val="22"/>
          <w:szCs w:val="22"/>
        </w:rPr>
        <w:t xml:space="preserve">Entsteht durch nützliche Arbeit oder Automatisierungsdividende.</w:t>
      </w:r>
    </w:p>
    <w:p>
      <w:pPr>
        <w:pStyle w:val="ListParagraph"/>
        <w:numPr>
          <w:ilvl w:val="0"/>
          <w:numId w:val="2"/>
        </w:numPr>
        <w:spacing w:after="80" w:line="290"/>
      </w:pPr>
      <w:r>
        <w:rPr>
          <w:rFonts w:ascii="Calibri" w:cs="Calibri" w:eastAsia="Calibri" w:hAnsi="Calibri"/>
          <w:sz w:val="22"/>
          <w:szCs w:val="22"/>
        </w:rPr>
        <w:t xml:space="preserve">Dient der Deckung alltäglicher Bedürfnisse.</w:t>
      </w:r>
    </w:p>
    <w:p>
      <w:pPr>
        <w:pStyle w:val="ListParagraph"/>
        <w:numPr>
          <w:ilvl w:val="0"/>
          <w:numId w:val="2"/>
        </w:numPr>
        <w:spacing w:after="80" w:line="290"/>
      </w:pPr>
      <w:r>
        <w:rPr>
          <w:rFonts w:ascii="Calibri" w:cs="Calibri" w:eastAsia="Calibri" w:hAnsi="Calibri"/>
          <w:sz w:val="22"/>
          <w:szCs w:val="22"/>
        </w:rPr>
        <w:t xml:space="preserve">Unterliegt Demurrage.</w:t>
      </w:r>
    </w:p>
    <w:p>
      <w:pPr>
        <w:pStyle w:val="ListParagraph"/>
        <w:numPr>
          <w:ilvl w:val="0"/>
          <w:numId w:val="2"/>
        </w:numPr>
        <w:spacing w:after="80" w:line="290"/>
      </w:pPr>
      <w:r>
        <w:rPr>
          <w:rFonts w:ascii="Calibri" w:cs="Calibri" w:eastAsia="Calibri" w:hAnsi="Calibri"/>
          <w:sz w:val="22"/>
          <w:szCs w:val="22"/>
        </w:rPr>
        <w:t xml:space="preserve">Ist innerhalb definierter Regeln übertragbar.</w:t>
      </w:r>
    </w:p>
    <w:p>
      <w:pPr>
        <w:pStyle w:val="ListParagraph"/>
        <w:numPr>
          <w:ilvl w:val="0"/>
          <w:numId w:val="2"/>
        </w:numPr>
        <w:spacing w:after="80" w:line="290"/>
      </w:pPr>
      <w:r>
        <w:rPr>
          <w:rFonts w:ascii="Calibri" w:cs="Calibri" w:eastAsia="Calibri" w:hAnsi="Calibri"/>
          <w:sz w:val="22"/>
          <w:szCs w:val="22"/>
        </w:rPr>
        <w:t xml:space="preserve">Darf nicht zum dauerhaften Macht- oder Vermögensspeicher werden.</w:t>
      </w:r>
    </w:p>
    <w:p>
      <w:pPr>
        <w:pStyle w:val="ListParagraph"/>
        <w:numPr>
          <w:ilvl w:val="0"/>
          <w:numId w:val="2"/>
        </w:numPr>
        <w:spacing w:after="80" w:line="290"/>
      </w:pPr>
      <w:r>
        <w:rPr>
          <w:rFonts w:ascii="Calibri" w:cs="Calibri" w:eastAsia="Calibri" w:hAnsi="Calibri"/>
          <w:sz w:val="22"/>
          <w:szCs w:val="22"/>
        </w:rPr>
        <w:t xml:space="preserve">Kann später in TERRA überführt werden, wenn es in Infrastrukturprojekte eingebracht wird.</w:t>
      </w:r>
    </w:p>
    <w:p>
      <w:pPr>
        <w:spacing w:after="120" w:line="300"/>
      </w:pPr>
      <w:r>
        <w:rPr>
          <w:rFonts w:ascii="Calibri" w:cs="Calibri" w:eastAsia="Calibri" w:hAnsi="Calibri"/>
          <w:b/>
          <w:bCs/>
          <w:i w:val="false"/>
          <w:iCs w:val="false"/>
          <w:sz w:val="22"/>
          <w:szCs w:val="22"/>
        </w:rPr>
        <w:t xml:space="preserve">Diskussionspunkt: </w:t>
      </w:r>
      <w:r>
        <w:rPr>
          <w:rFonts w:ascii="Calibri" w:cs="Calibri" w:eastAsia="Calibri" w:hAnsi="Calibri"/>
          <w:b w:val="false"/>
          <w:bCs w:val="false"/>
          <w:i w:val="false"/>
          <w:iCs w:val="false"/>
          <w:sz w:val="22"/>
          <w:szCs w:val="22"/>
        </w:rPr>
        <w:t xml:space="preserve">Ist VITA als „Währung“, „Verrechnungseinheit“, „Leistungsnachweis“, „Gemeinschaftsgutschrift“ oder „Wertfluss-Indikator“ zu definieren? Für öffentliche Kommunikation und rechtliche Einordnung ist „Währung“ wahrscheinlich problematisch. Fachlich sauberer wäre zunächst:</w:t>
      </w:r>
    </w:p>
    <w:p>
      <w:pPr>
        <w:pBdr>
          <w:left w:val="single" w:color="D4AF37" w:sz="18" w:space="12"/>
        </w:pBdr>
        <w:spacing w:after="200" w:before="160" w:line="300"/>
        <w:ind w:left="360" w:right="360"/>
      </w:pPr>
      <w:r>
        <w:rPr>
          <w:rFonts w:ascii="Calibri" w:cs="Calibri" w:eastAsia="Calibri" w:hAnsi="Calibri"/>
          <w:i/>
          <w:iCs/>
          <w:sz w:val="22"/>
          <w:szCs w:val="22"/>
        </w:rPr>
        <w:t xml:space="preserve">VITA ist eine gemeinschaftsinterne Verrechnungseinheit für real bestätigte Beiträge und Bedürfnisdeckung.</w:t>
      </w:r>
    </w:p>
    <w:p>
      <w:pPr>
        <w:pStyle w:val="Heading2"/>
        <w:spacing w:after="160" w:before="280"/>
      </w:pPr>
      <w:r>
        <w:rPr>
          <w:rFonts w:ascii="Calibri" w:cs="Calibri" w:eastAsia="Calibri" w:hAnsi="Calibri"/>
          <w:b/>
          <w:bCs/>
          <w:sz w:val="26"/>
          <w:szCs w:val="26"/>
        </w:rPr>
        <w:t xml:space="preserve">4.2 TERRA ₮ – das feste Fundament</w:t>
      </w:r>
    </w:p>
    <w:p>
      <w:pPr>
        <w:spacing w:after="120" w:line="300"/>
      </w:pPr>
      <w:r>
        <w:rPr>
          <w:rFonts w:ascii="Calibri" w:cs="Calibri" w:eastAsia="Calibri" w:hAnsi="Calibri"/>
          <w:sz w:val="22"/>
          <w:szCs w:val="22"/>
        </w:rPr>
        <w:t xml:space="preserve">Funktion: Infrastruktur, Maschinen, Gebäude, langfristige Produktionsmittel, Großprojekte. TERRA repräsentiert gebundenen Aufbauwert.</w:t>
      </w:r>
    </w:p>
    <w:p>
      <w:pPr>
        <w:pStyle w:val="ListParagraph"/>
        <w:numPr>
          <w:ilvl w:val="0"/>
          <w:numId w:val="2"/>
        </w:numPr>
        <w:spacing w:after="80" w:line="290"/>
      </w:pPr>
      <w:r>
        <w:rPr>
          <w:rFonts w:ascii="Calibri" w:cs="Calibri" w:eastAsia="Calibri" w:hAnsi="Calibri"/>
          <w:sz w:val="22"/>
          <w:szCs w:val="22"/>
        </w:rPr>
        <w:t xml:space="preserve">Kein Konsumgeld.</w:t>
      </w:r>
    </w:p>
    <w:p>
      <w:pPr>
        <w:pStyle w:val="ListParagraph"/>
        <w:numPr>
          <w:ilvl w:val="0"/>
          <w:numId w:val="2"/>
        </w:numPr>
        <w:spacing w:after="80" w:line="290"/>
      </w:pPr>
      <w:r>
        <w:rPr>
          <w:rFonts w:ascii="Calibri" w:cs="Calibri" w:eastAsia="Calibri" w:hAnsi="Calibri"/>
          <w:sz w:val="22"/>
          <w:szCs w:val="22"/>
        </w:rPr>
        <w:t xml:space="preserve">Kein Demurrage.</w:t>
      </w:r>
    </w:p>
    <w:p>
      <w:pPr>
        <w:pStyle w:val="ListParagraph"/>
        <w:numPr>
          <w:ilvl w:val="0"/>
          <w:numId w:val="2"/>
        </w:numPr>
        <w:spacing w:after="80" w:line="290"/>
      </w:pPr>
      <w:r>
        <w:rPr>
          <w:rFonts w:ascii="Calibri" w:cs="Calibri" w:eastAsia="Calibri" w:hAnsi="Calibri"/>
          <w:sz w:val="22"/>
          <w:szCs w:val="22"/>
        </w:rPr>
        <w:t xml:space="preserve">Langfristig stabil.</w:t>
      </w:r>
    </w:p>
    <w:p>
      <w:pPr>
        <w:pStyle w:val="ListParagraph"/>
        <w:numPr>
          <w:ilvl w:val="0"/>
          <w:numId w:val="2"/>
        </w:numPr>
        <w:spacing w:after="80" w:line="290"/>
      </w:pPr>
      <w:r>
        <w:rPr>
          <w:rFonts w:ascii="Calibri" w:cs="Calibri" w:eastAsia="Calibri" w:hAnsi="Calibri"/>
          <w:sz w:val="22"/>
          <w:szCs w:val="22"/>
        </w:rPr>
        <w:t xml:space="preserve">Nicht vererbbar im klassischen Sinne.</w:t>
      </w:r>
    </w:p>
    <w:p>
      <w:pPr>
        <w:pStyle w:val="ListParagraph"/>
        <w:numPr>
          <w:ilvl w:val="0"/>
          <w:numId w:val="2"/>
        </w:numPr>
        <w:spacing w:after="80" w:line="290"/>
      </w:pPr>
      <w:r>
        <w:rPr>
          <w:rFonts w:ascii="Calibri" w:cs="Calibri" w:eastAsia="Calibri" w:hAnsi="Calibri"/>
          <w:sz w:val="22"/>
          <w:szCs w:val="22"/>
        </w:rPr>
        <w:t xml:space="preserve">Nicht als privates Spekulationsvermögen gedacht.</w:t>
      </w:r>
    </w:p>
    <w:p>
      <w:pPr>
        <w:pStyle w:val="ListParagraph"/>
        <w:numPr>
          <w:ilvl w:val="0"/>
          <w:numId w:val="2"/>
        </w:numPr>
        <w:spacing w:after="80" w:line="290"/>
      </w:pPr>
      <w:r>
        <w:rPr>
          <w:rFonts w:ascii="Calibri" w:cs="Calibri" w:eastAsia="Calibri" w:hAnsi="Calibri"/>
          <w:sz w:val="22"/>
          <w:szCs w:val="22"/>
        </w:rPr>
        <w:t xml:space="preserve">An Zweckbindung gekoppelt.</w:t>
      </w:r>
    </w:p>
    <w:p>
      <w:pPr>
        <w:pStyle w:val="ListParagraph"/>
        <w:numPr>
          <w:ilvl w:val="0"/>
          <w:numId w:val="2"/>
        </w:numPr>
        <w:spacing w:after="80" w:line="290"/>
      </w:pPr>
      <w:r>
        <w:rPr>
          <w:rFonts w:ascii="Calibri" w:cs="Calibri" w:eastAsia="Calibri" w:hAnsi="Calibri"/>
          <w:sz w:val="22"/>
          <w:szCs w:val="22"/>
        </w:rPr>
        <w:t xml:space="preserve">Entsteht durch bewusste Widmung von Ressourcen in Infrastruktur (Detailverfahren in Kapitel 13).</w:t>
      </w:r>
    </w:p>
    <w:p>
      <w:pPr>
        <w:spacing w:after="120" w:line="300"/>
      </w:pPr>
      <w:r>
        <w:rPr>
          <w:rFonts w:ascii="Calibri" w:cs="Calibri" w:eastAsia="Calibri" w:hAnsi="Calibri"/>
          <w:sz w:val="22"/>
          <w:szCs w:val="22"/>
        </w:rPr>
        <w:t xml:space="preserve">Beispiele: Solaranlage einer Gemeinschaft, Werkzeugpool, Gemeinschaftsküche, Landwirtschaftsfläche, Wasseraufbereitung, Bildungszentrum, Server- und Mesh-Infrastruktur, Gesundheitsstation.</w:t>
      </w:r>
    </w:p>
    <w:p>
      <w:pPr>
        <w:spacing w:after="120" w:line="300"/>
      </w:pPr>
      <w:r>
        <w:rPr>
          <w:rFonts w:ascii="Calibri" w:cs="Calibri" w:eastAsia="Calibri" w:hAnsi="Calibri"/>
          <w:b/>
          <w:bCs/>
          <w:i w:val="false"/>
          <w:iCs w:val="false"/>
          <w:sz w:val="22"/>
          <w:szCs w:val="22"/>
        </w:rPr>
        <w:t xml:space="preserve">Diskussionspunkt: </w:t>
      </w:r>
      <w:r>
        <w:rPr>
          <w:rFonts w:ascii="Calibri" w:cs="Calibri" w:eastAsia="Calibri" w:hAnsi="Calibri"/>
          <w:b w:val="false"/>
          <w:bCs w:val="false"/>
          <w:i w:val="false"/>
          <w:iCs w:val="false"/>
          <w:sz w:val="22"/>
          <w:szCs w:val="22"/>
        </w:rPr>
        <w:t xml:space="preserve">TERRA kann Projektbudget, Infrastrukturanteil oder Nutzungsrecht bedeuten. Diese drei Bedeutungen sollten nicht vermischt werden. Eine konkrete Fallunterscheidung erfolgt in Kapitel 13.</w:t>
      </w:r>
    </w:p>
    <w:p>
      <w:pPr>
        <w:pStyle w:val="Heading2"/>
        <w:spacing w:after="160" w:before="280"/>
      </w:pPr>
      <w:r>
        <w:rPr>
          <w:rFonts w:ascii="Calibri" w:cs="Calibri" w:eastAsia="Calibri" w:hAnsi="Calibri"/>
          <w:b/>
          <w:bCs/>
          <w:sz w:val="26"/>
          <w:szCs w:val="26"/>
        </w:rPr>
        <w:t xml:space="preserve">4.3 AURA ₳ – das sichtbare Wirken</w:t>
      </w:r>
    </w:p>
    <w:p>
      <w:pPr>
        <w:spacing w:after="120" w:line="300"/>
      </w:pPr>
      <w:r>
        <w:rPr>
          <w:rFonts w:ascii="Calibri" w:cs="Calibri" w:eastAsia="Calibri" w:hAnsi="Calibri"/>
          <w:sz w:val="22"/>
          <w:szCs w:val="22"/>
        </w:rPr>
        <w:t xml:space="preserve">Funktion: Reputation, Vertrauenssignal, Beitragshistorie, Zugang zu begrenzten Ressourcen. AURA ist die immaterielle Sichtbarkeit des eigenen Beitrags.</w:t>
      </w:r>
    </w:p>
    <w:p>
      <w:pPr>
        <w:pStyle w:val="ListParagraph"/>
        <w:numPr>
          <w:ilvl w:val="0"/>
          <w:numId w:val="2"/>
        </w:numPr>
        <w:spacing w:after="80" w:line="290"/>
      </w:pPr>
      <w:r>
        <w:rPr>
          <w:rFonts w:ascii="Calibri" w:cs="Calibri" w:eastAsia="Calibri" w:hAnsi="Calibri"/>
          <w:sz w:val="22"/>
          <w:szCs w:val="22"/>
        </w:rPr>
        <w:t xml:space="preserve">Nicht kaufbar.</w:t>
      </w:r>
    </w:p>
    <w:p>
      <w:pPr>
        <w:pStyle w:val="ListParagraph"/>
        <w:numPr>
          <w:ilvl w:val="0"/>
          <w:numId w:val="2"/>
        </w:numPr>
        <w:spacing w:after="80" w:line="290"/>
      </w:pPr>
      <w:r>
        <w:rPr>
          <w:rFonts w:ascii="Calibri" w:cs="Calibri" w:eastAsia="Calibri" w:hAnsi="Calibri"/>
          <w:sz w:val="22"/>
          <w:szCs w:val="22"/>
        </w:rPr>
        <w:t xml:space="preserve">Nicht übertragbar.</w:t>
      </w:r>
    </w:p>
    <w:p>
      <w:pPr>
        <w:pStyle w:val="ListParagraph"/>
        <w:numPr>
          <w:ilvl w:val="0"/>
          <w:numId w:val="2"/>
        </w:numPr>
        <w:spacing w:after="80" w:line="290"/>
      </w:pPr>
      <w:r>
        <w:rPr>
          <w:rFonts w:ascii="Calibri" w:cs="Calibri" w:eastAsia="Calibri" w:hAnsi="Calibri"/>
          <w:sz w:val="22"/>
          <w:szCs w:val="22"/>
        </w:rPr>
        <w:t xml:space="preserve">Nicht vererbbar.</w:t>
      </w:r>
    </w:p>
    <w:p>
      <w:pPr>
        <w:pStyle w:val="ListParagraph"/>
        <w:numPr>
          <w:ilvl w:val="0"/>
          <w:numId w:val="2"/>
        </w:numPr>
        <w:spacing w:after="80" w:line="290"/>
      </w:pPr>
      <w:r>
        <w:rPr>
          <w:rFonts w:ascii="Calibri" w:cs="Calibri" w:eastAsia="Calibri" w:hAnsi="Calibri"/>
          <w:sz w:val="22"/>
          <w:szCs w:val="22"/>
        </w:rPr>
        <w:t xml:space="preserve">Entsteht durch bestätigtes Wirken.</w:t>
      </w:r>
    </w:p>
    <w:p>
      <w:pPr>
        <w:pStyle w:val="ListParagraph"/>
        <w:numPr>
          <w:ilvl w:val="0"/>
          <w:numId w:val="2"/>
        </w:numPr>
        <w:spacing w:after="80" w:line="290"/>
      </w:pPr>
      <w:r>
        <w:rPr>
          <w:rFonts w:ascii="Calibri" w:cs="Calibri" w:eastAsia="Calibri" w:hAnsi="Calibri"/>
          <w:sz w:val="22"/>
          <w:szCs w:val="22"/>
        </w:rPr>
        <w:t xml:space="preserve">Kann bei Inaktivität langsam verblassen.</w:t>
      </w:r>
    </w:p>
    <w:p>
      <w:pPr>
        <w:pStyle w:val="ListParagraph"/>
        <w:numPr>
          <w:ilvl w:val="0"/>
          <w:numId w:val="2"/>
        </w:numPr>
        <w:spacing w:after="80" w:line="290"/>
      </w:pPr>
      <w:r>
        <w:rPr>
          <w:rFonts w:ascii="Calibri" w:cs="Calibri" w:eastAsia="Calibri" w:hAnsi="Calibri"/>
          <w:sz w:val="22"/>
          <w:szCs w:val="22"/>
        </w:rPr>
        <w:t xml:space="preserve">Darf nicht direkt in VITA oder TERRA umtauschbar sein.</w:t>
      </w:r>
    </w:p>
    <w:p>
      <w:pPr>
        <w:pStyle w:val="ListParagraph"/>
        <w:numPr>
          <w:ilvl w:val="0"/>
          <w:numId w:val="2"/>
        </w:numPr>
        <w:spacing w:after="80" w:line="290"/>
      </w:pPr>
      <w:r>
        <w:rPr>
          <w:rFonts w:ascii="Calibri" w:cs="Calibri" w:eastAsia="Calibri" w:hAnsi="Calibri"/>
          <w:sz w:val="22"/>
          <w:szCs w:val="22"/>
        </w:rPr>
        <w:t xml:space="preserve">Darf keine Menschenwürde ersetzen.</w:t>
      </w:r>
    </w:p>
    <w:p>
      <w:pPr>
        <w:spacing w:after="120" w:line="300"/>
      </w:pPr>
      <w:r>
        <w:rPr>
          <w:rFonts w:ascii="Calibri" w:cs="Calibri" w:eastAsia="Calibri" w:hAnsi="Calibri"/>
          <w:sz w:val="22"/>
          <w:szCs w:val="22"/>
        </w:rPr>
        <w:t xml:space="preserve">Mögliche Einsatzbereiche: Delegationsvertrauen, Zugang zu knappen Werkzeugen, Teilnahme an sensiblen Arbeitskreisen, Priorisierung bei begehrten Ressourcen, Sichtbarkeit als Mentor, Experte oder Verantwortungsträger.</w:t>
      </w:r>
    </w:p>
    <w:p>
      <w:pPr>
        <w:spacing w:after="120" w:line="300"/>
      </w:pPr>
      <w:r>
        <w:rPr>
          <w:rFonts w:ascii="Calibri" w:cs="Calibri" w:eastAsia="Calibri" w:hAnsi="Calibri"/>
          <w:b/>
          <w:bCs/>
          <w:sz w:val="22"/>
          <w:szCs w:val="22"/>
        </w:rPr>
        <w:t xml:space="preserve">Rote Linie:</w:t>
      </w:r>
    </w:p>
    <w:p>
      <w:pPr>
        <w:pBdr>
          <w:left w:val="single" w:color="D4AF37" w:sz="18" w:space="12"/>
        </w:pBdr>
        <w:spacing w:after="200" w:before="160" w:line="300"/>
        <w:ind w:left="360" w:right="360"/>
      </w:pPr>
      <w:r>
        <w:rPr>
          <w:rFonts w:ascii="Calibri" w:cs="Calibri" w:eastAsia="Calibri" w:hAnsi="Calibri"/>
          <w:i/>
          <w:iCs/>
          <w:sz w:val="22"/>
          <w:szCs w:val="22"/>
        </w:rPr>
        <w:t xml:space="preserve">AURA darf niemals bedeuten, dass ein Mensch mehr wert ist, mehr Grundrechte hat oder bei geringer AURA stigmatisiert wird.</w:t>
      </w:r>
    </w:p>
    <w:p>
      <w:pPr>
        <w:pStyle w:val="Heading1"/>
        <w:spacing w:after="200" w:before="360"/>
      </w:pPr>
      <w:r>
        <w:rPr>
          <w:rFonts w:ascii="Calibri" w:cs="Calibri" w:eastAsia="Calibri" w:hAnsi="Calibri"/>
          <w:b/>
          <w:bCs/>
          <w:sz w:val="32"/>
          <w:szCs w:val="32"/>
        </w:rPr>
        <w:t xml:space="preserve">5. Wertschöpfung – Proof of Useful Work und Automatisierungsdividende</w:t>
      </w:r>
    </w:p>
    <w:p>
      <w:pPr>
        <w:spacing w:after="120" w:line="300"/>
      </w:pPr>
      <w:r>
        <w:rPr>
          <w:rFonts w:ascii="Calibri" w:cs="Calibri" w:eastAsia="Calibri" w:hAnsi="Calibri"/>
          <w:sz w:val="22"/>
          <w:szCs w:val="22"/>
        </w:rPr>
        <w:t xml:space="preserve">Der Bauplan beschreibt zwei Hauptquellen der AETHER-Schöpfung:</w:t>
      </w:r>
    </w:p>
    <w:p>
      <w:pPr>
        <w:pStyle w:val="ListParagraph"/>
        <w:numPr>
          <w:ilvl w:val="0"/>
          <w:numId w:val="3"/>
        </w:numPr>
        <w:spacing w:after="80" w:line="290"/>
      </w:pPr>
      <w:r>
        <w:rPr>
          <w:rFonts w:ascii="Calibri" w:cs="Calibri" w:eastAsia="Calibri" w:hAnsi="Calibri"/>
          <w:sz w:val="22"/>
          <w:szCs w:val="22"/>
        </w:rPr>
        <w:t xml:space="preserve">Proof of Useful Work – Wert entsteht durch nützliche Arbeit.</w:t>
      </w:r>
    </w:p>
    <w:p>
      <w:pPr>
        <w:pStyle w:val="ListParagraph"/>
        <w:numPr>
          <w:ilvl w:val="0"/>
          <w:numId w:val="3"/>
        </w:numPr>
        <w:spacing w:after="80" w:line="290"/>
      </w:pPr>
      <w:r>
        <w:rPr>
          <w:rFonts w:ascii="Calibri" w:cs="Calibri" w:eastAsia="Calibri" w:hAnsi="Calibri"/>
          <w:sz w:val="22"/>
          <w:szCs w:val="22"/>
        </w:rPr>
        <w:t xml:space="preserve">Automatisierungsdividende – Maschinenarbeit dient allen.</w:t>
      </w:r>
    </w:p>
    <w:p>
      <w:pPr>
        <w:spacing w:after="120" w:line="300"/>
      </w:pPr>
      <w:r>
        <w:rPr>
          <w:rFonts w:ascii="Calibri" w:cs="Calibri" w:eastAsia="Calibri" w:hAnsi="Calibri"/>
          <w:sz w:val="22"/>
          <w:szCs w:val="22"/>
        </w:rPr>
        <w:t xml:space="preserve">Für die technische Umsetzung sollte zuerst nur Proof of Useful Work umgesetzt werden. Die Automatisierungsdividende ist ökonomisch und technisch komplexer und sollte später separat spezifiziert werden.</w:t>
      </w:r>
    </w:p>
    <w:p>
      <w:pPr>
        <w:pStyle w:val="Heading1"/>
        <w:spacing w:after="200" w:before="360"/>
      </w:pPr>
      <w:r>
        <w:rPr>
          <w:rFonts w:ascii="Calibri" w:cs="Calibri" w:eastAsia="Calibri" w:hAnsi="Calibri"/>
          <w:b/>
          <w:bCs/>
          <w:sz w:val="32"/>
          <w:szCs w:val="32"/>
        </w:rPr>
        <w:t xml:space="preserve">6. Proof of Useful Work im Detail</w:t>
      </w:r>
    </w:p>
    <w:p>
      <w:pPr>
        <w:pStyle w:val="Heading2"/>
        <w:spacing w:after="160" w:before="280"/>
      </w:pPr>
      <w:r>
        <w:rPr>
          <w:rFonts w:ascii="Calibri" w:cs="Calibri" w:eastAsia="Calibri" w:hAnsi="Calibri"/>
          <w:b/>
          <w:bCs/>
          <w:sz w:val="26"/>
          <w:szCs w:val="26"/>
        </w:rPr>
        <w:t xml:space="preserve">6.1 Grundidee</w:t>
      </w:r>
    </w:p>
    <w:p>
      <w:pPr>
        <w:pBdr>
          <w:left w:val="single" w:color="D4AF37" w:sz="18" w:space="12"/>
        </w:pBdr>
        <w:spacing w:after="200" w:before="160" w:line="300"/>
        <w:ind w:left="360" w:right="360"/>
      </w:pPr>
      <w:r>
        <w:rPr>
          <w:rFonts w:ascii="Calibri" w:cs="Calibri" w:eastAsia="Calibri" w:hAnsi="Calibri"/>
          <w:i/>
          <w:iCs/>
          <w:sz w:val="22"/>
          <w:szCs w:val="22"/>
        </w:rPr>
        <w:t xml:space="preserve">Proof of Useful Work bedeutet: Ein Beitrag erzeugt nur dann AETHER-Wert, wenn er für die Gemeinschaft nachvollziehbar nützlich war.</w:t>
      </w:r>
    </w:p>
    <w:p>
      <w:pPr>
        <w:spacing w:after="120" w:line="300"/>
      </w:pPr>
      <w:r>
        <w:rPr>
          <w:rFonts w:ascii="Calibri" w:cs="Calibri" w:eastAsia="Calibri" w:hAnsi="Calibri"/>
          <w:sz w:val="22"/>
          <w:szCs w:val="22"/>
        </w:rPr>
        <w:t xml:space="preserve">Dabei geht es nicht nur um klassische Erwerbsarbeit. Als nützliche Arbeit gelten zum Beispiel Pflege, Kinderbetreuung, Kochen, Reparatur, Gartenarbeit, Bildung, Mentoring, medizinische Hilfe, Infrastrukturaufbau, Softwareentwicklung, Moderation, Konfliktlösung, Kunst, Kultur, Forschung, emotionale Begleitung, Verwaltung und Organisation.</w:t>
      </w:r>
    </w:p>
    <w:p>
      <w:pPr>
        <w:spacing w:after="120" w:line="300"/>
      </w:pPr>
      <w:r>
        <w:rPr>
          <w:rFonts w:ascii="Calibri" w:cs="Calibri" w:eastAsia="Calibri" w:hAnsi="Calibri"/>
          <w:sz w:val="22"/>
          <w:szCs w:val="22"/>
        </w:rPr>
        <w:t xml:space="preserve">Der Bauplan beschreibt Proof of Useful Work ausdrücklich als Alternative zu sinnlosem Mining: Nicht Rechenleistung erzeugt Wert, sondern realer Nutzen für Menschen und Gemeinschaft.</w:t>
      </w:r>
    </w:p>
    <w:p>
      <w:pPr>
        <w:pStyle w:val="Heading2"/>
        <w:spacing w:after="160" w:before="280"/>
      </w:pPr>
      <w:r>
        <w:rPr>
          <w:rFonts w:ascii="Calibri" w:cs="Calibri" w:eastAsia="Calibri" w:hAnsi="Calibri"/>
          <w:b/>
          <w:bCs/>
          <w:sz w:val="26"/>
          <w:szCs w:val="26"/>
        </w:rPr>
        <w:t xml:space="preserve">6.2 Wertanker: Was deckt eine VITA Ꝟ?</w:t>
      </w:r>
    </w:p>
    <w:p>
      <w:pPr>
        <w:spacing w:after="120" w:line="300"/>
      </w:pPr>
      <w:r>
        <w:rPr>
          <w:rFonts w:ascii="Calibri" w:cs="Calibri" w:eastAsia="Calibri" w:hAnsi="Calibri"/>
          <w:sz w:val="22"/>
          <w:szCs w:val="22"/>
        </w:rPr>
        <w:t xml:space="preserve">Der Bauplan verankert VITA in einem Korb aus drei realen Werten:</w:t>
      </w:r>
    </w:p>
    <w:p>
      <w:pPr>
        <w:pStyle w:val="ListParagraph"/>
        <w:numPr>
          <w:ilvl w:val="0"/>
          <w:numId w:val="3"/>
        </w:numPr>
        <w:spacing w:after="80" w:line="290"/>
      </w:pPr>
      <w:r>
        <w:rPr>
          <w:rFonts w:ascii="Calibri" w:cs="Calibri" w:eastAsia="Calibri" w:hAnsi="Calibri"/>
          <w:sz w:val="22"/>
          <w:szCs w:val="22"/>
        </w:rPr>
        <w:t xml:space="preserve">Zeit – eine Stunde geleistete Arbeit für die Gemeinschaft.</w:t>
      </w:r>
    </w:p>
    <w:p>
      <w:pPr>
        <w:pStyle w:val="ListParagraph"/>
        <w:numPr>
          <w:ilvl w:val="0"/>
          <w:numId w:val="3"/>
        </w:numPr>
        <w:spacing w:after="80" w:line="290"/>
      </w:pPr>
      <w:r>
        <w:rPr>
          <w:rFonts w:ascii="Calibri" w:cs="Calibri" w:eastAsia="Calibri" w:hAnsi="Calibri"/>
          <w:sz w:val="22"/>
          <w:szCs w:val="22"/>
        </w:rPr>
        <w:t xml:space="preserve">Energie – bereitgestellte Kilowattstunden, etwa aus Solaranlagen der Genossenschaft.</w:t>
      </w:r>
    </w:p>
    <w:p>
      <w:pPr>
        <w:pStyle w:val="ListParagraph"/>
        <w:numPr>
          <w:ilvl w:val="0"/>
          <w:numId w:val="3"/>
        </w:numPr>
        <w:spacing w:after="80" w:line="290"/>
      </w:pPr>
      <w:r>
        <w:rPr>
          <w:rFonts w:ascii="Calibri" w:cs="Calibri" w:eastAsia="Calibri" w:hAnsi="Calibri"/>
          <w:sz w:val="22"/>
          <w:szCs w:val="22"/>
        </w:rPr>
        <w:t xml:space="preserve">Ressourcen – materielle Güter (Nahrung, Baumaterial) oder Infrastruktur (Rechenleistung, Speicherplatz).</w:t>
      </w:r>
    </w:p>
    <w:p>
      <w:pPr>
        <w:spacing w:after="120" w:line="300"/>
      </w:pPr>
      <w:r>
        <w:rPr>
          <w:rFonts w:ascii="Calibri" w:cs="Calibri" w:eastAsia="Calibri" w:hAnsi="Calibri"/>
          <w:sz w:val="22"/>
          <w:szCs w:val="22"/>
        </w:rPr>
        <w:t xml:space="preserve">Diese Verankerung unterscheidet VITA fundamental von Fiat-Geld: VITA ist nicht durch Schuld oder Vertrauen in einen Staat gedeckt, sondern durch real existierende, messbare Beiträge der Gemeinschaft.</w:t>
      </w:r>
    </w:p>
    <w:p>
      <w:pPr>
        <w:pStyle w:val="Heading3"/>
        <w:spacing w:after="120" w:before="220"/>
      </w:pPr>
      <w:r>
        <w:rPr>
          <w:rFonts w:ascii="Calibri" w:cs="Calibri" w:eastAsia="Calibri" w:hAnsi="Calibri"/>
          <w:b/>
          <w:bCs/>
          <w:sz w:val="23"/>
          <w:szCs w:val="23"/>
        </w:rPr>
        <w:t xml:space="preserve">6.2.1 Verhältnis Stunde ↔ VITA-Recheneinheit</w:t>
      </w:r>
    </w:p>
    <w:p>
      <w:pPr>
        <w:spacing w:after="120" w:line="300"/>
      </w:pPr>
      <w:r>
        <w:rPr>
          <w:rFonts w:ascii="Calibri" w:cs="Calibri" w:eastAsia="Calibri" w:hAnsi="Calibri"/>
          <w:sz w:val="22"/>
          <w:szCs w:val="22"/>
        </w:rPr>
        <w:t xml:space="preserve">Der Bauplan nennt mehrere Bezugsgrößen, die auf den ersten Blick widersprüchlich wirken:</w:t>
      </w:r>
    </w:p>
    <w:p>
      <w:pPr>
        <w:pStyle w:val="ListParagraph"/>
        <w:numPr>
          <w:ilvl w:val="0"/>
          <w:numId w:val="2"/>
        </w:numPr>
        <w:spacing w:after="80" w:line="290"/>
      </w:pPr>
      <w:r>
        <w:rPr>
          <w:rFonts w:ascii="Calibri" w:cs="Calibri" w:eastAsia="Calibri" w:hAnsi="Calibri"/>
          <w:sz w:val="22"/>
          <w:szCs w:val="22"/>
        </w:rPr>
        <w:t xml:space="preserve">„1 VITA = 1 Stunde durchschnittliche Arbeit“ (langfristiger Wertanker).</w:t>
      </w:r>
    </w:p>
    <w:p>
      <w:pPr>
        <w:pStyle w:val="ListParagraph"/>
        <w:numPr>
          <w:ilvl w:val="0"/>
          <w:numId w:val="2"/>
        </w:numPr>
        <w:spacing w:after="80" w:line="290"/>
      </w:pPr>
      <w:r>
        <w:rPr>
          <w:rFonts w:ascii="Calibri" w:cs="Calibri" w:eastAsia="Calibri" w:hAnsi="Calibri"/>
          <w:sz w:val="22"/>
          <w:szCs w:val="22"/>
        </w:rPr>
        <w:t xml:space="preserve">„1 Stunde Basisbeitrag = 10 VITA brutto“ (Diskussionsgrundlage v0.1).</w:t>
      </w:r>
    </w:p>
    <w:p>
      <w:pPr>
        <w:spacing w:after="120" w:line="300"/>
      </w:pPr>
      <w:r>
        <w:rPr>
          <w:rFonts w:ascii="Calibri" w:cs="Calibri" w:eastAsia="Calibri" w:hAnsi="Calibri"/>
          <w:sz w:val="22"/>
          <w:szCs w:val="22"/>
        </w:rPr>
        <w:t xml:space="preserve">Diese Werte stehen nicht in Widerspruch, wenn VITA als feinere Recheneinheit aufgefasst wird – ähnlich wie der Cent feiner als der Euro ist. Vorschlag für v0.2:</w:t>
      </w:r>
    </w:p>
    <w:p>
      <w:pPr>
        <w:pBdr>
          <w:left w:val="single" w:color="D4AF37" w:sz="18" w:space="12"/>
        </w:pBdr>
        <w:spacing w:after="200" w:before="160" w:line="300"/>
        <w:ind w:left="360" w:right="360"/>
      </w:pPr>
      <w:r>
        <w:rPr>
          <w:rFonts w:ascii="Calibri" w:cs="Calibri" w:eastAsia="Calibri" w:hAnsi="Calibri"/>
          <w:i/>
          <w:iCs/>
          <w:sz w:val="22"/>
          <w:szCs w:val="22"/>
        </w:rPr>
        <w:t xml:space="preserve">Eine VITA Ꝟ ist die kleinste Recheneinheit des Protokolls. Eine Stunde unqualifizierter Basisarbeit erzeugt 10 VITA Ꝟ brutto. Damit entspricht eine Stunde Basisarbeit auf der Wertanker-Ebene 10 VITA, eine Stunde Pflege (Multiplikator 2,0) entspricht 20 VITA, eine Stunde Chirurgie (Multiplikator 3,0) entspricht 30 VITA.</w:t>
      </w:r>
    </w:p>
    <w:p>
      <w:pPr>
        <w:spacing w:after="120" w:line="300"/>
      </w:pPr>
      <w:r>
        <w:rPr>
          <w:rFonts w:ascii="Calibri" w:cs="Calibri" w:eastAsia="Calibri" w:hAnsi="Calibri"/>
          <w:sz w:val="22"/>
          <w:szCs w:val="22"/>
        </w:rPr>
        <w:t xml:space="preserve">Diese Festlegung ist eine Diskussionsempfehlung. Die finale Skala (10, 100 oder 1000 VITA pro Stunde Basisarbeit) sollte vom Beirat in Phase A festgelegt werden. Wichtig ist die Diskretheit: AETHER soll nicht beliebig fraktional teilbar sein, weil Mikrotransaktionen ohne reale Wertbasis das Protokoll unterhöhlen würden.</w:t>
      </w:r>
    </w:p>
    <w:p>
      <w:pPr>
        <w:pStyle w:val="Heading2"/>
        <w:spacing w:after="160" w:before="280"/>
      </w:pPr>
      <w:r>
        <w:rPr>
          <w:rFonts w:ascii="Calibri" w:cs="Calibri" w:eastAsia="Calibri" w:hAnsi="Calibri"/>
          <w:b/>
          <w:bCs/>
          <w:sz w:val="26"/>
          <w:szCs w:val="26"/>
        </w:rPr>
        <w:t xml:space="preserve">6.3 Der Arbeitsnachweis</w:t>
      </w:r>
    </w:p>
    <w:p>
      <w:pPr>
        <w:spacing w:after="120" w:line="300"/>
      </w:pPr>
      <w:r>
        <w:rPr>
          <w:rFonts w:ascii="Calibri" w:cs="Calibri" w:eastAsia="Calibri" w:hAnsi="Calibri"/>
          <w:sz w:val="22"/>
          <w:szCs w:val="22"/>
        </w:rPr>
        <w:t xml:space="preserve">Jeder bestätigte Beitrag wird als „Claim“ erfasst. Ein Claim enthält mindestens folgende Felder: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Feld</w:t>
            </w:r>
          </w:p>
        </w:tc>
        <w:tc>
          <w:tcPr>
            <w:tcW w:type="dxa" w:w="63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Bedeutung</w:t>
            </w:r>
          </w:p>
        </w:tc>
      </w:tr>
      <w:tr>
        <w:trPr>
          <w:tblHeader w:val="false"/>
        </w:trP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Beitragende Person</w:t>
            </w:r>
          </w:p>
        </w:tc>
        <w:tc>
          <w:tcPr>
            <w:tcW w:type="dxa" w:w="6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DID der Person.</w:t>
            </w:r>
          </w:p>
        </w:tc>
      </w:tr>
      <w:tr>
        <w:trPr>
          <w:tblHeader w:val="false"/>
        </w:trPr>
        <w:tc>
          <w:tcPr>
            <w:tcW w:type="dxa" w:w="30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Gemeinschaft</w:t>
            </w:r>
          </w:p>
        </w:tc>
        <w:tc>
          <w:tcPr>
            <w:tcW w:type="dxa" w:w="63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Zell-/Community-ID.</w:t>
            </w:r>
          </w:p>
        </w:tc>
      </w:tr>
      <w:tr>
        <w:trPr>
          <w:tblHeader w:val="false"/>
        </w:trP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Tätigkeit</w:t>
            </w:r>
          </w:p>
        </w:tc>
        <w:tc>
          <w:tcPr>
            <w:tcW w:type="dxa" w:w="6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Kategorie und Beschreibung.</w:t>
            </w:r>
          </w:p>
        </w:tc>
      </w:tr>
      <w:tr>
        <w:trPr>
          <w:tblHeader w:val="false"/>
        </w:trPr>
        <w:tc>
          <w:tcPr>
            <w:tcW w:type="dxa" w:w="30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Zeitumfang</w:t>
            </w:r>
          </w:p>
        </w:tc>
        <w:tc>
          <w:tcPr>
            <w:tcW w:type="dxa" w:w="63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Minuten oder Stunden.</w:t>
            </w:r>
          </w:p>
        </w:tc>
      </w:tr>
      <w:tr>
        <w:trPr>
          <w:tblHeader w:val="false"/>
        </w:trP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Ort / Kontext</w:t>
            </w:r>
          </w:p>
        </w:tc>
        <w:tc>
          <w:tcPr>
            <w:tcW w:type="dxa" w:w="6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Optional.</w:t>
            </w:r>
          </w:p>
        </w:tc>
      </w:tr>
      <w:tr>
        <w:trPr>
          <w:tblHeader w:val="false"/>
        </w:trPr>
        <w:tc>
          <w:tcPr>
            <w:tcW w:type="dxa" w:w="30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Empfänger / Nutznießer</w:t>
            </w:r>
          </w:p>
        </w:tc>
        <w:tc>
          <w:tcPr>
            <w:tcW w:type="dxa" w:w="63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Person, Gruppe, Projekt oder Commons.</w:t>
            </w:r>
          </w:p>
        </w:tc>
      </w:tr>
      <w:tr>
        <w:trPr>
          <w:tblHeader w:val="false"/>
        </w:trP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Nachweisform</w:t>
            </w:r>
          </w:p>
        </w:tc>
        <w:tc>
          <w:tcPr>
            <w:tcW w:type="dxa" w:w="6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Selbstangabe, Zeuge, Sensor, Dokument, Ergebnis.</w:t>
            </w:r>
          </w:p>
        </w:tc>
      </w:tr>
      <w:tr>
        <w:trPr>
          <w:tblHeader w:val="false"/>
        </w:trPr>
        <w:tc>
          <w:tcPr>
            <w:tcW w:type="dxa" w:w="30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Verifikationsstatus</w:t>
            </w:r>
          </w:p>
        </w:tc>
        <w:tc>
          <w:tcPr>
            <w:tcW w:type="dxa" w:w="63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Offen, bestätigt, abgelehnt, strittig.</w:t>
            </w:r>
          </w:p>
        </w:tc>
      </w:tr>
      <w:tr>
        <w:trPr>
          <w:tblHeader w:val="false"/>
        </w:trP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Bewertungsfaktor</w:t>
            </w:r>
          </w:p>
        </w:tc>
        <w:tc>
          <w:tcPr>
            <w:tcW w:type="dxa" w:w="6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Basiswert, Skill-Faktor, HNI-Faktor.</w:t>
            </w:r>
          </w:p>
        </w:tc>
      </w:tr>
      <w:tr>
        <w:trPr>
          <w:tblHeader w:val="false"/>
        </w:trPr>
        <w:tc>
          <w:tcPr>
            <w:tcW w:type="dxa" w:w="30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Ergebnis</w:t>
            </w:r>
          </w:p>
        </w:tc>
        <w:tc>
          <w:tcPr>
            <w:tcW w:type="dxa" w:w="63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VITA, AURA, ggf. TERRA-Zuordnung.</w:t>
            </w:r>
          </w:p>
        </w:tc>
      </w:tr>
    </w:tbl>
    <w:p>
      <w:pPr>
        <w:spacing w:after="0"/>
      </w:pPr>
    </w:p>
    <w:p>
      <w:pPr>
        <w:pStyle w:val="Heading1"/>
        <w:spacing w:after="200" w:before="360"/>
      </w:pPr>
      <w:r>
        <w:rPr>
          <w:rFonts w:ascii="Calibri" w:cs="Calibri" w:eastAsia="Calibri" w:hAnsi="Calibri"/>
          <w:b/>
          <w:bCs/>
          <w:sz w:val="32"/>
          <w:szCs w:val="32"/>
        </w:rPr>
        <w:t>7. Verifikation – Dreifaltigkeit, Random Audit, Output-Korrelation und Re-Roll</w:t>
      </w:r>
    </w:p>
    <w:p>
      <w:pPr>
        <w:spacing w:after="120" w:line="300"/>
      </w:pPr>
      <w:r>
        <w:rPr>
          <w:rFonts w:ascii="Calibri" w:cs="Calibri" w:eastAsia="Calibri" w:hAnsi="Calibri"/>
          <w:sz w:val="22"/>
          <w:szCs w:val="22"/>
        </w:rPr>
        <w:t xml:space="preserve">Der Bauplan nennt die „Dreifaltigkeit der Wahrheit“ als Verifikationsprinzip. Für die Spezifikation wird daraus folgendes Modell: Ein Beitrag kann durch drei Wahrheitsquellen bestätigt werden – aber keine darf allein absolut sein, und die Zuweisung der Verifikatoren muss strukturell vor Kartellbildung geschützt sein.</w:t>
      </w:r>
    </w:p>
    <w:p>
      <w:pPr>
        <w:pStyle w:val="Heading2"/>
        <w:spacing w:after="160" w:before="280"/>
      </w:pPr>
      <w:r>
        <w:rPr>
          <w:rFonts w:ascii="Calibri" w:cs="Calibri" w:eastAsia="Calibri" w:hAnsi="Calibri"/>
          <w:b/>
          <w:bCs/>
          <w:sz w:val="26"/>
          <w:szCs w:val="26"/>
        </w:rPr>
        <w:t xml:space="preserve">7.1 Menschliche Bestätigung</w:t>
      </w:r>
    </w:p>
    <w:p>
      <w:pPr>
        <w:spacing w:after="120" w:line="300"/>
      </w:pPr>
      <w:r>
        <w:rPr>
          <w:rFonts w:ascii="Calibri" w:cs="Calibri" w:eastAsia="Calibri" w:hAnsi="Calibri"/>
          <w:sz w:val="22"/>
          <w:szCs w:val="22"/>
        </w:rPr>
        <w:t xml:space="preserve">Andere Menschen bestätigen, dass die Arbeit stattgefunden hat und nützlich war. Beispiele: Empfänger bestätigt Pflegeleistung, Moderator bestätigt Reparatur, Projektgruppe bestätigt Beitrag, Lernkreis bestätigt Unterricht.</w:t>
      </w:r>
    </w:p>
    <w:p>
      <w:pPr>
        <w:pStyle w:val="Heading2"/>
        <w:spacing w:after="160" w:before="280"/>
      </w:pPr>
      <w:r>
        <w:rPr>
          <w:rFonts w:ascii="Calibri" w:cs="Calibri" w:eastAsia="Calibri" w:hAnsi="Calibri"/>
          <w:b/>
          <w:bCs/>
          <w:sz w:val="26"/>
          <w:szCs w:val="26"/>
        </w:rPr>
        <w:t xml:space="preserve">7.2 Ergebnisbasierte Bestätigung</w:t>
      </w:r>
    </w:p>
    <w:p>
      <w:pPr>
        <w:spacing w:after="120" w:line="300"/>
      </w:pPr>
      <w:r>
        <w:rPr>
          <w:rFonts w:ascii="Calibri" w:cs="Calibri" w:eastAsia="Calibri" w:hAnsi="Calibri"/>
          <w:sz w:val="22"/>
          <w:szCs w:val="22"/>
        </w:rPr>
        <w:t xml:space="preserve">Das Ergebnis selbst ist sichtbar oder prüfbar. Beispiele: repariertes Gerät funktioniert, Mahlzeit wurde gekocht, Beet wurde angelegt, Unterrichtseinheit wurde durchgeführt, Softwarefunktion wurde gemergt, Wasserfilter wurde installiert.</w:t>
      </w:r>
    </w:p>
    <w:p>
      <w:pPr>
        <w:pStyle w:val="Heading2"/>
        <w:spacing w:after="160" w:before="280"/>
      </w:pPr>
      <w:r>
        <w:rPr>
          <w:rFonts w:ascii="Calibri" w:cs="Calibri" w:eastAsia="Calibri" w:hAnsi="Calibri"/>
          <w:b/>
          <w:bCs/>
          <w:sz w:val="26"/>
          <w:szCs w:val="26"/>
        </w:rPr>
        <w:t xml:space="preserve">7.3 Systemische / sensorische Bestätigung</w:t>
      </w:r>
    </w:p>
    <w:p>
      <w:pPr>
        <w:spacing w:after="120" w:line="300"/>
      </w:pPr>
      <w:r>
        <w:rPr>
          <w:rFonts w:ascii="Calibri" w:cs="Calibri" w:eastAsia="Calibri" w:hAnsi="Calibri"/>
          <w:sz w:val="22"/>
          <w:szCs w:val="22"/>
        </w:rPr>
        <w:t xml:space="preserve">Technische Daten, Logbücher oder Geräte können ergänzend bestätigen. Beispiele: Energieproduktion, 3D-Druck-Fertigstellung, Maschinenlaufzeit, Git-Commit, Anwesenheitsnachweis, IoT-Sensordaten.</w:t>
      </w:r>
    </w:p>
    <w:p>
      <w:pPr>
        <w:spacing w:after="120" w:line="300"/>
      </w:pPr>
      <w:r>
        <w:rPr>
          <w:rFonts w:ascii="Calibri" w:cs="Calibri" w:eastAsia="Calibri" w:hAnsi="Calibri"/>
          <w:b/>
          <w:bCs/>
          <w:sz w:val="22"/>
          <w:szCs w:val="22"/>
        </w:rPr>
        <w:t xml:space="preserve">Wichtig: Keine der drei Quellen darf allein absolut sein. Gerade bei sozialer Arbeit, Pflege oder emotionaler Begleitung wäre rein technische Messung entwürdigend und falsch.</w:t>
      </w:r>
    </w:p>
    <w:p>
      <w:pPr>
        <w:pStyle w:val="Heading2"/>
        <w:spacing w:after="160" w:before="280"/>
      </w:pPr>
      <w:r>
        <w:rPr>
          <w:rFonts w:ascii="Calibri" w:cs="Calibri" w:eastAsia="Calibri" w:hAnsi="Calibri"/>
          <w:b/>
          <w:bCs/>
          <w:sz w:val="26"/>
          <w:szCs w:val="26"/>
        </w:rPr>
        <w:t xml:space="preserve">7.4 Output-Korrelation – Plausibilitätsprüfung durch Wirkung</w:t>
      </w:r>
    </w:p>
    <w:p>
      <w:pPr>
        <w:spacing w:after="120" w:line="300"/>
      </w:pPr>
      <w:r>
        <w:rPr>
          <w:rFonts w:ascii="Calibri" w:cs="Calibri" w:eastAsia="Calibri" w:hAnsi="Calibri"/>
          <w:sz w:val="22"/>
          <w:szCs w:val="22"/>
        </w:rPr>
        <w:t xml:space="preserve">Über die drei Bestätigungsspuren hinaus prüft das Protokoll die Plausibilität des behaupteten Beitrags durch Korrelation mit messbaren Wirkungen. Diese Korrelation ist keine eigene Bestätigung, sondern eine Querprüfung gegen Fake Work und Verifikationskartelle.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Tätigkeit</w:t>
            </w:r>
          </w:p>
        </w:tc>
        <w:tc>
          <w:tcPr>
            <w:tcW w:type="dxa" w:w="63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Korrelations-Indikator</w:t>
            </w:r>
          </w:p>
        </w:tc>
      </w:tr>
      <w:tr>
        <w:trPr>
          <w:tblHeader w:val="false"/>
        </w:trP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Nachhilfe / Unterricht</w:t>
            </w:r>
          </w:p>
        </w:tc>
        <w:tc>
          <w:tcPr>
            <w:tcW w:type="dxa" w:w="6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Schüler-Feedback, dokumentierte Lernfortschritte.</w:t>
            </w:r>
          </w:p>
        </w:tc>
      </w:tr>
      <w:tr>
        <w:trPr>
          <w:tblHeader w:val="false"/>
        </w:trPr>
        <w:tc>
          <w:tcPr>
            <w:tcW w:type="dxa" w:w="30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Pflege</w:t>
            </w:r>
          </w:p>
        </w:tc>
        <w:tc>
          <w:tcPr>
            <w:tcW w:type="dxa" w:w="63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Empfänger-Feedback, Gesundheitsverlauf, Pflegeprotokoll.</w:t>
            </w:r>
          </w:p>
        </w:tc>
      </w:tr>
      <w:tr>
        <w:trPr>
          <w:tblHeader w:val="false"/>
        </w:trP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Gartenarbeit / Anbau</w:t>
            </w:r>
          </w:p>
        </w:tc>
        <w:tc>
          <w:tcPr>
            <w:tcW w:type="dxa" w:w="6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Ertragsmessung, Fotodokumentation, Zustandsprotokoll.</w:t>
            </w:r>
          </w:p>
        </w:tc>
      </w:tr>
      <w:tr>
        <w:trPr>
          <w:tblHeader w:val="false"/>
        </w:trPr>
        <w:tc>
          <w:tcPr>
            <w:tcW w:type="dxa" w:w="30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Reparatur</w:t>
            </w:r>
          </w:p>
        </w:tc>
        <w:tc>
          <w:tcPr>
            <w:tcW w:type="dxa" w:w="63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Funktionstest des reparierten Geräts.</w:t>
            </w:r>
          </w:p>
        </w:tc>
      </w:tr>
      <w:tr>
        <w:trPr>
          <w:tblHeader w:val="false"/>
        </w:trP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Softwareentwicklung</w:t>
            </w:r>
          </w:p>
        </w:tc>
        <w:tc>
          <w:tcPr>
            <w:tcW w:type="dxa" w:w="6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Merge-Status, Code-Review-Annahme, Funktionsabnahme.</w:t>
            </w:r>
          </w:p>
        </w:tc>
      </w:tr>
      <w:tr>
        <w:trPr>
          <w:tblHeader w:val="false"/>
        </w:trPr>
        <w:tc>
          <w:tcPr>
            <w:tcW w:type="dxa" w:w="30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Konfliktmoderation</w:t>
            </w:r>
          </w:p>
        </w:tc>
        <w:tc>
          <w:tcPr>
            <w:tcW w:type="dxa" w:w="63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Ergebnis-Bestätigung beider Konfliktparteien.</w:t>
            </w:r>
          </w:p>
        </w:tc>
      </w:tr>
    </w:tbl>
    <w:p>
      <w:pPr>
        <w:spacing w:after="0"/>
      </w:pPr>
    </w:p>
    <w:p>
      <w:pPr>
        <w:spacing w:after="120" w:line="300"/>
      </w:pPr>
      <w:r>
        <w:rPr>
          <w:rFonts w:ascii="Calibri" w:cs="Calibri" w:eastAsia="Calibri" w:hAnsi="Calibri"/>
          <w:sz w:val="22"/>
          <w:szCs w:val="22"/>
        </w:rPr>
        <w:t xml:space="preserve">Wenn ein Mensch über Monate 40 Stunden Nachhilfe pro Woche behauptet, aber kein einziger Schüler messbare Lernfortschritte zeigt, dann stimmt etwas nicht. Output-Korrelation ist die strukturelle Antwort auf das Free-Rider-Problem ohne Misstrauenskultur. Sie schützt diejenigen, die ehrliche Arbeit leisten – denn echte Wirkung erzeugt automatisch positive Indikatoren.</w:t>
      </w:r>
    </w:p>
    <w:p>
      <w:pPr>
        <w:pStyle w:val="Heading3"/>
      </w:pPr>
      <w:r>
        <w:t>7.4.1 Schutz vor kalter Messlogik bei Care-Arbeit</w:t>
      </w:r>
    </w:p>
    <w:p>
      <w:r>
        <w:t>Output-Korrelation darf bei Care-Arbeit, Pflege, Seelsorge, Trauerbegleitung, Krisenhilfe und Konfliktmoderation niemals rein quantitativ verstanden werden. Nicht jede wertvolle Wirkung ist als messbare Verbesserung sichtbar.</w:t>
      </w:r>
    </w:p>
    <w:p>
      <w:r>
        <w:t>Beispiel: Eine demenzkranke Person wird durch liebevolle Pflege nicht zwingend „besser“. Trotzdem ist die Pflege real, notwendig und hoch wertvoll. Ebenso kann gute Konfliktmoderation darin bestehen, Eskalation zu verhindern – ein Ergebnis, das sich schwer als klassische Output-Steigerung messen lässt.</w:t>
      </w:r>
    </w:p>
    <w:p>
      <w:r>
        <w:t>Für soziale und emotionale Beiträge gelten daher qualitative Nachweisformen: Empfänger-Feedback, Team-Bestätigung, Verlaufsgespräch, Pflegeprotokoll, Supervision oder Moderationsabschluss. Das Protokoll muss Wirkung plausibilisieren, ohne Menschlichkeit in Kennzahlen zu pressen.</w:t>
      </w:r>
    </w:p>
    <w:p>
      <w:pPr>
        <w:pStyle w:val="Heading2"/>
        <w:spacing w:after="160" w:before="280"/>
      </w:pPr>
      <w:r>
        <w:rPr>
          <w:rFonts w:ascii="Calibri" w:cs="Calibri" w:eastAsia="Calibri" w:hAnsi="Calibri"/>
          <w:b/>
          <w:bCs/>
          <w:sz w:val="26"/>
          <w:szCs w:val="26"/>
        </w:rPr>
        <w:t xml:space="preserve">7.5 Random Audit – Zufällige Verifikator-Zuweisung</w:t>
      </w:r>
    </w:p>
    <w:p>
      <w:pPr>
        <w:spacing w:after="120" w:line="300"/>
      </w:pPr>
      <w:r>
        <w:rPr>
          <w:rFonts w:ascii="Calibri" w:cs="Calibri" w:eastAsia="Calibri" w:hAnsi="Calibri"/>
          <w:sz w:val="22"/>
          <w:szCs w:val="22"/>
        </w:rPr>
        <w:t xml:space="preserve">Das Dunbar-Problem: In einer kleinen Gemeinschaft kennt jeder jeden. Wenn die beitragende Person ihren Verifikator selbst wählt, bestätigen sich Freundeskreise gegenseitig falsche Beiträge. Das ist die zentrale Schwachstelle aller Reputations-Protokolle.</w:t>
      </w:r>
    </w:p>
    <w:p>
      <w:pPr>
        <w:spacing w:after="120" w:line="300"/>
      </w:pPr>
      <w:r>
        <w:rPr>
          <w:rFonts w:ascii="Calibri" w:cs="Calibri" w:eastAsia="Calibri" w:hAnsi="Calibri"/>
          <w:sz w:val="22"/>
          <w:szCs w:val="22"/>
        </w:rPr>
        <w:t xml:space="preserve">Lösung: Das Protokoll weist Verifikatoren zufällig zu. Die beitragende Person hat keinen Einfluss auf die Auswahl. Die Anzahl der notwendigen Verifikatoren skaliert mit der Beitragsgröße: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360"/>
        <w:gridCol w:w="3840"/>
      </w:tblGrid>
      <w:tr>
        <w:trPr>
          <w:tblHeader/>
        </w:trPr>
        <w:tc>
          <w:tcPr>
            <w:tcW w:type="dxa" w:w="21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Beitragsgröße</w:t>
            </w:r>
          </w:p>
        </w:tc>
        <w:tc>
          <w:tcPr>
            <w:tcW w:type="dxa" w:w="33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Anzahl zufällig zugewiesener Verifikatoren</w:t>
            </w:r>
          </w:p>
        </w:tc>
        <w:tc>
          <w:tcPr>
            <w:tcW w:type="dxa" w:w="384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Zusatz</w:t>
            </w:r>
          </w:p>
        </w:tc>
      </w:tr>
      <w:tr>
        <w:trPr>
          <w:tblHeader w:val="false"/>
        </w:trP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Klein (&lt; 15 VITA)</w:t>
            </w:r>
          </w:p>
        </w:tc>
        <w:tc>
          <w:tcPr>
            <w:tcW w:type="dxa" w:w="3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1</w:t>
            </w:r>
          </w:p>
        </w:tc>
        <w:tc>
          <w:tcPr>
            <w:tcW w:type="dxa" w:w="38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Eine zufällige Bestätigung genügt.</w:t>
            </w:r>
          </w:p>
        </w:tc>
      </w:tr>
      <w:tr>
        <w:trPr>
          <w:tblHeader w:val="false"/>
        </w:trPr>
        <w:tc>
          <w:tcPr>
            <w:tcW w:type="dxa" w:w="21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Mittel (15–30 VITA)</w:t>
            </w:r>
          </w:p>
        </w:tc>
        <w:tc>
          <w:tcPr>
            <w:tcW w:type="dxa" w:w="33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2</w:t>
            </w:r>
          </w:p>
        </w:tc>
        <w:tc>
          <w:tcPr>
            <w:tcW w:type="dxa" w:w="384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Zwei voneinander unabhängige Verifikatoren.</w:t>
            </w:r>
          </w:p>
        </w:tc>
      </w:tr>
      <w:tr>
        <w:trPr>
          <w:tblHeader w:val="false"/>
        </w:trP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Groß (&gt; 30 VITA)</w:t>
            </w:r>
          </w:p>
        </w:tc>
        <w:tc>
          <w:tcPr>
            <w:tcW w:type="dxa" w:w="3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2 + Output</w:t>
            </w:r>
          </w:p>
        </w:tc>
        <w:tc>
          <w:tcPr>
            <w:tcW w:type="dxa" w:w="38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Zwei Verifikatoren plus dokumentierter Output oder Sensorbeleg.</w:t>
            </w:r>
          </w:p>
        </w:tc>
      </w:tr>
      <w:tr>
        <w:trPr>
          <w:tblHeader w:val="false"/>
        </w:trPr>
        <w:tc>
          <w:tcPr>
            <w:tcW w:type="dxa" w:w="21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TERRA-relevant</w:t>
            </w:r>
          </w:p>
        </w:tc>
        <w:tc>
          <w:tcPr>
            <w:tcW w:type="dxa" w:w="33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Governance-Beschluss</w:t>
            </w:r>
          </w:p>
        </w:tc>
        <w:tc>
          <w:tcPr>
            <w:tcW w:type="dxa" w:w="384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Zellweite Abstimmung über G1/G2 (siehe Kap. 13).</w:t>
            </w:r>
          </w:p>
        </w:tc>
      </w:tr>
    </w:tbl>
    <w:p>
      <w:pPr>
        <w:spacing w:after="0"/>
      </w:pPr>
    </w:p>
    <w:p>
      <w:pPr>
        <w:pStyle w:val="Heading3"/>
        <w:spacing w:after="120" w:before="220"/>
      </w:pPr>
      <w:r>
        <w:rPr>
          <w:rFonts w:ascii="Calibri" w:cs="Calibri" w:eastAsia="Calibri" w:hAnsi="Calibri"/>
          <w:b/>
          <w:bCs/>
          <w:sz w:val="23"/>
          <w:szCs w:val="23"/>
        </w:rPr>
        <w:t xml:space="preserve">7.5.1 Auswahl-Kriterien für zufällige Verifikatoren</w:t>
      </w:r>
    </w:p>
    <w:p>
      <w:pPr>
        <w:spacing w:after="120" w:line="300"/>
      </w:pPr>
      <w:r>
        <w:rPr>
          <w:rFonts w:ascii="Calibri" w:cs="Calibri" w:eastAsia="Calibri" w:hAnsi="Calibri"/>
          <w:sz w:val="22"/>
          <w:szCs w:val="22"/>
        </w:rPr>
        <w:t xml:space="preserve">Damit die Zuweisung wirklich kartellresistent ist, muss der Auswahl-Algorithmus folgende Bedingungen erfüllen:</w:t>
      </w:r>
    </w:p>
    <w:p>
      <w:pPr>
        <w:pStyle w:val="ListParagraph"/>
        <w:numPr>
          <w:ilvl w:val="0"/>
          <w:numId w:val="2"/>
        </w:numPr>
        <w:spacing w:after="80" w:line="290"/>
      </w:pPr>
      <w:r>
        <w:rPr>
          <w:rFonts w:ascii="Calibri" w:cs="Calibri" w:eastAsia="Calibri" w:hAnsi="Calibri"/>
          <w:sz w:val="22"/>
          <w:szCs w:val="22"/>
        </w:rPr>
        <w:t xml:space="preserve">Der Verifikator darf nicht selbst Empfänger der Leistung sein.</w:t>
      </w:r>
    </w:p>
    <w:p>
      <w:pPr>
        <w:pStyle w:val="ListParagraph"/>
        <w:numPr>
          <w:ilvl w:val="0"/>
          <w:numId w:val="2"/>
        </w:numPr>
        <w:spacing w:after="80" w:line="290"/>
      </w:pPr>
      <w:r>
        <w:rPr>
          <w:rFonts w:ascii="Calibri" w:cs="Calibri" w:eastAsia="Calibri" w:hAnsi="Calibri"/>
          <w:sz w:val="22"/>
          <w:szCs w:val="22"/>
        </w:rPr>
        <w:t xml:space="preserve">Der Verifikator darf keinen direkten ökonomischen Vorteil aus der Bestätigung haben.</w:t>
      </w:r>
    </w:p>
    <w:p>
      <w:pPr>
        <w:pStyle w:val="ListParagraph"/>
        <w:numPr>
          <w:ilvl w:val="0"/>
          <w:numId w:val="2"/>
        </w:numPr>
        <w:spacing w:after="80" w:line="290"/>
      </w:pPr>
      <w:r>
        <w:rPr>
          <w:rFonts w:ascii="Calibri" w:cs="Calibri" w:eastAsia="Calibri" w:hAnsi="Calibri"/>
          <w:sz w:val="22"/>
          <w:szCs w:val="22"/>
        </w:rPr>
        <w:t xml:space="preserve">Der Verifikator sollte – wenn möglich – nicht im engsten Vertrauenskreis (Bürge-Beziehung) der beitragenden Person stehen. In sehr kleinen Zellen ist diese Anforderung weicher.</w:t>
      </w:r>
    </w:p>
    <w:p>
      <w:pPr>
        <w:pStyle w:val="ListParagraph"/>
        <w:numPr>
          <w:ilvl w:val="0"/>
          <w:numId w:val="2"/>
        </w:numPr>
        <w:spacing w:after="80" w:line="290"/>
      </w:pPr>
      <w:r>
        <w:rPr>
          <w:rFonts w:ascii="Calibri" w:cs="Calibri" w:eastAsia="Calibri" w:hAnsi="Calibri"/>
          <w:sz w:val="22"/>
          <w:szCs w:val="22"/>
        </w:rPr>
        <w:t xml:space="preserve">Der Verifikator muss der Tätigkeit fachlich plausibel folgen können (z.B. nicht völlig fachfremd bei sicherheitskritischen Arbeiten).</w:t>
      </w:r>
    </w:p>
    <w:p>
      <w:pPr>
        <w:pStyle w:val="Heading3"/>
        <w:spacing w:after="120" w:before="220"/>
      </w:pPr>
      <w:r>
        <w:rPr>
          <w:rFonts w:ascii="Calibri" w:cs="Calibri" w:eastAsia="Calibri" w:hAnsi="Calibri"/>
          <w:b/>
          <w:bCs/>
          <w:sz w:val="23"/>
          <w:szCs w:val="23"/>
        </w:rPr>
        <w:t xml:space="preserve">7.5.2 Inter-Zelluläre Stichproben</w:t>
      </w:r>
    </w:p>
    <w:p>
      <w:pPr>
        <w:spacing w:after="120" w:line="300"/>
      </w:pPr>
      <w:r>
        <w:rPr>
          <w:rFonts w:ascii="Calibri" w:cs="Calibri" w:eastAsia="Calibri" w:hAnsi="Calibri"/>
          <w:sz w:val="22"/>
          <w:szCs w:val="22"/>
        </w:rPr>
        <w:t xml:space="preserve">Vierteljährlich überprüft eine Nachbar-Zelle stichprobenartig 5 % aller PoUW-Bestätigungen einer anderen Zelle. Die Prüfer kennen die lokalen Netzwerke nicht. Das ist konzeptuell vergleichbar mit einer externen Wirtschaftsprüfung – unangenehm, aber notwendig für Vertrauen über Zellgrenzen hinweg.</w:t>
      </w:r>
    </w:p>
    <w:p>
      <w:pPr>
        <w:pStyle w:val="Heading3"/>
      </w:pPr>
      <w:r>
        <w:t>7.5.3 Bagatellgrenze und Alltagstauglichkeit</w:t>
      </w:r>
    </w:p>
    <w:p>
      <w:r>
        <w:t>Random Audit ist für Missbrauchsschutz notwendig, darf aber nicht dazu führen, dass jede kleine gute Tat sofort bürokratisch geprüft wird. AETHER soll menschliches Beitragen sichtbar machen, nicht den Alltag in eine Buchhaltung verwandeln.</w:t>
      </w:r>
    </w:p>
    <w:p>
      <w:r>
        <w:t>Kleinstbeiträge unterhalb einer noch festzulegenden Bagatellgrenze können gesammelt, pauschalisiert oder nur stichprobenartig geprüft werden. Beispiel: mehrere kleine Küchen-, Garten- oder Hilfsbeiträge eines Tages werden zu einem Sammel-Claim zusammengeführt.</w:t>
      </w:r>
    </w:p>
    <w:p>
      <w:r>
        <w:t>Nicht jede soziale Handlung soll in AETHER erfasst werden. Freiwillige Hilfe, spontane Nächstenliebe und nicht dokumentierte Fürsorge müssen weiterhin ihren Platz haben. Das Protokoll darf Anreize setzen, aber nicht die Seele der Gemeinschaft ersetzen.</w:t>
      </w:r>
    </w:p>
    <w:p>
      <w:r>
        <w:t>Der Re-Roll-Mechanismus ist kein Misstrauenssignal gegen den nicht erreichbaren Verifikator. Er ist ein Resilienzmechanismus gegen Offline-Realität.</w:t>
      </w:r>
    </w:p>
    <w:p>
      <w:pPr>
        <w:pStyle w:val="ListParagraph"/>
      </w:pPr>
      <w:r>
        <w:t>Verspätete Antworten eines vorherigen Verifikators dürfen nicht mehr als gültige Bestätigung zählen, wenn der Claim bereits weitergerollt oder abgeschlossen wurde.</w:t>
      </w:r>
    </w:p>
    <w:p>
      <w:pPr>
        <w:pStyle w:val="ListParagraph"/>
      </w:pPr>
      <w:r>
        <w:t>Nach zwei erfolglosen Re-Rolls geht der Claim in einen manuellen Review durch den zuständigen Moderatorenkreis beziehungsweise die lokale Governance.</w:t>
      </w:r>
    </w:p>
    <w:p>
      <w:pPr>
        <w:pStyle w:val="ListParagraph"/>
      </w:pPr>
      <w:r>
        <w:t>Nach dem Timeout wählt das Protokoll deterministisch den nächsten geeigneten Verifikator aus. Die Neuzuweisung muss reproduzierbar sein, damit Geräte bei späterer Synchronisation zum gleichen Ergebnis kommen.</w:t>
      </w:r>
    </w:p>
    <w:p>
      <w:pPr>
        <w:pStyle w:val="ListParagraph"/>
      </w:pPr>
      <w:r>
        <w:t>Wenn ein zugewiesener Verifikator innerhalb von 48 Stunden nicht reagiert, wird die Anfrage automatisch als „nicht beantwortet“ markiert. Das gilt nicht als Ablehnung und erzeugt keinen negativen Reputationsimpuls.</w:t>
      </w:r>
    </w:p>
    <w:p>
      <w:r>
        <w:t>Regelvorschlag für v0.4:</w:t>
      </w:r>
    </w:p>
    <w:p>
      <w:r>
        <w:t>Random Audit muss offline-first und mesh-tauglich sein. In einem dezentralen Netzwerk kann ein zufällig zugewiesener Verifikator im Urlaub sein, sein Gerät ausgeschaltet haben, die App deinstalliert haben oder nur zeitweise synchronisieren. Ein Claim darf dadurch nicht dauerhaft blockiert werden.</w:t>
      </w:r>
    </w:p>
    <w:p>
      <w:pPr>
        <w:pStyle w:val="Heading3"/>
      </w:pPr>
      <w:r>
        <w:t>7.5.4 Timeout und Re-Roll bei nicht erreichbaren Verifikatoren</w:t>
      </w:r>
    </w:p>
    <w:p>
      <w:pPr>
        <w:pStyle w:val="Heading2"/>
        <w:spacing w:after="160" w:before="280"/>
      </w:pPr>
      <w:r>
        <w:rPr>
          <w:rFonts w:ascii="Calibri" w:cs="Calibri" w:eastAsia="Calibri" w:hAnsi="Calibri"/>
          <w:b/>
          <w:bCs/>
          <w:sz w:val="26"/>
          <w:szCs w:val="26"/>
        </w:rPr>
        <w:t xml:space="preserve">7.6 Verifikationsstufen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960"/>
        <w:gridCol w:w="2200"/>
      </w:tblGrid>
      <w:tr>
        <w:trPr>
          <w:tblHeader/>
        </w:trPr>
        <w:tc>
          <w:tcPr>
            <w:tcW w:type="dxa" w:w="8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Stufe</w:t>
            </w:r>
          </w:p>
        </w:tc>
        <w:tc>
          <w:tcPr>
            <w:tcW w:type="dxa" w:w="24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Name</w:t>
            </w:r>
          </w:p>
        </w:tc>
        <w:tc>
          <w:tcPr>
            <w:tcW w:type="dxa" w:w="39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Bedeutung</w:t>
            </w:r>
          </w:p>
        </w:tc>
        <w:tc>
          <w:tcPr>
            <w:tcW w:type="dxa" w:w="22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Ergebnis</w:t>
            </w:r>
          </w:p>
        </w:tc>
      </w:tr>
      <w:tr>
        <w:trPr>
          <w:tblHeader w:val="false"/>
        </w:trPr>
        <w:tc>
          <w:tcPr>
            <w:tcW w:type="dxa" w:w="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0</w:t>
            </w:r>
          </w:p>
        </w:tc>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Selbst erfasst</w:t>
            </w:r>
          </w:p>
        </w:tc>
        <w:tc>
          <w:tcPr>
            <w:tcW w:type="dxa" w:w="3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Person dokumentiert Arbeit.</w:t>
            </w:r>
          </w:p>
        </w:tc>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Noch keine Schöpfung, nur Test.</w:t>
            </w:r>
          </w:p>
        </w:tc>
      </w:tr>
      <w:tr>
        <w:trPr>
          <w:tblHeader w:val="false"/>
        </w:trPr>
        <w:tc>
          <w:tcPr>
            <w:tcW w:type="dxa" w:w="8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1</w:t>
            </w:r>
          </w:p>
        </w:tc>
        <w:tc>
          <w:tcPr>
            <w:tcW w:type="dxa" w:w="24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Plausibilisiert</w:t>
            </w:r>
          </w:p>
        </w:tc>
        <w:tc>
          <w:tcPr>
            <w:tcW w:type="dxa" w:w="39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Protokoll prüft formale Plausibilität.</w:t>
            </w:r>
          </w:p>
        </w:tc>
        <w:tc>
          <w:tcPr>
            <w:tcW w:type="dxa" w:w="22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Vorgemerkt.</w:t>
            </w:r>
          </w:p>
        </w:tc>
      </w:tr>
      <w:tr>
        <w:trPr>
          <w:tblHeader w:val="false"/>
        </w:trPr>
        <w:tc>
          <w:tcPr>
            <w:tcW w:type="dxa" w:w="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2</w:t>
            </w:r>
          </w:p>
        </w:tc>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Menschlich bestätigt</w:t>
            </w:r>
          </w:p>
        </w:tc>
        <w:tc>
          <w:tcPr>
            <w:tcW w:type="dxa" w:w="3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Mindestens eine zufällig zugewiesene Bestätigung.</w:t>
            </w:r>
          </w:p>
        </w:tc>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VITA/AURA möglich (kleine Beiträge).</w:t>
            </w:r>
          </w:p>
        </w:tc>
      </w:tr>
      <w:tr>
        <w:trPr>
          <w:tblHeader w:val="false"/>
        </w:trPr>
        <w:tc>
          <w:tcPr>
            <w:tcW w:type="dxa" w:w="8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3</w:t>
            </w:r>
          </w:p>
        </w:tc>
        <w:tc>
          <w:tcPr>
            <w:tcW w:type="dxa" w:w="24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Gemeinschaftlich bestätigt</w:t>
            </w:r>
          </w:p>
        </w:tc>
        <w:tc>
          <w:tcPr>
            <w:tcW w:type="dxa" w:w="39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Mehrere zufällige Bestätigungen plus ggf. Output-Beleg.</w:t>
            </w:r>
          </w:p>
        </w:tc>
        <w:tc>
          <w:tcPr>
            <w:tcW w:type="dxa" w:w="22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Volle Anerkennung (mittlere/große Beiträge).</w:t>
            </w:r>
          </w:p>
        </w:tc>
      </w:tr>
      <w:tr>
        <w:trPr>
          <w:tblHeader w:val="false"/>
        </w:trPr>
        <w:tc>
          <w:tcPr>
            <w:tcW w:type="dxa" w:w="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4</w:t>
            </w:r>
          </w:p>
        </w:tc>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Governance-bestätigt</w:t>
            </w:r>
          </w:p>
        </w:tc>
        <w:tc>
          <w:tcPr>
            <w:tcW w:type="dxa" w:w="3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Zellweiter Beschluss.</w:t>
            </w:r>
          </w:p>
        </w:tc>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TERRA-Schöpfung möglich.</w:t>
            </w:r>
          </w:p>
        </w:tc>
      </w:tr>
    </w:tbl>
    <w:p>
      <w:pPr>
        <w:spacing w:after="0"/>
      </w:pPr>
    </w:p>
    <w:p>
      <w:pPr>
        <w:spacing w:after="120" w:line="300"/>
      </w:pPr>
      <w:r>
        <w:rPr>
          <w:rFonts w:ascii="Calibri" w:cs="Calibri" w:eastAsia="Calibri" w:hAnsi="Calibri"/>
          <w:sz w:val="22"/>
          <w:szCs w:val="22"/>
        </w:rPr>
        <w:t xml:space="preserve">Die Stufen 2 und 3 setzen Random Audit voraus, sind also strukturell nicht durch Selbstauswahl manipulierbar.</w:t>
      </w:r>
    </w:p>
    <w:p>
      <w:r>
        <w:t>Alle Verifikationsentscheidungen bleiben als historische Ereignisse erhalten. Nachträgliche Korrekturen erfolgen ausschließlich über Korrektur- oder Reversal-Events, niemals durch Überschreiben des ursprünglichen Claims oder der ursprünglichen Bestätigung.</w:t>
      </w:r>
    </w:p>
    <w:p>
      <w:pPr>
        <w:pStyle w:val="Heading1"/>
        <w:spacing w:after="200" w:before="360"/>
      </w:pPr>
      <w:r>
        <w:rPr>
          <w:rFonts w:ascii="Calibri" w:cs="Calibri" w:eastAsia="Calibri" w:hAnsi="Calibri"/>
          <w:b/>
          <w:bCs/>
          <w:sz w:val="32"/>
          <w:szCs w:val="32"/>
        </w:rPr>
        <w:t xml:space="preserve">8. Skill-Multiplikator</w:t>
      </w:r>
    </w:p>
    <w:p>
      <w:pPr>
        <w:spacing w:after="120" w:line="300"/>
      </w:pPr>
      <w:r>
        <w:rPr>
          <w:rFonts w:ascii="Calibri" w:cs="Calibri" w:eastAsia="Calibri" w:hAnsi="Calibri"/>
          <w:sz w:val="22"/>
          <w:szCs w:val="22"/>
        </w:rPr>
        <w:t xml:space="preserve">Der Skill-Multiplikator soll Schwierigkeit, Verantwortung, Belastung, Ausbildungsgrad, Seltenheit einer Fähigkeit, gesellschaftliche Notwendigkeit, Risiko sowie emotionale oder körperliche Intensität berücksichtigen.</w:t>
      </w:r>
    </w:p>
    <w:p>
      <w:pPr>
        <w:spacing w:after="120" w:line="300"/>
      </w:pPr>
      <w:r>
        <w:rPr>
          <w:rFonts w:ascii="Calibri" w:cs="Calibri" w:eastAsia="Calibri" w:hAnsi="Calibri"/>
          <w:sz w:val="22"/>
          <w:szCs w:val="22"/>
        </w:rPr>
        <w:t xml:space="preserve">Gefahr: Der Skill-Multiplikator darf keine neue Klassengesellschaft erzeugen. Care-Arbeit, Reinigung, Kochen und Kinderbetreuung dürfen nicht erneut abgewertet werden. Genau deshalb deckelt der Bauplan den Multiplikator bei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Klasse</w:t>
            </w:r>
          </w:p>
        </w:tc>
        <w:tc>
          <w:tcPr>
            <w:tcW w:type="dxa" w:w="18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Multiplikator</w:t>
            </w:r>
          </w:p>
        </w:tc>
        <w:tc>
          <w:tcPr>
            <w:tcW w:type="dxa" w:w="45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Beispiel</w:t>
            </w:r>
          </w:p>
        </w:tc>
      </w:tr>
      <w:tr>
        <w:trPr>
          <w:tblHeader w:val="false"/>
        </w:trP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Basisbeitrag</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1,0</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Einfache Mithilfe, Sortieren, Tragen.</w:t>
            </w:r>
          </w:p>
        </w:tc>
      </w:tr>
      <w:tr>
        <w:trPr>
          <w:tblHeader w:val="false"/>
        </w:trPr>
        <w:tc>
          <w:tcPr>
            <w:tcW w:type="dxa" w:w="30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Regelmäßige Gemeinschaftsarbeit</w:t>
            </w:r>
          </w:p>
        </w:tc>
        <w:tc>
          <w:tcPr>
            <w:tcW w:type="dxa" w:w="18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1,2</w:t>
            </w:r>
          </w:p>
        </w:tc>
        <w:tc>
          <w:tcPr>
            <w:tcW w:type="dxa" w:w="45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Küche, Garten, Reinigung, Organisation.</w:t>
            </w:r>
          </w:p>
        </w:tc>
      </w:tr>
      <w:tr>
        <w:trPr>
          <w:tblHeader w:val="false"/>
        </w:trP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Facharbeit</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1,5</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Handwerk, Pflege (Basis), Unterricht (Basis), Technik.</w:t>
            </w:r>
          </w:p>
        </w:tc>
      </w:tr>
      <w:tr>
        <w:trPr>
          <w:tblHeader w:val="false"/>
        </w:trPr>
        <w:tc>
          <w:tcPr>
            <w:tcW w:type="dxa" w:w="30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Hochverantwortliche Arbeit</w:t>
            </w:r>
          </w:p>
        </w:tc>
        <w:tc>
          <w:tcPr>
            <w:tcW w:type="dxa" w:w="18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2,0</w:t>
            </w:r>
          </w:p>
        </w:tc>
        <w:tc>
          <w:tcPr>
            <w:tcW w:type="dxa" w:w="45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Pflege (komplex), Sicherheitskritisches, Konfliktmoderation.</w:t>
            </w:r>
          </w:p>
        </w:tc>
      </w:tr>
      <w:tr>
        <w:trPr>
          <w:tblHeader w:val="false"/>
        </w:trP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Seltene Hochkompetenz</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2,5</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Spezialengineering, komplexe Architektur, Krisenintervention.</w:t>
            </w:r>
          </w:p>
        </w:tc>
      </w:tr>
      <w:tr>
        <w:trPr>
          <w:tblHeader w:val="false"/>
        </w:trPr>
        <w:tc>
          <w:tcPr>
            <w:tcW w:type="dxa" w:w="30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Ausnahmebeitrag</w:t>
            </w:r>
          </w:p>
        </w:tc>
        <w:tc>
          <w:tcPr>
            <w:tcW w:type="dxa" w:w="18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max. 3,0</w:t>
            </w:r>
          </w:p>
        </w:tc>
        <w:tc>
          <w:tcPr>
            <w:tcW w:type="dxa" w:w="45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Nur durch Governance-Beschluss; z.B. komplexe Chirurgie.</w:t>
            </w:r>
          </w:p>
        </w:tc>
      </w:tr>
    </w:tbl>
    <w:p>
      <w:pPr>
        <w:spacing w:after="0"/>
      </w:pPr>
    </w:p>
    <w:p>
      <w:pPr>
        <w:spacing w:after="120" w:line="300"/>
      </w:pPr>
      <w:r>
        <w:rPr>
          <w:rFonts w:ascii="Calibri" w:cs="Calibri" w:eastAsia="Calibri" w:hAnsi="Calibri"/>
          <w:b/>
          <w:bCs/>
          <w:sz w:val="22"/>
          <w:szCs w:val="22"/>
        </w:rPr>
        <w:t xml:space="preserve">Rote Linie:</w:t>
      </w:r>
    </w:p>
    <w:p>
      <w:pPr>
        <w:pBdr>
          <w:left w:val="single" w:color="D4AF37" w:sz="18" w:space="12"/>
        </w:pBdr>
        <w:spacing w:after="200" w:before="160" w:line="300"/>
        <w:ind w:left="360" w:right="360"/>
      </w:pPr>
      <w:r>
        <w:rPr>
          <w:rFonts w:ascii="Calibri" w:cs="Calibri" w:eastAsia="Calibri" w:hAnsi="Calibri"/>
          <w:i/>
          <w:iCs/>
          <w:sz w:val="22"/>
          <w:szCs w:val="22"/>
        </w:rPr>
        <w:t xml:space="preserve">Kein Mensch sollte dauerhaft mit Faktor 5, 10 oder 100 vergütet werden. Sonst entsteht exakt die Ungleichheit, die AETHER überwinden soll.</w:t>
      </w:r>
    </w:p>
    <w:p>
      <w:pPr>
        <w:pStyle w:val="Heading2"/>
        <w:spacing w:after="160" w:before="280"/>
      </w:pPr>
      <w:r>
        <w:rPr>
          <w:rFonts w:ascii="Calibri" w:cs="Calibri" w:eastAsia="Calibri" w:hAnsi="Calibri"/>
          <w:b/>
          <w:bCs/>
          <w:sz w:val="26"/>
          <w:szCs w:val="26"/>
        </w:rPr>
        <w:t xml:space="preserve">8.1 Vergabe der Skill-Klasse</w:t>
      </w:r>
    </w:p>
    <w:p>
      <w:pPr>
        <w:spacing w:after="120" w:line="300"/>
      </w:pPr>
      <w:r>
        <w:rPr>
          <w:rFonts w:ascii="Calibri" w:cs="Calibri" w:eastAsia="Calibri" w:hAnsi="Calibri"/>
          <w:sz w:val="22"/>
          <w:szCs w:val="22"/>
        </w:rPr>
        <w:t xml:space="preserve">Wer weist einer Person eine Skill-Klasse für eine bestimmte Tätigkeit zu? Drei mögliche Modelle:</w:t>
      </w:r>
    </w:p>
    <w:p>
      <w:pPr>
        <w:pStyle w:val="ListParagraph"/>
        <w:numPr>
          <w:ilvl w:val="0"/>
          <w:numId w:val="2"/>
        </w:numPr>
        <w:spacing w:after="80" w:line="290"/>
      </w:pPr>
      <w:r>
        <w:rPr>
          <w:rFonts w:ascii="Calibri" w:cs="Calibri" w:eastAsia="Calibri" w:hAnsi="Calibri"/>
          <w:b/>
          <w:bCs/>
          <w:sz w:val="22"/>
          <w:szCs w:val="22"/>
        </w:rPr>
        <w:t xml:space="preserve">Selbsteinschätzung mit Bestätigung: </w:t>
      </w:r>
      <w:r>
        <w:rPr>
          <w:rFonts w:ascii="Calibri" w:cs="Calibri" w:eastAsia="Calibri" w:hAnsi="Calibri"/>
          <w:sz w:val="22"/>
          <w:szCs w:val="22"/>
        </w:rPr>
        <w:t xml:space="preserve">Die Person trägt ihre Klasse ein, mindestens zwei zufällig zugewiesene Verifikatoren mit eigener AURA in dem Bereich bestätigen sie.</w:t>
      </w:r>
    </w:p>
    <w:p>
      <w:pPr>
        <w:pStyle w:val="ListParagraph"/>
        <w:numPr>
          <w:ilvl w:val="0"/>
          <w:numId w:val="2"/>
        </w:numPr>
        <w:spacing w:after="80" w:line="290"/>
      </w:pPr>
      <w:r>
        <w:rPr>
          <w:rFonts w:ascii="Calibri" w:cs="Calibri" w:eastAsia="Calibri" w:hAnsi="Calibri"/>
          <w:b/>
          <w:bCs/>
          <w:sz w:val="22"/>
          <w:szCs w:val="22"/>
        </w:rPr>
        <w:t xml:space="preserve">Peer-Validation: </w:t>
      </w:r>
      <w:r>
        <w:rPr>
          <w:rFonts w:ascii="Calibri" w:cs="Calibri" w:eastAsia="Calibri" w:hAnsi="Calibri"/>
          <w:sz w:val="22"/>
          <w:szCs w:val="22"/>
        </w:rPr>
        <w:t xml:space="preserve">Anerkannte Experten (hohe AURA in dem Bereich) verleihen Skill-Status.</w:t>
      </w:r>
    </w:p>
    <w:p>
      <w:pPr>
        <w:pStyle w:val="ListParagraph"/>
        <w:numPr>
          <w:ilvl w:val="0"/>
          <w:numId w:val="2"/>
        </w:numPr>
        <w:spacing w:after="80" w:line="290"/>
      </w:pPr>
      <w:r>
        <w:rPr>
          <w:rFonts w:ascii="Calibri" w:cs="Calibri" w:eastAsia="Calibri" w:hAnsi="Calibri"/>
          <w:b/>
          <w:bCs/>
          <w:sz w:val="22"/>
          <w:szCs w:val="22"/>
        </w:rPr>
        <w:t xml:space="preserve">Governance-Vergabe: </w:t>
      </w:r>
      <w:r>
        <w:rPr>
          <w:rFonts w:ascii="Calibri" w:cs="Calibri" w:eastAsia="Calibri" w:hAnsi="Calibri"/>
          <w:sz w:val="22"/>
          <w:szCs w:val="22"/>
        </w:rPr>
        <w:t xml:space="preserve">Hochverantwortliche Tätigkeiten (Skill 2,5+) erfordern Zell-Beschluss.</w:t>
      </w:r>
    </w:p>
    <w:p>
      <w:pPr>
        <w:spacing w:after="120" w:line="300"/>
      </w:pPr>
      <w:r>
        <w:rPr>
          <w:rFonts w:ascii="Calibri" w:cs="Calibri" w:eastAsia="Calibri" w:hAnsi="Calibri"/>
          <w:sz w:val="22"/>
          <w:szCs w:val="22"/>
        </w:rPr>
        <w:t xml:space="preserve">Empfehlung für die Spez v1.0: Hybrid – Selbsteinschätzung plus Peer-Validation für 1,0 bis 2,0; Governance-Beschluss ab 2,5.</w:t>
      </w:r>
    </w:p>
    <w:p>
      <w:pPr>
        <w:pStyle w:val="Heading2"/>
        <w:spacing w:after="160" w:before="280"/>
      </w:pPr>
      <w:r>
        <w:rPr>
          <w:rFonts w:ascii="Calibri" w:cs="Calibri" w:eastAsia="Calibri" w:hAnsi="Calibri"/>
          <w:b/>
          <w:bCs/>
          <w:sz w:val="26"/>
          <w:szCs w:val="26"/>
        </w:rPr>
        <w:t xml:space="preserve">8.2 Bedarfs-Bonus (HNI-gesteuert)</w:t>
      </w:r>
    </w:p>
    <w:p>
      <w:pPr>
        <w:spacing w:after="120" w:line="300"/>
      </w:pPr>
      <w:r>
        <w:rPr>
          <w:rFonts w:ascii="Calibri" w:cs="Calibri" w:eastAsia="Calibri" w:hAnsi="Calibri"/>
          <w:sz w:val="22"/>
          <w:szCs w:val="22"/>
        </w:rPr>
        <w:t xml:space="preserve">Der Bauplan beschreibt einen temporären Bedarfs-Bonus von max. +50 % auf den regulären Multiplikator, wenn die Gemeinschaft eine Fähigkeit dringend braucht. Zeitlich begrenzt auf 6 Monate, danach automatische Neuprüfung. Damit steuert das Protokoll Angebot und Nachfrage, ohne die 3,0-Obergrenze als Dauerzustand zu durchbrechen.</w:t>
      </w:r>
    </w:p>
    <w:p>
      <w:pPr>
        <w:pStyle w:val="Heading1"/>
        <w:spacing w:after="200" w:before="360"/>
      </w:pPr>
      <w:r>
        <w:rPr>
          <w:rFonts w:ascii="Calibri" w:cs="Calibri" w:eastAsia="Calibri" w:hAnsi="Calibri"/>
          <w:b/>
          <w:bCs/>
          <w:sz w:val="32"/>
          <w:szCs w:val="32"/>
        </w:rPr>
        <w:t xml:space="preserve">9. Human Need Index</w:t>
      </w:r>
    </w:p>
    <w:p>
      <w:pPr>
        <w:spacing w:after="120" w:line="300"/>
      </w:pPr>
      <w:r>
        <w:rPr>
          <w:rFonts w:ascii="Calibri" w:cs="Calibri" w:eastAsia="Calibri" w:hAnsi="Calibri"/>
          <w:sz w:val="22"/>
          <w:szCs w:val="22"/>
        </w:rPr>
        <w:t xml:space="preserve">Der Human Need Index (HNI) soll nicht nur messen, was jemand getan hat, sondern wie dringend ein Beitrag für die Gemeinschaft 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HNI-Stufe</w:t>
            </w:r>
          </w:p>
        </w:tc>
        <w:tc>
          <w:tcPr>
            <w:tcW w:type="dxa" w:w="18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Faktor</w:t>
            </w:r>
          </w:p>
        </w:tc>
        <w:tc>
          <w:tcPr>
            <w:tcW w:type="dxa" w:w="54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Bedeutung</w:t>
            </w:r>
          </w:p>
        </w:tc>
      </w:tr>
      <w:tr>
        <w:trPr>
          <w:tblHeader w:val="false"/>
        </w:trP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Niedrig</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0,8</w:t>
            </w:r>
          </w:p>
        </w:tc>
        <w:tc>
          <w:tcPr>
            <w:tcW w:type="dxa" w:w="5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Nice-to-have.</w:t>
            </w:r>
          </w:p>
        </w:tc>
      </w:tr>
      <w:tr>
        <w:trPr>
          <w:tblHeader w:val="false"/>
        </w:trPr>
        <w:tc>
          <w:tcPr>
            <w:tcW w:type="dxa" w:w="21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Normal</w:t>
            </w:r>
          </w:p>
        </w:tc>
        <w:tc>
          <w:tcPr>
            <w:tcW w:type="dxa" w:w="18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1,0</w:t>
            </w:r>
          </w:p>
        </w:tc>
        <w:tc>
          <w:tcPr>
            <w:tcW w:type="dxa" w:w="54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Sinnvoller Beitrag.</w:t>
            </w:r>
          </w:p>
        </w:tc>
      </w:tr>
      <w:tr>
        <w:trPr>
          <w:tblHeader w:val="false"/>
        </w:trP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Wichtig</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1,2</w:t>
            </w:r>
          </w:p>
        </w:tc>
        <w:tc>
          <w:tcPr>
            <w:tcW w:type="dxa" w:w="5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Klarer Gemeinschaftsnutzen.</w:t>
            </w:r>
          </w:p>
        </w:tc>
      </w:tr>
      <w:tr>
        <w:trPr>
          <w:tblHeader w:val="false"/>
        </w:trPr>
        <w:tc>
          <w:tcPr>
            <w:tcW w:type="dxa" w:w="21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Dringend</w:t>
            </w:r>
          </w:p>
        </w:tc>
        <w:tc>
          <w:tcPr>
            <w:tcW w:type="dxa" w:w="18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1,5</w:t>
            </w:r>
          </w:p>
        </w:tc>
        <w:tc>
          <w:tcPr>
            <w:tcW w:type="dxa" w:w="54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Akute Bedarfslage.</w:t>
            </w:r>
          </w:p>
        </w:tc>
      </w:tr>
      <w:tr>
        <w:trPr>
          <w:tblHeader w:val="false"/>
        </w:trP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Kritisch</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2,0</w:t>
            </w:r>
          </w:p>
        </w:tc>
        <w:tc>
          <w:tcPr>
            <w:tcW w:type="dxa" w:w="5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Versorgung, Sicherheit, Gesundheit.</w:t>
            </w:r>
          </w:p>
        </w:tc>
      </w:tr>
    </w:tbl>
    <w:p>
      <w:pPr>
        <w:spacing w:after="0"/>
      </w:pPr>
    </w:p>
    <w:p>
      <w:pPr>
        <w:spacing w:after="120" w:line="300"/>
      </w:pPr>
      <w:r>
        <w:rPr>
          <w:rFonts w:ascii="Calibri" w:cs="Calibri" w:eastAsia="Calibri" w:hAnsi="Calibri"/>
          <w:sz w:val="22"/>
          <w:szCs w:val="22"/>
        </w:rPr>
        <w:t xml:space="preserve">Der HNI darf nicht willkürlich vom Protokoll vergeben werden. Mögliche Quellen sind lokale Bedarfsmeldungen, demokratisch beschlossene Prioritäten, Katastrophenmodus, Versorgungsstatus, Expertengremium mit Rechenschaftspflicht und transparente Projektlisten.</w:t>
      </w:r>
    </w:p>
    <w:p>
      <w:pPr>
        <w:pStyle w:val="Heading1"/>
        <w:spacing w:after="200" w:before="360"/>
      </w:pPr>
      <w:r>
        <w:rPr>
          <w:rFonts w:ascii="Calibri" w:cs="Calibri" w:eastAsia="Calibri" w:hAnsi="Calibri"/>
          <w:b/>
          <w:bCs/>
          <w:sz w:val="32"/>
          <w:szCs w:val="32"/>
        </w:rPr>
        <w:t xml:space="preserve">10. Gaia-Fonds</w:t>
      </w:r>
    </w:p>
    <w:p>
      <w:pPr>
        <w:spacing w:after="120" w:line="300"/>
      </w:pPr>
      <w:r>
        <w:rPr>
          <w:rFonts w:ascii="Calibri" w:cs="Calibri" w:eastAsia="Calibri" w:hAnsi="Calibri"/>
          <w:sz w:val="22"/>
          <w:szCs w:val="22"/>
        </w:rPr>
        <w:t xml:space="preserve">Im Bauplan ist verbindlich vorgesehen, dass ein Anteil jeder VITA-Schöpfung automatisch der ökologischen Regeneration zugutekommt. Der Bauplan definiert dies als hart codiert, nicht als Option: 10 % jeder VITA-Schöpfung fließen in den Gaia-Fonds.</w:t>
      </w:r>
    </w:p>
    <w:p>
      <w:pPr>
        <w:spacing w:after="120" w:line="300"/>
      </w:pPr>
      <w:r>
        <w:rPr>
          <w:rFonts w:ascii="Calibri" w:cs="Calibri" w:eastAsia="Calibri" w:hAnsi="Calibri"/>
          <w:sz w:val="22"/>
          <w:szCs w:val="22"/>
        </w:rPr>
        <w:t xml:space="preserve">Zweck:</w:t>
      </w:r>
    </w:p>
    <w:p>
      <w:pPr>
        <w:pStyle w:val="ListParagraph"/>
        <w:numPr>
          <w:ilvl w:val="0"/>
          <w:numId w:val="2"/>
        </w:numPr>
        <w:spacing w:after="80" w:line="290"/>
      </w:pPr>
      <w:r>
        <w:rPr>
          <w:rFonts w:ascii="Calibri" w:cs="Calibri" w:eastAsia="Calibri" w:hAnsi="Calibri"/>
          <w:sz w:val="22"/>
          <w:szCs w:val="22"/>
        </w:rPr>
        <w:t xml:space="preserve">Die Natur ist nicht länger externer Kostenfaktor.</w:t>
      </w:r>
    </w:p>
    <w:p>
      <w:pPr>
        <w:pStyle w:val="ListParagraph"/>
        <w:numPr>
          <w:ilvl w:val="0"/>
          <w:numId w:val="2"/>
        </w:numPr>
        <w:spacing w:after="80" w:line="290"/>
      </w:pPr>
      <w:r>
        <w:rPr>
          <w:rFonts w:ascii="Calibri" w:cs="Calibri" w:eastAsia="Calibri" w:hAnsi="Calibri"/>
          <w:sz w:val="22"/>
          <w:szCs w:val="22"/>
        </w:rPr>
        <w:t xml:space="preserve">Ökologische Regeneration wird strukturell mitfinanziert.</w:t>
      </w:r>
    </w:p>
    <w:p>
      <w:pPr>
        <w:pStyle w:val="ListParagraph"/>
        <w:numPr>
          <w:ilvl w:val="0"/>
          <w:numId w:val="2"/>
        </w:numPr>
        <w:spacing w:after="80" w:line="290"/>
      </w:pPr>
      <w:r>
        <w:rPr>
          <w:rFonts w:ascii="Calibri" w:cs="Calibri" w:eastAsia="Calibri" w:hAnsi="Calibri"/>
          <w:sz w:val="22"/>
          <w:szCs w:val="22"/>
        </w:rPr>
        <w:t xml:space="preserve">Jede Wertschöpfung trägt zur Heilung der Lebensgrundlagen bei.</w:t>
      </w:r>
    </w:p>
    <w:p>
      <w:pPr>
        <w:spacing w:after="120" w:line="300"/>
      </w:pPr>
      <w:r>
        <w:rPr>
          <w:rFonts w:ascii="Calibri" w:cs="Calibri" w:eastAsia="Calibri" w:hAnsi="Calibri"/>
          <w:sz w:val="22"/>
          <w:szCs w:val="22"/>
        </w:rPr>
        <w:t xml:space="preserve">Mechanik:</w:t>
      </w:r>
    </w:p>
    <w:p>
      <w:pPr>
        <w:pStyle w:val="ListParagraph"/>
        <w:numPr>
          <w:ilvl w:val="0"/>
          <w:numId w:val="3"/>
        </w:numPr>
        <w:spacing w:after="80" w:line="290"/>
      </w:pPr>
      <w:r>
        <w:rPr>
          <w:rFonts w:ascii="Calibri" w:cs="Calibri" w:eastAsia="Calibri" w:hAnsi="Calibri"/>
          <w:sz w:val="22"/>
          <w:szCs w:val="22"/>
        </w:rPr>
        <w:t xml:space="preserve">Brutto-VITA entsteht durch bestätigten Beitrag.</w:t>
      </w:r>
    </w:p>
    <w:p>
      <w:pPr>
        <w:pStyle w:val="ListParagraph"/>
        <w:numPr>
          <w:ilvl w:val="0"/>
          <w:numId w:val="3"/>
        </w:numPr>
        <w:spacing w:after="80" w:line="290"/>
      </w:pPr>
      <w:r>
        <w:rPr>
          <w:rFonts w:ascii="Calibri" w:cs="Calibri" w:eastAsia="Calibri" w:hAnsi="Calibri"/>
          <w:sz w:val="22"/>
          <w:szCs w:val="22"/>
        </w:rPr>
        <w:t xml:space="preserve">10 % gehen automatisch an den Gaia-Fonds.</w:t>
      </w:r>
    </w:p>
    <w:p>
      <w:pPr>
        <w:pStyle w:val="ListParagraph"/>
        <w:numPr>
          <w:ilvl w:val="0"/>
          <w:numId w:val="3"/>
        </w:numPr>
        <w:spacing w:after="80" w:line="290"/>
      </w:pPr>
      <w:r>
        <w:rPr>
          <w:rFonts w:ascii="Calibri" w:cs="Calibri" w:eastAsia="Calibri" w:hAnsi="Calibri"/>
          <w:sz w:val="22"/>
          <w:szCs w:val="22"/>
        </w:rPr>
        <w:t xml:space="preserve">90 % gehen an die beitragende Person.</w:t>
      </w:r>
    </w:p>
    <w:p>
      <w:pPr>
        <w:spacing w:after="120" w:line="300"/>
      </w:pPr>
      <w:r>
        <w:rPr>
          <w:rFonts w:ascii="Calibri" w:cs="Calibri" w:eastAsia="Calibri" w:hAnsi="Calibri"/>
          <w:sz w:val="22"/>
          <w:szCs w:val="22"/>
        </w:rPr>
        <w:t xml:space="preserve">Verteilung innerhalb des Fonds (Bauplan-Vorgabe):</w:t>
      </w:r>
    </w:p>
    <w:p>
      <w:pPr>
        <w:pStyle w:val="ListParagraph"/>
        <w:numPr>
          <w:ilvl w:val="0"/>
          <w:numId w:val="2"/>
        </w:numPr>
        <w:spacing w:after="80" w:line="290"/>
      </w:pPr>
      <w:r>
        <w:rPr>
          <w:rFonts w:ascii="Calibri" w:cs="Calibri" w:eastAsia="Calibri" w:hAnsi="Calibri"/>
          <w:sz w:val="22"/>
          <w:szCs w:val="22"/>
        </w:rPr>
        <w:t xml:space="preserve">70 % bleiben in der lokalen Zelle.</w:t>
      </w:r>
    </w:p>
    <w:p>
      <w:pPr>
        <w:pStyle w:val="ListParagraph"/>
        <w:numPr>
          <w:ilvl w:val="0"/>
          <w:numId w:val="2"/>
        </w:numPr>
        <w:spacing w:after="80" w:line="290"/>
      </w:pPr>
      <w:r>
        <w:rPr>
          <w:rFonts w:ascii="Calibri" w:cs="Calibri" w:eastAsia="Calibri" w:hAnsi="Calibri"/>
          <w:sz w:val="22"/>
          <w:szCs w:val="22"/>
        </w:rPr>
        <w:t xml:space="preserve">30 % fließen in einen inter-zellulären Gaia-Pool für Großprojekte.</w:t>
      </w:r>
    </w:p>
    <w:p>
      <w:pPr>
        <w:spacing w:after="120" w:line="300"/>
      </w:pPr>
      <w:r>
        <w:rPr>
          <w:rFonts w:ascii="Calibri" w:cs="Calibri" w:eastAsia="Calibri" w:hAnsi="Calibri"/>
          <w:sz w:val="22"/>
          <w:szCs w:val="22"/>
        </w:rPr>
        <w:t xml:space="preserve">Der Bauplan unterscheidet ausdrücklich zwischen lokalem und föderiertem Gaia-Pool und sieht für die globale Ebene zusätzlich einen koordinierten Regenerationsfonds vor. Diese dritte Ebene ist Phase E (Föderation) zugeordnet.</w:t>
      </w:r>
    </w:p>
    <w:p>
      <w:pPr>
        <w:pStyle w:val="Heading1"/>
        <w:spacing w:after="200" w:before="360"/>
      </w:pPr>
      <w:r>
        <w:rPr>
          <w:rFonts w:ascii="Calibri" w:cs="Calibri" w:eastAsia="Calibri" w:hAnsi="Calibri"/>
          <w:b/>
          <w:bCs/>
          <w:sz w:val="32"/>
          <w:szCs w:val="32"/>
        </w:rPr>
        <w:t xml:space="preserve">11. Demurrage / Umlauf-Impuls</w:t>
      </w:r>
    </w:p>
    <w:p>
      <w:pPr>
        <w:spacing w:after="120" w:line="300"/>
      </w:pPr>
      <w:r>
        <w:rPr>
          <w:rFonts w:ascii="Calibri" w:cs="Calibri" w:eastAsia="Calibri" w:hAnsi="Calibri"/>
          <w:sz w:val="22"/>
          <w:szCs w:val="22"/>
        </w:rPr>
        <w:t xml:space="preserve">Demurrage ist ein sanfter Wertverfall auf VITA, um Hortung unattraktiv zu machen. Der Bauplan nennt etwa 0,5 % pro Monat beziehungsweise 6 % pro Jahr.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Zustand</w:t>
            </w:r>
          </w:p>
        </w:tc>
        <w:tc>
          <w:tcPr>
            <w:tcW w:type="dxa" w:w="27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Demurrage?</w:t>
            </w:r>
          </w:p>
        </w:tc>
        <w:tc>
          <w:tcPr>
            <w:tcW w:type="dxa" w:w="48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Begründung</w:t>
            </w:r>
          </w:p>
        </w:tc>
      </w:tr>
      <w:tr>
        <w:trPr>
          <w:tblHeader w:val="false"/>
        </w:trPr>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VITA</w:t>
            </w:r>
          </w:p>
        </w:tc>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Ja</w:t>
            </w:r>
          </w:p>
        </w:tc>
        <w:tc>
          <w:tcPr>
            <w:tcW w:type="dxa" w:w="48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Soll fließen.</w:t>
            </w:r>
          </w:p>
        </w:tc>
      </w:tr>
      <w:tr>
        <w:trPr>
          <w:tblHeader w:val="false"/>
        </w:trPr>
        <w:tc>
          <w:tcPr>
            <w:tcW w:type="dxa" w:w="18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TERRA</w:t>
            </w:r>
          </w:p>
        </w:tc>
        <w:tc>
          <w:tcPr>
            <w:tcW w:type="dxa" w:w="27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Nein</w:t>
            </w:r>
          </w:p>
        </w:tc>
        <w:tc>
          <w:tcPr>
            <w:tcW w:type="dxa" w:w="48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Infrastruktur braucht Stabilität.</w:t>
            </w:r>
          </w:p>
        </w:tc>
      </w:tr>
      <w:tr>
        <w:trPr>
          <w:tblHeader w:val="false"/>
        </w:trPr>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AURA</w:t>
            </w:r>
          </w:p>
        </w:tc>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Nein / separates Verblassen</w:t>
            </w:r>
          </w:p>
        </w:tc>
        <w:tc>
          <w:tcPr>
            <w:tcW w:type="dxa" w:w="48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Reputation folgt eigener Logik.</w:t>
            </w:r>
          </w:p>
        </w:tc>
      </w:tr>
    </w:tbl>
    <w:p>
      <w:pPr>
        <w:spacing w:after="0"/>
      </w:pPr>
    </w:p>
    <w:p>
      <w:pPr>
        <w:spacing w:after="120" w:line="300"/>
      </w:pPr>
      <w:r>
        <w:rPr>
          <w:rFonts w:ascii="Calibri" w:cs="Calibri" w:eastAsia="Calibri" w:hAnsi="Calibri"/>
          <w:sz w:val="22"/>
          <w:szCs w:val="22"/>
        </w:rPr>
        <w:t xml:space="preserve">AURA kann „verblassen“, aber das ist nicht als Geld-Demurrage zu verstehen. AURA-Verblassen bedeutet: alte Beiträge verlieren langsam Gewicht, neue Beiträge halten Reputation lebendig, dauerhafte Machtkonzentration wird verhindert.</w:t>
      </w:r>
    </w:p>
    <w:p>
      <w:pPr>
        <w:pStyle w:val="Heading1"/>
        <w:spacing w:after="200" w:before="360"/>
      </w:pPr>
      <w:r>
        <w:rPr>
          <w:rFonts w:ascii="Calibri" w:cs="Calibri" w:eastAsia="Calibri" w:hAnsi="Calibri"/>
          <w:b/>
          <w:bCs/>
          <w:sz w:val="32"/>
          <w:szCs w:val="32"/>
        </w:rPr>
        <w:t xml:space="preserve">12. Grundversorgung, Würde-Status und Automatisierungsdividende</w:t>
      </w:r>
    </w:p>
    <w:p>
      <w:pPr>
        <w:pStyle w:val="Heading2"/>
        <w:spacing w:after="160" w:before="280"/>
      </w:pPr>
      <w:r>
        <w:rPr>
          <w:rFonts w:ascii="Calibri" w:cs="Calibri" w:eastAsia="Calibri" w:hAnsi="Calibri"/>
          <w:b/>
          <w:bCs/>
          <w:sz w:val="26"/>
          <w:szCs w:val="26"/>
        </w:rPr>
        <w:t xml:space="preserve">12.1 Zwei VITA-Zuflüsse</w:t>
      </w:r>
    </w:p>
    <w:p>
      <w:pPr>
        <w:spacing w:after="120" w:line="300"/>
      </w:pPr>
      <w:r>
        <w:rPr>
          <w:rFonts w:ascii="Calibri" w:cs="Calibri" w:eastAsia="Calibri" w:hAnsi="Calibri"/>
          <w:sz w:val="22"/>
          <w:szCs w:val="22"/>
        </w:rPr>
        <w:t xml:space="preserve">Der Bauplan trennt fachlich zwei VITA-Zuflüsse:</w:t>
      </w:r>
    </w:p>
    <w:p>
      <w:pPr>
        <w:pStyle w:val="ListParagraph"/>
        <w:numPr>
          <w:ilvl w:val="0"/>
          <w:numId w:val="3"/>
        </w:numPr>
        <w:spacing w:after="80" w:line="290"/>
      </w:pPr>
      <w:r>
        <w:rPr>
          <w:rFonts w:ascii="Calibri" w:cs="Calibri" w:eastAsia="Calibri" w:hAnsi="Calibri"/>
          <w:sz w:val="22"/>
          <w:szCs w:val="22"/>
        </w:rPr>
        <w:t xml:space="preserve">Beitrags-VITA – entsteht durch bestätigte nützliche Arbeit (Proof of Useful Work).</w:t>
      </w:r>
    </w:p>
    <w:p>
      <w:pPr>
        <w:pStyle w:val="ListParagraph"/>
        <w:numPr>
          <w:ilvl w:val="0"/>
          <w:numId w:val="3"/>
        </w:numPr>
        <w:spacing w:after="80" w:line="290"/>
      </w:pPr>
      <w:r>
        <w:rPr>
          <w:rFonts w:ascii="Calibri" w:cs="Calibri" w:eastAsia="Calibri" w:hAnsi="Calibri"/>
          <w:sz w:val="22"/>
          <w:szCs w:val="22"/>
        </w:rPr>
        <w:t xml:space="preserve">Würde-/Basis-VITA – entsteht aus dem Grundversorgungsanspruch der Gemeinschaft, insbesondere aus Automatisierung, Commons-Erträgen oder Gemeinschaftsbeschluss.</w:t>
      </w:r>
    </w:p>
    <w:p>
      <w:pPr>
        <w:pBdr>
          <w:left w:val="single" w:color="D4AF37" w:sz="18" w:space="12"/>
        </w:pBdr>
        <w:spacing w:after="200" w:before="160" w:line="300"/>
        <w:ind w:left="360" w:right="360"/>
      </w:pPr>
      <w:r>
        <w:rPr>
          <w:rFonts w:ascii="Calibri" w:cs="Calibri" w:eastAsia="Calibri" w:hAnsi="Calibri"/>
          <w:i/>
          <w:iCs/>
          <w:sz w:val="22"/>
          <w:szCs w:val="22"/>
        </w:rPr>
        <w:t xml:space="preserve">Rote Linie: Das Existenzminimum darf nicht vollständig vom Proof-of-Useful-Work abhängen. Sonst würde AETHER zu einer neuen Arbeitszwang-Logik.</w:t>
      </w:r>
    </w:p>
    <w:p>
      <w:pPr>
        <w:pStyle w:val="Heading2"/>
        <w:spacing w:after="160" w:before="280"/>
      </w:pPr>
      <w:r>
        <w:rPr>
          <w:rFonts w:ascii="Calibri" w:cs="Calibri" w:eastAsia="Calibri" w:hAnsi="Calibri"/>
          <w:b/>
          <w:bCs/>
          <w:sz w:val="26"/>
          <w:szCs w:val="26"/>
        </w:rPr>
        <w:t xml:space="preserve">12.2 Der Würde-Status</w:t>
      </w:r>
    </w:p>
    <w:p>
      <w:pPr>
        <w:spacing w:after="120" w:line="300"/>
      </w:pPr>
      <w:r>
        <w:rPr>
          <w:rFonts w:ascii="Calibri" w:cs="Calibri" w:eastAsia="Calibri" w:hAnsi="Calibri"/>
          <w:sz w:val="22"/>
          <w:szCs w:val="22"/>
        </w:rPr>
        <w:t xml:space="preserve">AETHER basiert auf Reziprozität: Wer beiträgt, erhält VITA und AURA. Aber nicht jeder Mensch kann beitragen. Der Bauplan beantwortet diese Frage in Kapitel 7.2.4 mit dem Würde-Status:</w:t>
      </w:r>
    </w:p>
    <w:p>
      <w:pPr>
        <w:pBdr>
          <w:left w:val="single" w:color="D4AF37" w:sz="18" w:space="12"/>
        </w:pBdr>
        <w:spacing w:after="200" w:before="160" w:line="300"/>
        <w:ind w:left="360" w:right="360"/>
      </w:pPr>
      <w:r>
        <w:rPr>
          <w:rFonts w:ascii="Calibri" w:cs="Calibri" w:eastAsia="Calibri" w:hAnsi="Calibri"/>
          <w:i/>
          <w:iCs/>
          <w:sz w:val="22"/>
          <w:szCs w:val="22"/>
        </w:rPr>
        <w:t xml:space="preserve">Manche Menschen sind wertvoll, einfach weil sie sind. Wer nachweislich nicht beitragen kann, fällt nicht aus dem Protokoll, sondern erhält automatisch einen Würde-Status mit voller Grundversorgung und mittlerer AURA.</w:t>
      </w:r>
    </w:p>
    <w:p>
      <w:pPr>
        <w:pStyle w:val="Heading3"/>
        <w:spacing w:after="120" w:before="220"/>
      </w:pPr>
      <w:r>
        <w:rPr>
          <w:rFonts w:ascii="Calibri" w:cs="Calibri" w:eastAsia="Calibri" w:hAnsi="Calibri"/>
          <w:b/>
          <w:bCs/>
          <w:sz w:val="23"/>
          <w:szCs w:val="23"/>
        </w:rPr>
        <w:t xml:space="preserve">12.2.1 Wer qualifiziert?</w:t>
      </w:r>
    </w:p>
    <w:p>
      <w:pPr>
        <w:spacing w:after="120" w:line="300"/>
      </w:pPr>
      <w:r>
        <w:rPr>
          <w:rFonts w:ascii="Calibri" w:cs="Calibri" w:eastAsia="Calibri" w:hAnsi="Calibri"/>
          <w:sz w:val="22"/>
          <w:szCs w:val="22"/>
        </w:rPr>
        <w:t xml:space="preserve">Der Würde-Status setzt eine medizinisch zertifizierte, dauerhafte Unfähigkeit zur Arbeit voraus. Beispiele aus dem Bauplan:</w:t>
      </w:r>
    </w:p>
    <w:p>
      <w:pPr>
        <w:pStyle w:val="ListParagraph"/>
        <w:numPr>
          <w:ilvl w:val="0"/>
          <w:numId w:val="2"/>
        </w:numPr>
        <w:spacing w:after="80" w:line="290"/>
      </w:pPr>
      <w:r>
        <w:rPr>
          <w:rFonts w:ascii="Calibri" w:cs="Calibri" w:eastAsia="Calibri" w:hAnsi="Calibri"/>
          <w:sz w:val="22"/>
          <w:szCs w:val="22"/>
        </w:rPr>
        <w:t xml:space="preserve">Wachkoma.</w:t>
      </w:r>
    </w:p>
    <w:p>
      <w:pPr>
        <w:pStyle w:val="ListParagraph"/>
        <w:numPr>
          <w:ilvl w:val="0"/>
          <w:numId w:val="2"/>
        </w:numPr>
        <w:spacing w:after="80" w:line="290"/>
      </w:pPr>
      <w:r>
        <w:rPr>
          <w:rFonts w:ascii="Calibri" w:cs="Calibri" w:eastAsia="Calibri" w:hAnsi="Calibri"/>
          <w:sz w:val="22"/>
          <w:szCs w:val="22"/>
        </w:rPr>
        <w:t xml:space="preserve">Fortgeschrittene Demenz.</w:t>
      </w:r>
    </w:p>
    <w:p>
      <w:pPr>
        <w:pStyle w:val="ListParagraph"/>
        <w:numPr>
          <w:ilvl w:val="0"/>
          <w:numId w:val="2"/>
        </w:numPr>
        <w:spacing w:after="80" w:line="290"/>
      </w:pPr>
      <w:r>
        <w:rPr>
          <w:rFonts w:ascii="Calibri" w:cs="Calibri" w:eastAsia="Calibri" w:hAnsi="Calibri"/>
          <w:sz w:val="22"/>
          <w:szCs w:val="22"/>
        </w:rPr>
        <w:t xml:space="preserve">Schwere zerebrale oder körperliche Behinderung.</w:t>
      </w:r>
    </w:p>
    <w:p>
      <w:pPr>
        <w:spacing w:after="120" w:line="300"/>
      </w:pPr>
      <w:r>
        <w:rPr>
          <w:rFonts w:ascii="Calibri" w:cs="Calibri" w:eastAsia="Calibri" w:hAnsi="Calibri"/>
          <w:sz w:val="22"/>
          <w:szCs w:val="22"/>
        </w:rPr>
        <w:t xml:space="preserve">Nicht qualifiziert:</w:t>
      </w:r>
    </w:p>
    <w:p>
      <w:pPr>
        <w:pStyle w:val="ListParagraph"/>
        <w:numPr>
          <w:ilvl w:val="0"/>
          <w:numId w:val="2"/>
        </w:numPr>
        <w:spacing w:after="80" w:line="290"/>
      </w:pPr>
      <w:r>
        <w:rPr>
          <w:rFonts w:ascii="Calibri" w:cs="Calibri" w:eastAsia="Calibri" w:hAnsi="Calibri"/>
          <w:sz w:val="22"/>
          <w:szCs w:val="22"/>
        </w:rPr>
        <w:t xml:space="preserve">Temporäre Krankheit (wird über andere Mechanismen abgedeckt, z.B. Solidaritäts-Pool).</w:t>
      </w:r>
    </w:p>
    <w:p>
      <w:pPr>
        <w:pStyle w:val="ListParagraph"/>
        <w:numPr>
          <w:ilvl w:val="0"/>
          <w:numId w:val="2"/>
        </w:numPr>
        <w:spacing w:after="80" w:line="290"/>
      </w:pPr>
      <w:r>
        <w:rPr>
          <w:rFonts w:ascii="Calibri" w:cs="Calibri" w:eastAsia="Calibri" w:hAnsi="Calibri"/>
          <w:sz w:val="22"/>
          <w:szCs w:val="22"/>
        </w:rPr>
        <w:t xml:space="preserve">Unwille zur Arbeit (das ist Free-Rider, nicht Würde-Status).</w:t>
      </w:r>
    </w:p>
    <w:p>
      <w:pPr>
        <w:pStyle w:val="Heading3"/>
        <w:spacing w:after="120" w:before="220"/>
      </w:pPr>
      <w:r>
        <w:rPr>
          <w:rFonts w:ascii="Calibri" w:cs="Calibri" w:eastAsia="Calibri" w:hAnsi="Calibri"/>
          <w:b/>
          <w:bCs/>
          <w:sz w:val="23"/>
          <w:szCs w:val="23"/>
        </w:rPr>
        <w:t xml:space="preserve">12.2.2 Was beinhaltet der Würde-Status?</w:t>
      </w:r>
    </w:p>
    <w:p>
      <w:pPr>
        <w:pStyle w:val="ListParagraph"/>
        <w:numPr>
          <w:ilvl w:val="0"/>
          <w:numId w:val="2"/>
        </w:numPr>
        <w:spacing w:after="80" w:line="290"/>
      </w:pPr>
      <w:r>
        <w:rPr>
          <w:rFonts w:ascii="Calibri" w:cs="Calibri" w:eastAsia="Calibri" w:hAnsi="Calibri"/>
          <w:sz w:val="22"/>
          <w:szCs w:val="22"/>
        </w:rPr>
        <w:t xml:space="preserve">Mittlere AURA (z.B. 50 von 100), automatisch und ohne Beitragsnachweis.</w:t>
      </w:r>
    </w:p>
    <w:p>
      <w:pPr>
        <w:pStyle w:val="ListParagraph"/>
        <w:numPr>
          <w:ilvl w:val="0"/>
          <w:numId w:val="2"/>
        </w:numPr>
        <w:spacing w:after="80" w:line="290"/>
      </w:pPr>
      <w:r>
        <w:rPr>
          <w:rFonts w:ascii="Calibri" w:cs="Calibri" w:eastAsia="Calibri" w:hAnsi="Calibri"/>
          <w:sz w:val="22"/>
          <w:szCs w:val="22"/>
        </w:rPr>
        <w:t xml:space="preserve">Volle Grundversorgung in VITA – Wohnen, Essen, Gesundheit, Mobilität.</w:t>
      </w:r>
    </w:p>
    <w:p>
      <w:pPr>
        <w:pStyle w:val="ListParagraph"/>
        <w:numPr>
          <w:ilvl w:val="0"/>
          <w:numId w:val="2"/>
        </w:numPr>
        <w:spacing w:after="80" w:line="290"/>
      </w:pPr>
      <w:r>
        <w:rPr>
          <w:rFonts w:ascii="Calibri" w:cs="Calibri" w:eastAsia="Calibri" w:hAnsi="Calibri"/>
          <w:sz w:val="22"/>
          <w:szCs w:val="22"/>
        </w:rPr>
        <w:t xml:space="preserve">Zugang zu kulturellen und sozialen Angeboten.</w:t>
      </w:r>
    </w:p>
    <w:p>
      <w:pPr>
        <w:pStyle w:val="ListParagraph"/>
        <w:numPr>
          <w:ilvl w:val="0"/>
          <w:numId w:val="2"/>
        </w:numPr>
        <w:spacing w:after="80" w:line="290"/>
      </w:pPr>
      <w:r>
        <w:rPr>
          <w:rFonts w:ascii="Calibri" w:cs="Calibri" w:eastAsia="Calibri" w:hAnsi="Calibri"/>
          <w:sz w:val="22"/>
          <w:szCs w:val="22"/>
        </w:rPr>
        <w:t xml:space="preserve">Anspruch auf Pflege und Begleitung ohne Abzüge.</w:t>
      </w:r>
    </w:p>
    <w:p>
      <w:pPr>
        <w:pStyle w:val="Heading3"/>
        <w:spacing w:after="120" w:before="220"/>
      </w:pPr>
      <w:r>
        <w:rPr>
          <w:rFonts w:ascii="Calibri" w:cs="Calibri" w:eastAsia="Calibri" w:hAnsi="Calibri"/>
          <w:b/>
          <w:bCs/>
          <w:sz w:val="23"/>
          <w:szCs w:val="23"/>
        </w:rPr>
        <w:t xml:space="preserve">12.2.3 Wer pflegt diese Menschen?</w:t>
      </w:r>
    </w:p>
    <w:p>
      <w:pPr>
        <w:spacing w:after="120" w:line="300"/>
      </w:pPr>
      <w:r>
        <w:rPr>
          <w:rFonts w:ascii="Calibri" w:cs="Calibri" w:eastAsia="Calibri" w:hAnsi="Calibri"/>
          <w:sz w:val="22"/>
          <w:szCs w:val="22"/>
        </w:rPr>
        <w:t xml:space="preserve">Pflegende erhalten volle Care-VITA wie bei jeder anderen Pflegetätigkeit, plus einen AURA-Bonus für besonders schwere Pflege. Das ist nicht Almosen-Logik, sondern strukturelle Anerkennung der Pflegearbeit – passend zur 3,0-Obergrenze des Skill-Multiplikators für Care-Arbeit.</w:t>
      </w:r>
    </w:p>
    <w:p>
      <w:pPr>
        <w:pStyle w:val="Heading3"/>
        <w:spacing w:after="120" w:before="220"/>
      </w:pPr>
      <w:r>
        <w:rPr>
          <w:rFonts w:ascii="Calibri" w:cs="Calibri" w:eastAsia="Calibri" w:hAnsi="Calibri"/>
          <w:b/>
          <w:bCs/>
          <w:sz w:val="23"/>
          <w:szCs w:val="23"/>
        </w:rPr>
        <w:t xml:space="preserve">12.2.4 Warum ist das wichtig?</w:t>
      </w:r>
    </w:p>
    <w:p>
      <w:pPr>
        <w:spacing w:after="120" w:line="300"/>
      </w:pPr>
      <w:r>
        <w:rPr>
          <w:rFonts w:ascii="Calibri" w:cs="Calibri" w:eastAsia="Calibri" w:hAnsi="Calibri"/>
          <w:sz w:val="22"/>
          <w:szCs w:val="22"/>
        </w:rPr>
        <w:t xml:space="preserve">Ohne Würde-Status liest sich AETHER wie ein verfeinerter Leistungszwang. Mit Würde-Status macht das Protokoll explizit: Eine Zivilisation misst sich daran, wie sie mit den Schwächsten umgeht – nicht nur mit den Produktivsten. Diese Unterscheidung ist nicht Luxus, sondern Bedingung dafür, dass AETHER sich von „Sozialpunkten“ kategorial unterscheidet.</w:t>
      </w:r>
    </w:p>
    <w:p>
      <w:pPr>
        <w:pStyle w:val="Heading3"/>
      </w:pPr>
      <w:r>
        <w:t>12.2.5 Temporärer Schutzstatus</w:t>
      </w:r>
    </w:p>
    <w:p>
      <w:r>
        <w:t>Neben dem dauerhaften Würde-Status braucht AETHER einen temporären Schutzstatus für Menschen, die vorübergehend nicht oder nur eingeschränkt beitragen können. Ohne diese Zwischenkategorie entsteht eine harte und unmenschliche Lücke zwischen „voll leistungsfähig“ und „dauerhaft arbeitsunfähig“.</w:t>
      </w:r>
    </w:p>
    <w:p>
      <w:r>
        <w:t>Mögliche Schutzgründe:</w:t>
      </w:r>
    </w:p>
    <w:p>
      <w:pPr>
        <w:pStyle w:val="ListParagraph"/>
      </w:pPr>
      <w:r>
        <w:t>Akute oder längere Krankheit.</w:t>
      </w:r>
    </w:p>
    <w:p>
      <w:pPr>
        <w:pStyle w:val="ListParagraph"/>
      </w:pPr>
      <w:r>
        <w:t>Trauma, psychische Krise, Burnout oder Depression.</w:t>
      </w:r>
    </w:p>
    <w:p>
      <w:pPr>
        <w:pStyle w:val="ListParagraph"/>
      </w:pPr>
      <w:r>
        <w:t>Trauerphase nach Tod, Trennung oder schwerem Verlust.</w:t>
      </w:r>
    </w:p>
    <w:p>
      <w:pPr>
        <w:pStyle w:val="ListParagraph"/>
      </w:pPr>
      <w:r>
        <w:t>Erholungsphase nach Überlastung oder Pflegebelastung.</w:t>
      </w:r>
    </w:p>
    <w:p>
      <w:pPr>
        <w:pStyle w:val="ListParagraph"/>
      </w:pPr>
      <w:r>
        <w:t>Pflegezeit für Angehörige oder nahestehende Menschen.</w:t>
      </w:r>
    </w:p>
    <w:p>
      <w:pPr>
        <w:pStyle w:val="ListParagraph"/>
      </w:pPr>
      <w:r>
        <w:t>Schwangerschaft, Wochenbett oder besondere familiäre Belastung.</w:t>
      </w:r>
    </w:p>
    <w:p>
      <w:r>
        <w:t>Der temporäre Schutzstatus soll zeitlich begrenzt, niedrigschwellig, würdevoll und überprüfbar sein. Er darf nicht als Misstrauensinstrument wirken. Ziel ist Schutz, nicht Kontrolle.</w:t>
      </w:r>
    </w:p>
    <w:p>
      <w:r>
        <w:t>Für diese Phase erhält die Person weiterhin Grundversorgung. Beitrags- und AURA-Erwartungen werden reduziert oder ausgesetzt. Nach Ablauf erfolgt keine Sanktion, sondern ein menschliches Rückkehrgespräch beziehungsweise eine Verlängerungsprüfung.</w:t>
      </w:r>
    </w:p>
    <w:p>
      <w:pPr>
        <w:pStyle w:val="Heading2"/>
        <w:spacing w:after="160" w:before="280"/>
      </w:pPr>
      <w:r>
        <w:rPr>
          <w:rFonts w:ascii="Calibri" w:cs="Calibri" w:eastAsia="Calibri" w:hAnsi="Calibri"/>
          <w:b/>
          <w:bCs/>
          <w:sz w:val="26"/>
          <w:szCs w:val="26"/>
        </w:rPr>
        <w:t xml:space="preserve">12.3 Berechnung der Grundversorgung</w:t>
      </w:r>
    </w:p>
    <w:p>
      <w:pPr>
        <w:spacing w:after="120" w:line="300"/>
      </w:pPr>
      <w:r>
        <w:rPr>
          <w:rFonts w:ascii="Calibri" w:cs="Calibri" w:eastAsia="Calibri" w:hAnsi="Calibri"/>
          <w:sz w:val="22"/>
          <w:szCs w:val="22"/>
        </w:rPr>
        <w:t xml:space="preserve">Diskussionsfrage: Soll die Grundversorgung als fixer monatlicher Betrag, bedarfsabhängig, über Sachleistungen plus kleiner VITA-Betrag, über einen lokalen Warenkorb oder dynamisch über HNI und reale Versorgungslage berechnet werden?</w:t>
      </w:r>
    </w:p>
    <w:p>
      <w:pPr>
        <w:spacing w:after="120" w:line="300"/>
      </w:pPr>
      <w:r>
        <w:rPr>
          <w:rFonts w:ascii="Calibri" w:cs="Calibri" w:eastAsia="Calibri" w:hAnsi="Calibri"/>
          <w:sz w:val="22"/>
          <w:szCs w:val="22"/>
        </w:rPr>
        <w:t xml:space="preserve">Bauplan-Referenzwert: ca. 800 VITA pro Monat decken Wohnen (300), Nahrung (200), Grundversorgung (150), Puffer (150). Diese Zahl ist Beispielwert und lokal anpassbar.</w:t>
      </w:r>
    </w:p>
    <w:p>
      <w:pPr>
        <w:pStyle w:val="Heading1"/>
        <w:spacing w:after="200" w:before="360"/>
      </w:pPr>
      <w:r>
        <w:rPr>
          <w:rFonts w:ascii="Calibri" w:cs="Calibri" w:eastAsia="Calibri" w:hAnsi="Calibri"/>
          <w:b/>
          <w:bCs/>
          <w:sz w:val="32"/>
          <w:szCs w:val="32"/>
        </w:rPr>
        <w:t xml:space="preserve">13. TERRA-Schöpfungsverfahren</w:t>
      </w:r>
    </w:p>
    <w:p>
      <w:pPr>
        <w:spacing w:after="120" w:line="300"/>
      </w:pPr>
      <w:r>
        <w:rPr>
          <w:rFonts w:ascii="Calibri" w:cs="Calibri" w:eastAsia="Calibri" w:hAnsi="Calibri"/>
          <w:sz w:val="22"/>
          <w:szCs w:val="22"/>
        </w:rPr>
        <w:t>Dieses Kapitel wurde in v0.2 eingeführt und in v0.3 ergänzt. Es übersetzt die fachlichen Konzepte aus Kapitel 4 bis 13 in konkrete technische Verortungen innerhalb der bestehenden OneApp-Architektur (Stand v0.1.12-alpha) und bewertet, wo Erweiterungen oder neue Module nötig sind.</w:t>
      </w:r>
    </w:p>
    <w:p>
      <w:pPr>
        <w:pStyle w:val="Heading2"/>
        <w:spacing w:after="160" w:before="280"/>
      </w:pPr>
      <w:r>
        <w:rPr>
          <w:rFonts w:ascii="Calibri" w:cs="Calibri" w:eastAsia="Calibri" w:hAnsi="Calibri"/>
          <w:b/>
          <w:bCs/>
          <w:sz w:val="26"/>
          <w:szCs w:val="26"/>
        </w:rPr>
        <w:t xml:space="preserve">13.1 Drei Bedeutungen sauber trennen</w:t>
      </w:r>
    </w:p>
    <w:p>
      <w:pPr>
        <w:spacing w:after="120" w:line="300"/>
      </w:pPr>
      <w:r>
        <w:rPr>
          <w:rFonts w:ascii="Calibri" w:cs="Calibri" w:eastAsia="Calibri" w:hAnsi="Calibri"/>
          <w:sz w:val="22"/>
          <w:szCs w:val="22"/>
        </w:rPr>
        <w:t xml:space="preserve">TERRA kann drei semantisch verschiedene Dinge bedeuten:</w:t>
      </w:r>
    </w:p>
    <w:p>
      <w:pPr>
        <w:pStyle w:val="ListParagraph"/>
        <w:numPr>
          <w:ilvl w:val="0"/>
          <w:numId w:val="3"/>
        </w:numPr>
        <w:spacing w:after="80" w:line="290"/>
      </w:pPr>
      <w:r>
        <w:rPr>
          <w:rFonts w:ascii="Calibri" w:cs="Calibri" w:eastAsia="Calibri" w:hAnsi="Calibri"/>
          <w:sz w:val="22"/>
          <w:szCs w:val="22"/>
        </w:rPr>
        <w:t xml:space="preserve">Projektbudget – wieviel VITA wurde für ein Infrastrukturprojekt zweckgewidmet?</w:t>
      </w:r>
    </w:p>
    <w:p>
      <w:pPr>
        <w:pStyle w:val="ListParagraph"/>
        <w:numPr>
          <w:ilvl w:val="0"/>
          <w:numId w:val="3"/>
        </w:numPr>
        <w:spacing w:after="80" w:line="290"/>
      </w:pPr>
      <w:r>
        <w:rPr>
          <w:rFonts w:ascii="Calibri" w:cs="Calibri" w:eastAsia="Calibri" w:hAnsi="Calibri"/>
          <w:sz w:val="22"/>
          <w:szCs w:val="22"/>
        </w:rPr>
        <w:t xml:space="preserve">Infrastrukturanteil – welcher Anteil an einer fertigen Infrastruktur (Werkstatt, Solaranlage) ist welcher Person zugeordnet?</w:t>
      </w:r>
    </w:p>
    <w:p>
      <w:pPr>
        <w:pStyle w:val="ListParagraph"/>
        <w:numPr>
          <w:ilvl w:val="0"/>
          <w:numId w:val="3"/>
        </w:numPr>
        <w:spacing w:after="80" w:line="290"/>
      </w:pPr>
      <w:r>
        <w:rPr>
          <w:rFonts w:ascii="Calibri" w:cs="Calibri" w:eastAsia="Calibri" w:hAnsi="Calibri"/>
          <w:sz w:val="22"/>
          <w:szCs w:val="22"/>
        </w:rPr>
        <w:t xml:space="preserve">Nutzungsrecht – welche Berechtigung hat eine Person, eine Infrastruktur zu nutzen?</w:t>
      </w:r>
    </w:p>
    <w:p>
      <w:pPr>
        <w:spacing w:after="120" w:line="300"/>
      </w:pPr>
      <w:r>
        <w:rPr>
          <w:rFonts w:ascii="Calibri" w:cs="Calibri" w:eastAsia="Calibri" w:hAnsi="Calibri"/>
          <w:sz w:val="22"/>
          <w:szCs w:val="22"/>
        </w:rPr>
        <w:t xml:space="preserve">Diese drei Bedeutungen müssen technisch getrennt sein. Vorschlag für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Bedeutung</w:t>
            </w:r>
          </w:p>
        </w:tc>
        <w:tc>
          <w:tcPr>
            <w:tcW w:type="dxa" w:w="33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Technisches Konstrukt</w:t>
            </w:r>
          </w:p>
        </w:tc>
        <w:tc>
          <w:tcPr>
            <w:tcW w:type="dxa" w:w="36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Bezug zur OneApp-Architektur</w:t>
            </w:r>
          </w:p>
        </w:tc>
      </w:tr>
      <w:tr>
        <w:trPr>
          <w:tblHeader w:val="false"/>
        </w:trP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Projektbudget</w:t>
            </w:r>
          </w:p>
        </w:tc>
        <w:tc>
          <w:tcPr>
            <w:tcW w:type="dxa" w:w="3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TERRA-Pool, gebunden an Proposal-ID.</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Erweiterung der bestehenden Proposals-Tabelle um Budget-Felder.</w:t>
            </w:r>
          </w:p>
        </w:tc>
      </w:tr>
      <w:tr>
        <w:trPr>
          <w:tblHeader w:val="false"/>
        </w:trPr>
        <w:tc>
          <w:tcPr>
            <w:tcW w:type="dxa" w:w="24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Infrastrukturanteil</w:t>
            </w:r>
          </w:p>
        </w:tc>
        <w:tc>
          <w:tcPr>
            <w:tcW w:type="dxa" w:w="33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Anteilsbuchung pro DID, projektbezogen.</w:t>
            </w:r>
          </w:p>
        </w:tc>
        <w:tc>
          <w:tcPr>
            <w:tcW w:type="dxa" w:w="36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Neue Tabelle terra_shares (proposal_id, did, amount).</w:t>
            </w:r>
          </w:p>
        </w:tc>
      </w:tr>
      <w:tr>
        <w:trPr>
          <w:tblHeader w:val="false"/>
        </w:trP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Nutzungsrecht</w:t>
            </w:r>
          </w:p>
        </w:tc>
        <w:tc>
          <w:tcPr>
            <w:tcW w:type="dxa" w:w="3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Berechtigungsregel pro Infrastruktur, projektbezogen.</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Neue Tabelle terra_usage_rights (proposal_id, did, scope).</w:t>
            </w:r>
          </w:p>
        </w:tc>
      </w:tr>
    </w:tbl>
    <w:p>
      <w:pPr>
        <w:spacing w:after="0"/>
      </w:pPr>
    </w:p>
    <w:p>
      <w:pPr>
        <w:pStyle w:val="Heading2"/>
        <w:spacing w:after="160" w:before="280"/>
      </w:pPr>
      <w:r>
        <w:rPr>
          <w:rFonts w:ascii="Calibri" w:cs="Calibri" w:eastAsia="Calibri" w:hAnsi="Calibri"/>
          <w:b/>
          <w:bCs/>
          <w:sz w:val="26"/>
          <w:szCs w:val="26"/>
        </w:rPr>
        <w:t xml:space="preserve">13.2 Schöpfungsverfahren – End-to-End</w:t>
      </w:r>
    </w:p>
    <w:p>
      <w:pPr>
        <w:spacing w:after="120" w:line="300"/>
      </w:pPr>
      <w:r>
        <w:rPr>
          <w:rFonts w:ascii="Calibri" w:cs="Calibri" w:eastAsia="Calibri" w:hAnsi="Calibri"/>
          <w:sz w:val="22"/>
          <w:szCs w:val="22"/>
        </w:rPr>
        <w:t xml:space="preserve">Die TERRA-Schöpfung folgt einem klar abgestuften Verfahren, das sich nahtlos in die bestehenden G1 Proposals und die kommende G2 Liquid Democracy einfügt:</w:t>
      </w:r>
    </w:p>
    <w:p>
      <w:pPr>
        <w:pStyle w:val="ListParagraph"/>
        <w:numPr>
          <w:ilvl w:val="0"/>
          <w:numId w:val="3"/>
        </w:numPr>
        <w:spacing w:after="80" w:line="290"/>
      </w:pPr>
      <w:r>
        <w:rPr>
          <w:rFonts w:ascii="Calibri" w:cs="Calibri" w:eastAsia="Calibri" w:hAnsi="Calibri"/>
          <w:sz w:val="22"/>
          <w:szCs w:val="22"/>
        </w:rPr>
        <w:t xml:space="preserve">Initiator-Antrag: Eine Person oder Gruppe stellt einen Proposal in der Zelle: „Wir wollen eine Solaranlage bauen, geschätztes Budget X VITA, geschätzter TERRA-Wert nach Fertigstellung Y TERRA.“</w:t>
      </w:r>
    </w:p>
    <w:p>
      <w:pPr>
        <w:pStyle w:val="ListParagraph"/>
        <w:numPr>
          <w:ilvl w:val="0"/>
          <w:numId w:val="3"/>
        </w:numPr>
        <w:spacing w:after="80" w:line="290"/>
      </w:pPr>
      <w:r>
        <w:rPr>
          <w:rFonts w:ascii="Calibri" w:cs="Calibri" w:eastAsia="Calibri" w:hAnsi="Calibri"/>
          <w:sz w:val="22"/>
          <w:szCs w:val="22"/>
        </w:rPr>
        <w:t xml:space="preserve">Diskussionsphase: Wie bei jedem Proposal entsteht automatisch ein Diskussions-Thread im Zell-Kanal.</w:t>
      </w:r>
    </w:p>
    <w:p>
      <w:pPr>
        <w:pStyle w:val="ListParagraph"/>
        <w:numPr>
          <w:ilvl w:val="0"/>
          <w:numId w:val="3"/>
        </w:numPr>
        <w:spacing w:after="80" w:line="290"/>
      </w:pPr>
      <w:r>
        <w:rPr>
          <w:rFonts w:ascii="Calibri" w:cs="Calibri" w:eastAsia="Calibri" w:hAnsi="Calibri"/>
          <w:sz w:val="22"/>
          <w:szCs w:val="22"/>
        </w:rPr>
        <w:t xml:space="preserve">Abstimmung (G2): Die Zelle stimmt über die Genehmigung des Projekts ab. Quorum und Mehrheitsregel folgen den G2-Regeln (Liquid Democracy mit Quadratic Voting).</w:t>
      </w:r>
    </w:p>
    <w:p>
      <w:pPr>
        <w:pStyle w:val="ListParagraph"/>
        <w:numPr>
          <w:ilvl w:val="0"/>
          <w:numId w:val="3"/>
        </w:numPr>
        <w:spacing w:after="80" w:line="290"/>
      </w:pPr>
      <w:r>
        <w:rPr>
          <w:rFonts w:ascii="Calibri" w:cs="Calibri" w:eastAsia="Calibri" w:hAnsi="Calibri"/>
          <w:sz w:val="22"/>
          <w:szCs w:val="22"/>
        </w:rPr>
        <w:t xml:space="preserve">Widmung: Bei Annahme werden VITA aus den Konten der zustimmenden Person gebunden – nicht abgezogen, sondern in einen TERRA-Pool gewidmet, der an die Proposal-ID gebunden ist.</w:t>
      </w:r>
    </w:p>
    <w:p>
      <w:pPr>
        <w:pStyle w:val="ListParagraph"/>
        <w:numPr>
          <w:ilvl w:val="0"/>
          <w:numId w:val="3"/>
        </w:numPr>
        <w:spacing w:after="80" w:line="290"/>
      </w:pPr>
      <w:r>
        <w:rPr>
          <w:rFonts w:ascii="Calibri" w:cs="Calibri" w:eastAsia="Calibri" w:hAnsi="Calibri"/>
          <w:sz w:val="22"/>
          <w:szCs w:val="22"/>
        </w:rPr>
        <w:t xml:space="preserve">Bauphase: Während der Umsetzung werden geleistete Arbeitsstunden ganz normal als PoUW erfasst und aus dem TERRA-Pool ausgezahlt (in VITA an die Bauenden).</w:t>
      </w:r>
    </w:p>
    <w:p>
      <w:pPr>
        <w:pStyle w:val="ListParagraph"/>
        <w:numPr>
          <w:ilvl w:val="0"/>
          <w:numId w:val="3"/>
        </w:numPr>
        <w:spacing w:after="80" w:line="290"/>
      </w:pPr>
      <w:r>
        <w:rPr>
          <w:rFonts w:ascii="Calibri" w:cs="Calibri" w:eastAsia="Calibri" w:hAnsi="Calibri"/>
          <w:sz w:val="22"/>
          <w:szCs w:val="22"/>
        </w:rPr>
        <w:t xml:space="preserve">Abschluss &amp; Anerkennung: Nach Fertigstellung beschließt die Zelle, dass das Projekt erfolgreich abgeschlossen ist. Die verbliebenen gebundenen VITA werden in TERRA-Anteile (terra_shares) konvertiert und auf die Beteiligten verteilt – proportional zu ihrem Beitrag (Arbeit oder VITA-Widmung).</w:t>
      </w:r>
    </w:p>
    <w:p>
      <w:pPr>
        <w:pStyle w:val="ListParagraph"/>
        <w:numPr>
          <w:ilvl w:val="0"/>
          <w:numId w:val="3"/>
        </w:numPr>
        <w:spacing w:after="80" w:line="290"/>
      </w:pPr>
      <w:r>
        <w:rPr>
          <w:rFonts w:ascii="Calibri" w:cs="Calibri" w:eastAsia="Calibri" w:hAnsi="Calibri"/>
          <w:sz w:val="22"/>
          <w:szCs w:val="22"/>
        </w:rPr>
        <w:t xml:space="preserve">Nutzung: Nutzungsrechte (terra_usage_rights) werden separat geregelt – meist offen für alle Zellen-Mitglieder, optional eingeschränkt für sicherheitskritische Anlagen.</w:t>
      </w:r>
    </w:p>
    <w:p>
      <w:pPr>
        <w:pStyle w:val="Heading2"/>
        <w:spacing w:after="160" w:before="280"/>
      </w:pPr>
      <w:r>
        <w:rPr>
          <w:rFonts w:ascii="Calibri" w:cs="Calibri" w:eastAsia="Calibri" w:hAnsi="Calibri"/>
          <w:b/>
          <w:bCs/>
          <w:sz w:val="26"/>
          <w:szCs w:val="26"/>
        </w:rPr>
        <w:t xml:space="preserve">13.3 Spekulationsschutz</w:t>
      </w:r>
    </w:p>
    <w:p>
      <w:pPr>
        <w:spacing w:after="120" w:line="300"/>
      </w:pPr>
      <w:r>
        <w:rPr>
          <w:rFonts w:ascii="Calibri" w:cs="Calibri" w:eastAsia="Calibri" w:hAnsi="Calibri"/>
          <w:sz w:val="22"/>
          <w:szCs w:val="22"/>
        </w:rPr>
        <w:t xml:space="preserve">TERRA-Anteile sind nicht handelbar. Sie sind nicht in VITA rückkonvertierbar. Sie sind nicht vererbbar. Sie verfallen, wenn ihre Inhaberin die Zelle verlässt – die Anteile gehen dann zurück an die Zelle (nicht an einzelne Personen).</w:t>
      </w:r>
    </w:p>
    <w:p>
      <w:pPr>
        <w:spacing w:after="120" w:line="300"/>
      </w:pPr>
      <w:r>
        <w:rPr>
          <w:rFonts w:ascii="Calibri" w:cs="Calibri" w:eastAsia="Calibri" w:hAnsi="Calibri"/>
          <w:sz w:val="22"/>
          <w:szCs w:val="22"/>
        </w:rPr>
        <w:t xml:space="preserve">Diese Härte ist gewollt und unterscheidet TERRA fundamental von Aktien, Token oder anderen handelbaren Eigentumstiteln. TERRA ist Gemeineigentum mit Anteilsbuchung, kein Privatvermögen.</w:t>
      </w:r>
    </w:p>
    <w:p>
      <w:pPr>
        <w:pStyle w:val="Heading1"/>
        <w:spacing w:after="200" w:before="360"/>
      </w:pPr>
      <w:r>
        <w:rPr>
          <w:rFonts w:ascii="Calibri" w:cs="Calibri" w:eastAsia="Calibri" w:hAnsi="Calibri"/>
          <w:b/>
          <w:bCs/>
          <w:sz w:val="32"/>
          <w:szCs w:val="32"/>
        </w:rPr>
        <w:t xml:space="preserve">14. Rechtliche und steuerliche Einordnung</w:t>
      </w:r>
    </w:p>
    <w:p>
      <w:pPr>
        <w:spacing w:after="120" w:line="300"/>
      </w:pPr>
      <w:r>
        <w:rPr>
          <w:rFonts w:ascii="Calibri" w:cs="Calibri" w:eastAsia="Calibri" w:hAnsi="Calibri"/>
          <w:sz w:val="22"/>
          <w:szCs w:val="22"/>
        </w:rPr>
        <w:t xml:space="preserve">Dieser Abschnitt muss später unbedingt mit Fachleuten geprüft werden. Für die erste Entwicklungsphase sollte AETHER ausdrücklich als internes Simulations-, Koordinations- und Verrechnungsprotokoll ohne externe Zahlungszusage behandelt werden.</w:t>
      </w:r>
    </w:p>
    <w:p>
      <w:pPr>
        <w:spacing w:after="120" w:line="300"/>
      </w:pPr>
      <w:r>
        <w:rPr>
          <w:rFonts w:ascii="Calibri" w:cs="Calibri" w:eastAsia="Calibri" w:hAnsi="Calibri"/>
          <w:b/>
          <w:bCs/>
          <w:sz w:val="22"/>
          <w:szCs w:val="22"/>
        </w:rPr>
        <w:t xml:space="preserve">Nicht tun in Phase 1:</w:t>
      </w:r>
    </w:p>
    <w:p>
      <w:pPr>
        <w:pStyle w:val="ListParagraph"/>
        <w:numPr>
          <w:ilvl w:val="0"/>
          <w:numId w:val="2"/>
        </w:numPr>
        <w:spacing w:after="80" w:line="290"/>
      </w:pPr>
      <w:r>
        <w:rPr>
          <w:rFonts w:ascii="Calibri" w:cs="Calibri" w:eastAsia="Calibri" w:hAnsi="Calibri"/>
          <w:sz w:val="22"/>
          <w:szCs w:val="22"/>
        </w:rPr>
        <w:t xml:space="preserve">Keine Euro-Konvertierung.</w:t>
      </w:r>
    </w:p>
    <w:p>
      <w:pPr>
        <w:pStyle w:val="ListParagraph"/>
        <w:numPr>
          <w:ilvl w:val="0"/>
          <w:numId w:val="2"/>
        </w:numPr>
        <w:spacing w:after="80" w:line="290"/>
      </w:pPr>
      <w:r>
        <w:rPr>
          <w:rFonts w:ascii="Calibri" w:cs="Calibri" w:eastAsia="Calibri" w:hAnsi="Calibri"/>
          <w:sz w:val="22"/>
          <w:szCs w:val="22"/>
        </w:rPr>
        <w:t xml:space="preserve">Kein Verkauf von VITA.</w:t>
      </w:r>
    </w:p>
    <w:p>
      <w:pPr>
        <w:pStyle w:val="ListParagraph"/>
        <w:numPr>
          <w:ilvl w:val="0"/>
          <w:numId w:val="2"/>
        </w:numPr>
        <w:spacing w:after="80" w:line="290"/>
      </w:pPr>
      <w:r>
        <w:rPr>
          <w:rFonts w:ascii="Calibri" w:cs="Calibri" w:eastAsia="Calibri" w:hAnsi="Calibri"/>
          <w:sz w:val="22"/>
          <w:szCs w:val="22"/>
        </w:rPr>
        <w:t xml:space="preserve">Keine Auszahlung.</w:t>
      </w:r>
    </w:p>
    <w:p>
      <w:pPr>
        <w:pStyle w:val="ListParagraph"/>
        <w:numPr>
          <w:ilvl w:val="0"/>
          <w:numId w:val="2"/>
        </w:numPr>
        <w:spacing w:after="80" w:line="290"/>
      </w:pPr>
      <w:r>
        <w:rPr>
          <w:rFonts w:ascii="Calibri" w:cs="Calibri" w:eastAsia="Calibri" w:hAnsi="Calibri"/>
          <w:sz w:val="22"/>
          <w:szCs w:val="22"/>
        </w:rPr>
        <w:t xml:space="preserve">Kein öffentliches Investmentversprechen.</w:t>
      </w:r>
    </w:p>
    <w:p>
      <w:pPr>
        <w:pStyle w:val="ListParagraph"/>
        <w:numPr>
          <w:ilvl w:val="0"/>
          <w:numId w:val="2"/>
        </w:numPr>
        <w:spacing w:after="80" w:line="290"/>
      </w:pPr>
      <w:r>
        <w:rPr>
          <w:rFonts w:ascii="Calibri" w:cs="Calibri" w:eastAsia="Calibri" w:hAnsi="Calibri"/>
          <w:sz w:val="22"/>
          <w:szCs w:val="22"/>
        </w:rPr>
        <w:t xml:space="preserve">Kein spekulativer Token.</w:t>
      </w:r>
    </w:p>
    <w:p>
      <w:pPr>
        <w:pStyle w:val="ListParagraph"/>
        <w:numPr>
          <w:ilvl w:val="0"/>
          <w:numId w:val="2"/>
        </w:numPr>
        <w:spacing w:after="80" w:line="290"/>
      </w:pPr>
      <w:r>
        <w:rPr>
          <w:rFonts w:ascii="Calibri" w:cs="Calibri" w:eastAsia="Calibri" w:hAnsi="Calibri"/>
          <w:sz w:val="22"/>
          <w:szCs w:val="22"/>
        </w:rPr>
        <w:t xml:space="preserve">Keine Renditeversprechen.</w:t>
      </w:r>
    </w:p>
    <w:p>
      <w:pPr>
        <w:pStyle w:val="ListParagraph"/>
        <w:numPr>
          <w:ilvl w:val="0"/>
          <w:numId w:val="2"/>
        </w:numPr>
        <w:spacing w:after="80" w:line="290"/>
      </w:pPr>
      <w:r>
        <w:rPr>
          <w:rFonts w:ascii="Calibri" w:cs="Calibri" w:eastAsia="Calibri" w:hAnsi="Calibri"/>
          <w:sz w:val="22"/>
          <w:szCs w:val="22"/>
        </w:rPr>
        <w:t xml:space="preserve">Kein „Kauf dir AETHER“-Modell.</w:t>
      </w:r>
    </w:p>
    <w:p>
      <w:pPr>
        <w:pStyle w:val="ListParagraph"/>
        <w:numPr>
          <w:ilvl w:val="0"/>
          <w:numId w:val="2"/>
        </w:numPr>
        <w:spacing w:after="80" w:line="290"/>
      </w:pPr>
      <w:r>
        <w:rPr>
          <w:rFonts w:ascii="Calibri" w:cs="Calibri" w:eastAsia="Calibri" w:hAnsi="Calibri"/>
          <w:sz w:val="22"/>
          <w:szCs w:val="22"/>
        </w:rPr>
        <w:t xml:space="preserve">Keine Börsenlogik.</w:t>
      </w:r>
    </w:p>
    <w:p>
      <w:pPr>
        <w:spacing w:after="120" w:line="300"/>
      </w:pPr>
      <w:r>
        <w:rPr>
          <w:rFonts w:ascii="Calibri" w:cs="Calibri" w:eastAsia="Calibri" w:hAnsi="Calibri"/>
          <w:sz w:val="22"/>
          <w:szCs w:val="22"/>
        </w:rPr>
        <w:t xml:space="preserve">Zentral zu klären:</w:t>
      </w:r>
    </w:p>
    <w:p>
      <w:pPr>
        <w:pStyle w:val="ListParagraph"/>
        <w:numPr>
          <w:ilvl w:val="0"/>
          <w:numId w:val="2"/>
        </w:numPr>
        <w:spacing w:after="80" w:line="290"/>
      </w:pPr>
      <w:r>
        <w:rPr>
          <w:rFonts w:ascii="Calibri" w:cs="Calibri" w:eastAsia="Calibri" w:hAnsi="Calibri"/>
          <w:sz w:val="22"/>
          <w:szCs w:val="22"/>
        </w:rPr>
        <w:t xml:space="preserve">Ist AETHER Geld, Gutschein, Verrechnungspunkt, Commons-Buchhaltung oder soziale Buchführung?</w:t>
      </w:r>
    </w:p>
    <w:p>
      <w:pPr>
        <w:pStyle w:val="ListParagraph"/>
        <w:numPr>
          <w:ilvl w:val="0"/>
          <w:numId w:val="2"/>
        </w:numPr>
        <w:spacing w:after="80" w:line="290"/>
      </w:pPr>
      <w:r>
        <w:rPr>
          <w:rFonts w:ascii="Calibri" w:cs="Calibri" w:eastAsia="Calibri" w:hAnsi="Calibri"/>
          <w:sz w:val="22"/>
          <w:szCs w:val="22"/>
        </w:rPr>
        <w:t xml:space="preserve">Wie kann AETHER rechtskonform als internes Koordinationsprotokoll starten?</w:t>
      </w:r>
    </w:p>
    <w:p>
      <w:pPr>
        <w:pStyle w:val="ListParagraph"/>
        <w:numPr>
          <w:ilvl w:val="0"/>
          <w:numId w:val="2"/>
        </w:numPr>
        <w:spacing w:after="80" w:line="290"/>
      </w:pPr>
      <w:r>
        <w:rPr>
          <w:rFonts w:ascii="Calibri" w:cs="Calibri" w:eastAsia="Calibri" w:hAnsi="Calibri"/>
          <w:sz w:val="22"/>
          <w:szCs w:val="22"/>
        </w:rPr>
        <w:t xml:space="preserve">Wie verhindert man Spekulation bereits in der Architektur?</w:t>
      </w:r>
    </w:p>
    <w:p>
      <w:pPr>
        <w:pStyle w:val="ListParagraph"/>
        <w:numPr>
          <w:ilvl w:val="0"/>
          <w:numId w:val="2"/>
        </w:numPr>
        <w:spacing w:after="80" w:line="290"/>
      </w:pPr>
      <w:r>
        <w:rPr>
          <w:rFonts w:ascii="Calibri" w:cs="Calibri" w:eastAsia="Calibri" w:hAnsi="Calibri"/>
          <w:sz w:val="22"/>
          <w:szCs w:val="22"/>
        </w:rPr>
        <w:t xml:space="preserve">Welche Pflichten ergeben sich aus der EU-MiCA-Verordnung für Phase F (Airlock)?</w:t>
      </w:r>
    </w:p>
    <w:p>
      <w:pPr>
        <w:pStyle w:val="Heading1"/>
        <w:spacing w:after="200" w:before="360"/>
      </w:pPr>
      <w:r>
        <w:rPr>
          <w:rFonts w:ascii="Calibri" w:cs="Calibri" w:eastAsia="Calibri" w:hAnsi="Calibri"/>
          <w:b/>
          <w:bCs/>
          <w:sz w:val="32"/>
          <w:szCs w:val="32"/>
        </w:rPr>
        <w:t xml:space="preserve">15. Datenschutz, Anti-Social-Credit-Schutz und Privacy unter Nostr</w:t>
      </w:r>
    </w:p>
    <w:p>
      <w:pPr>
        <w:spacing w:after="120" w:line="300"/>
      </w:pPr>
      <w:r>
        <w:rPr>
          <w:rFonts w:ascii="Calibri" w:cs="Calibri" w:eastAsia="Calibri" w:hAnsi="Calibri"/>
          <w:sz w:val="22"/>
          <w:szCs w:val="22"/>
        </w:rPr>
        <w:t xml:space="preserve">AETHER verarbeitet sensible soziale Daten: wer arbeitet, wer bestätigt, wer Hilfe erhält, wer viel oder wenig beiträgt, wer Reputation aufbaut, wer in Konflikte gerät. Deshalb darf AETHER nicht öffentlich beobachtbar sein.</w:t>
      </w:r>
    </w:p>
    <w:p>
      <w:pPr>
        <w:pStyle w:val="Heading2"/>
        <w:spacing w:after="160" w:before="280"/>
      </w:pPr>
      <w:r>
        <w:rPr>
          <w:rFonts w:ascii="Calibri" w:cs="Calibri" w:eastAsia="Calibri" w:hAnsi="Calibri"/>
          <w:b/>
          <w:bCs/>
          <w:sz w:val="26"/>
          <w:szCs w:val="26"/>
        </w:rPr>
        <w:t xml:space="preserve">15.1 Grundsätze</w:t>
      </w:r>
    </w:p>
    <w:p>
      <w:pPr>
        <w:pStyle w:val="ListParagraph"/>
        <w:numPr>
          <w:ilvl w:val="0"/>
          <w:numId w:val="2"/>
        </w:numPr>
        <w:spacing w:after="80" w:line="290"/>
      </w:pPr>
      <w:r>
        <w:rPr>
          <w:rFonts w:ascii="Calibri" w:cs="Calibri" w:eastAsia="Calibri" w:hAnsi="Calibri"/>
          <w:sz w:val="22"/>
          <w:szCs w:val="22"/>
        </w:rPr>
        <w:t xml:space="preserve">So lokal wie möglich.</w:t>
      </w:r>
    </w:p>
    <w:p>
      <w:pPr>
        <w:pStyle w:val="ListParagraph"/>
        <w:numPr>
          <w:ilvl w:val="0"/>
          <w:numId w:val="2"/>
        </w:numPr>
        <w:spacing w:after="80" w:line="290"/>
      </w:pPr>
      <w:r>
        <w:rPr>
          <w:rFonts w:ascii="Calibri" w:cs="Calibri" w:eastAsia="Calibri" w:hAnsi="Calibri"/>
          <w:sz w:val="22"/>
          <w:szCs w:val="22"/>
        </w:rPr>
        <w:t xml:space="preserve">So anonymisiert wie möglich.</w:t>
      </w:r>
    </w:p>
    <w:p>
      <w:pPr>
        <w:pStyle w:val="ListParagraph"/>
        <w:numPr>
          <w:ilvl w:val="0"/>
          <w:numId w:val="2"/>
        </w:numPr>
        <w:spacing w:after="80" w:line="290"/>
      </w:pPr>
      <w:r>
        <w:rPr>
          <w:rFonts w:ascii="Calibri" w:cs="Calibri" w:eastAsia="Calibri" w:hAnsi="Calibri"/>
          <w:sz w:val="22"/>
          <w:szCs w:val="22"/>
        </w:rPr>
        <w:t xml:space="preserve">So transparent wie nötig.</w:t>
      </w:r>
    </w:p>
    <w:p>
      <w:pPr>
        <w:pStyle w:val="ListParagraph"/>
        <w:numPr>
          <w:ilvl w:val="0"/>
          <w:numId w:val="2"/>
        </w:numPr>
        <w:spacing w:after="80" w:line="290"/>
      </w:pPr>
      <w:r>
        <w:rPr>
          <w:rFonts w:ascii="Calibri" w:cs="Calibri" w:eastAsia="Calibri" w:hAnsi="Calibri"/>
          <w:sz w:val="22"/>
          <w:szCs w:val="22"/>
        </w:rPr>
        <w:t xml:space="preserve">Keine globale Rangliste.</w:t>
      </w:r>
    </w:p>
    <w:p>
      <w:pPr>
        <w:pStyle w:val="ListParagraph"/>
        <w:numPr>
          <w:ilvl w:val="0"/>
          <w:numId w:val="2"/>
        </w:numPr>
        <w:spacing w:after="80" w:line="290"/>
      </w:pPr>
      <w:r>
        <w:rPr>
          <w:rFonts w:ascii="Calibri" w:cs="Calibri" w:eastAsia="Calibri" w:hAnsi="Calibri"/>
          <w:sz w:val="22"/>
          <w:szCs w:val="22"/>
        </w:rPr>
        <w:t xml:space="preserve">Keine öffentliche Bloßstellung.</w:t>
      </w:r>
    </w:p>
    <w:p>
      <w:pPr>
        <w:pStyle w:val="ListParagraph"/>
        <w:numPr>
          <w:ilvl w:val="0"/>
          <w:numId w:val="2"/>
        </w:numPr>
        <w:spacing w:after="80" w:line="290"/>
      </w:pPr>
      <w:r>
        <w:rPr>
          <w:rFonts w:ascii="Calibri" w:cs="Calibri" w:eastAsia="Calibri" w:hAnsi="Calibri"/>
          <w:sz w:val="22"/>
          <w:szCs w:val="22"/>
        </w:rPr>
        <w:t xml:space="preserve">Keine Verhaltensüberwachung.</w:t>
      </w:r>
    </w:p>
    <w:p>
      <w:pPr>
        <w:pStyle w:val="ListParagraph"/>
        <w:numPr>
          <w:ilvl w:val="0"/>
          <w:numId w:val="2"/>
        </w:numPr>
        <w:spacing w:after="80" w:line="290"/>
      </w:pPr>
      <w:r>
        <w:rPr>
          <w:rFonts w:ascii="Calibri" w:cs="Calibri" w:eastAsia="Calibri" w:hAnsi="Calibri"/>
          <w:sz w:val="22"/>
          <w:szCs w:val="22"/>
        </w:rPr>
        <w:t xml:space="preserve">Keine zentralisierte Datenbank.</w:t>
      </w:r>
    </w:p>
    <w:p>
      <w:pPr>
        <w:pStyle w:val="ListParagraph"/>
        <w:numPr>
          <w:ilvl w:val="0"/>
          <w:numId w:val="2"/>
        </w:numPr>
        <w:spacing w:after="80" w:line="290"/>
      </w:pPr>
      <w:r>
        <w:rPr>
          <w:rFonts w:ascii="Calibri" w:cs="Calibri" w:eastAsia="Calibri" w:hAnsi="Calibri"/>
          <w:sz w:val="22"/>
          <w:szCs w:val="22"/>
        </w:rPr>
        <w:t xml:space="preserve">Keine kommerzielle Auswertung.</w:t>
      </w:r>
    </w:p>
    <w:p>
      <w:pPr>
        <w:pStyle w:val="Heading2"/>
        <w:spacing w:after="160" w:before="280"/>
      </w:pPr>
      <w:r>
        <w:rPr>
          <w:rFonts w:ascii="Calibri" w:cs="Calibri" w:eastAsia="Calibri" w:hAnsi="Calibri"/>
          <w:b/>
          <w:bCs/>
          <w:sz w:val="26"/>
          <w:szCs w:val="26"/>
        </w:rPr>
        <w:t xml:space="preserve">15.2 Mehrdimensionale AURA</w:t>
      </w:r>
    </w:p>
    <w:p>
      <w:pPr>
        <w:spacing w:after="120" w:line="300"/>
      </w:pPr>
      <w:r>
        <w:rPr>
          <w:rFonts w:ascii="Calibri" w:cs="Calibri" w:eastAsia="Calibri" w:hAnsi="Calibri"/>
          <w:sz w:val="22"/>
          <w:szCs w:val="22"/>
        </w:rPr>
        <w:t xml:space="preserve">AURA ist nicht eine Zahl, sondern ein Vektor mit mindestens folgenden Dimensionen:</w:t>
      </w:r>
    </w:p>
    <w:p>
      <w:pPr>
        <w:pStyle w:val="ListParagraph"/>
        <w:numPr>
          <w:ilvl w:val="0"/>
          <w:numId w:val="2"/>
        </w:numPr>
        <w:spacing w:after="80" w:line="290"/>
      </w:pPr>
      <w:r>
        <w:rPr>
          <w:rFonts w:ascii="Calibri" w:cs="Calibri" w:eastAsia="Calibri" w:hAnsi="Calibri"/>
          <w:sz w:val="22"/>
          <w:szCs w:val="22"/>
        </w:rPr>
        <w:t xml:space="preserve">AURA.CARE – Pflege, Sorge, emotionale Begleitung.</w:t>
      </w:r>
    </w:p>
    <w:p>
      <w:pPr>
        <w:pStyle w:val="ListParagraph"/>
        <w:numPr>
          <w:ilvl w:val="0"/>
          <w:numId w:val="2"/>
        </w:numPr>
        <w:spacing w:after="80" w:line="290"/>
      </w:pPr>
      <w:r>
        <w:rPr>
          <w:rFonts w:ascii="Calibri" w:cs="Calibri" w:eastAsia="Calibri" w:hAnsi="Calibri"/>
          <w:sz w:val="22"/>
          <w:szCs w:val="22"/>
        </w:rPr>
        <w:t xml:space="preserve">AURA.TECH – technische Beiträge, Reparatur, Engineering.</w:t>
      </w:r>
    </w:p>
    <w:p>
      <w:pPr>
        <w:pStyle w:val="ListParagraph"/>
        <w:numPr>
          <w:ilvl w:val="0"/>
          <w:numId w:val="2"/>
        </w:numPr>
        <w:spacing w:after="80" w:line="290"/>
      </w:pPr>
      <w:r>
        <w:rPr>
          <w:rFonts w:ascii="Calibri" w:cs="Calibri" w:eastAsia="Calibri" w:hAnsi="Calibri"/>
          <w:sz w:val="22"/>
          <w:szCs w:val="22"/>
        </w:rPr>
        <w:t xml:space="preserve">AURA.EDUCATION – Lehre, Mentoring, Wissensteilung.</w:t>
      </w:r>
    </w:p>
    <w:p>
      <w:pPr>
        <w:pStyle w:val="ListParagraph"/>
        <w:numPr>
          <w:ilvl w:val="0"/>
          <w:numId w:val="2"/>
        </w:numPr>
        <w:spacing w:after="80" w:line="290"/>
      </w:pPr>
      <w:r>
        <w:rPr>
          <w:rFonts w:ascii="Calibri" w:cs="Calibri" w:eastAsia="Calibri" w:hAnsi="Calibri"/>
          <w:sz w:val="22"/>
          <w:szCs w:val="22"/>
        </w:rPr>
        <w:t xml:space="preserve">AURA.GOVERNANCE – Gremienarbeit, Moderation, Konfliktlösung.</w:t>
      </w:r>
    </w:p>
    <w:p>
      <w:pPr>
        <w:pStyle w:val="ListParagraph"/>
        <w:numPr>
          <w:ilvl w:val="0"/>
          <w:numId w:val="2"/>
        </w:numPr>
        <w:spacing w:after="80" w:line="290"/>
      </w:pPr>
      <w:r>
        <w:rPr>
          <w:rFonts w:ascii="Calibri" w:cs="Calibri" w:eastAsia="Calibri" w:hAnsi="Calibri"/>
          <w:sz w:val="22"/>
          <w:szCs w:val="22"/>
        </w:rPr>
        <w:t xml:space="preserve">AURA.ECOLOGY – Garten, Renaturierung, ökologische Projekte.</w:t>
      </w:r>
    </w:p>
    <w:p>
      <w:pPr>
        <w:pStyle w:val="ListParagraph"/>
        <w:numPr>
          <w:ilvl w:val="0"/>
          <w:numId w:val="2"/>
        </w:numPr>
        <w:spacing w:after="80" w:line="290"/>
      </w:pPr>
      <w:r>
        <w:rPr>
          <w:rFonts w:ascii="Calibri" w:cs="Calibri" w:eastAsia="Calibri" w:hAnsi="Calibri"/>
          <w:sz w:val="22"/>
          <w:szCs w:val="22"/>
        </w:rPr>
        <w:t xml:space="preserve">AURA.ART – Kunst, Kultur, kreative Beiträge.</w:t>
      </w:r>
    </w:p>
    <w:p>
      <w:pPr>
        <w:pStyle w:val="ListParagraph"/>
        <w:numPr>
          <w:ilvl w:val="0"/>
          <w:numId w:val="2"/>
        </w:numPr>
        <w:spacing w:after="80" w:line="290"/>
      </w:pPr>
      <w:r>
        <w:rPr>
          <w:rFonts w:ascii="Calibri" w:cs="Calibri" w:eastAsia="Calibri" w:hAnsi="Calibri"/>
          <w:sz w:val="22"/>
          <w:szCs w:val="22"/>
        </w:rPr>
        <w:t xml:space="preserve">AURA.CONFLICT_RESOLUTION – Mediation, Schlichtung.</w:t>
      </w:r>
    </w:p>
    <w:p>
      <w:pPr>
        <w:spacing w:after="120" w:line="300"/>
      </w:pPr>
      <w:r>
        <w:rPr>
          <w:rFonts w:ascii="Calibri" w:cs="Calibri" w:eastAsia="Calibri" w:hAnsi="Calibri"/>
          <w:sz w:val="22"/>
          <w:szCs w:val="22"/>
        </w:rPr>
        <w:t xml:space="preserve">Die Mehrdimensionalität ist das wichtigste Bollwerk gegen Stigmatisierung: Eine niedrige AURA in einer Dimension bedeutet nicht „weniger wert“, sondern nur, dass diese Person sich woanders eingebracht hat.</w:t>
      </w:r>
    </w:p>
    <w:p>
      <w:pPr>
        <w:pStyle w:val="Heading2"/>
        <w:spacing w:after="160" w:before="280"/>
      </w:pPr>
      <w:r>
        <w:rPr>
          <w:rFonts w:ascii="Calibri" w:cs="Calibri" w:eastAsia="Calibri" w:hAnsi="Calibri"/>
          <w:b/>
          <w:bCs/>
          <w:sz w:val="26"/>
          <w:szCs w:val="26"/>
        </w:rPr>
        <w:t xml:space="preserve">15.3 Privacy-Architektur unter Nostr</w:t>
      </w:r>
    </w:p>
    <w:p>
      <w:pPr>
        <w:spacing w:after="120" w:line="300"/>
      </w:pPr>
      <w:r>
        <w:rPr>
          <w:rFonts w:ascii="Calibri" w:cs="Calibri" w:eastAsia="Calibri" w:hAnsi="Calibri"/>
          <w:sz w:val="22"/>
          <w:szCs w:val="22"/>
        </w:rPr>
        <w:t>Dieses Kapitel wurde in v0.2 eingeführt und in v0.3 ergänzt. Es übersetzt die fachlichen Konzepte aus Kapitel 4 bis 13 in konkrete technische Verortungen innerhalb der bestehenden OneApp-Architektur (Stand v0.1.12-alpha) und bewertet, wo Erweiterungen oder neue Module nötig sind.</w:t>
      </w:r>
    </w:p>
    <w:p>
      <w:pPr>
        <w:pStyle w:val="Heading3"/>
        <w:spacing w:after="120" w:before="220"/>
      </w:pPr>
      <w:r>
        <w:rPr>
          <w:rFonts w:ascii="Calibri" w:cs="Calibri" w:eastAsia="Calibri" w:hAnsi="Calibri"/>
          <w:b/>
          <w:bCs/>
          <w:sz w:val="23"/>
          <w:szCs w:val="23"/>
        </w:rPr>
        <w:t xml:space="preserve">15.3.1 Das Verkettbarkeits-Problem</w:t>
      </w:r>
    </w:p>
    <w:p>
      <w:pPr>
        <w:spacing w:after="120" w:line="300"/>
      </w:pPr>
      <w:r>
        <w:rPr>
          <w:rFonts w:ascii="Calibri" w:cs="Calibri" w:eastAsia="Calibri" w:hAnsi="Calibri"/>
          <w:sz w:val="22"/>
          <w:szCs w:val="22"/>
        </w:rPr>
        <w:t xml:space="preserve">Sobald ein AETHER-Event mit DID signiert über öffentliche Nostr-Relays läuft, kann jeder Relay-Betreiber Beitragsprofile aggregieren: „DID X hat in den letzten drei Monaten 47 Pflegeleistungen, 12 Reparaturen und 3 Lehrstunden geleistet.“ Das ist nicht „lokal anonymisiert“, sondern pseudonym aber global verkettbar – eine deutlich schwächere Schutzstufe.</w:t>
      </w:r>
    </w:p>
    <w:p>
      <w:pPr>
        <w:spacing w:after="120" w:line="300"/>
      </w:pPr>
      <w:r>
        <w:rPr>
          <w:rFonts w:ascii="Calibri" w:cs="Calibri" w:eastAsia="Calibri" w:hAnsi="Calibri"/>
          <w:sz w:val="22"/>
          <w:szCs w:val="22"/>
        </w:rPr>
        <w:t xml:space="preserve">Wenn dazu ein Pseudonym öffentlich mit einem Klarnamen verknüpft wird (was in der OneApp bewusst möglich ist, aber optional), wird die DID im Klartext zum Profilanker eines vollständigen sozialen Protokolls einer Person. Genau das soll AETHER nicht ermöglichen.</w:t>
      </w:r>
    </w:p>
    <w:p>
      <w:pPr>
        <w:pStyle w:val="Heading3"/>
        <w:spacing w:after="120" w:before="220"/>
      </w:pPr>
      <w:r>
        <w:rPr>
          <w:rFonts w:ascii="Calibri" w:cs="Calibri" w:eastAsia="Calibri" w:hAnsi="Calibri"/>
          <w:b/>
          <w:bCs/>
          <w:sz w:val="23"/>
          <w:szCs w:val="23"/>
        </w:rPr>
        <w:t xml:space="preserve">15.3.2 Drei Schutzschichten</w:t>
      </w:r>
    </w:p>
    <w:p>
      <w:pPr>
        <w:spacing w:after="120" w:line="300"/>
      </w:pPr>
      <w:r>
        <w:rPr>
          <w:rFonts w:ascii="Calibri" w:cs="Calibri" w:eastAsia="Calibri" w:hAnsi="Calibri"/>
          <w:sz w:val="22"/>
          <w:szCs w:val="22"/>
        </w:rPr>
        <w:t>v0.3 schlägt drei aufeinander aufbauende Schutzschichten vor:</w:t>
      </w:r>
    </w:p>
    <w:p>
      <w:pPr>
        <w:pStyle w:val="ListParagraph"/>
        <w:numPr>
          <w:ilvl w:val="0"/>
          <w:numId w:val="3"/>
        </w:numPr>
        <w:spacing w:after="80" w:line="290"/>
      </w:pPr>
      <w:r>
        <w:rPr>
          <w:rFonts w:ascii="Calibri" w:cs="Calibri" w:eastAsia="Calibri" w:hAnsi="Calibri"/>
          <w:sz w:val="22"/>
          <w:szCs w:val="22"/>
        </w:rPr>
        <w:t xml:space="preserve">Lokale Speicherung als Default. AETHER-Events bleiben in Phase B (lokale Simulation) ausschließlich im Proto-POD (SQLite, AES-256-GCM-verschlüsselt). Kein Nostr-Sync.</w:t>
      </w:r>
    </w:p>
    <w:p>
      <w:pPr>
        <w:pStyle w:val="ListParagraph"/>
        <w:numPr>
          <w:ilvl w:val="0"/>
          <w:numId w:val="3"/>
        </w:numPr>
        <w:spacing w:after="80" w:line="290"/>
      </w:pPr>
      <w:r>
        <w:rPr>
          <w:rFonts w:ascii="Calibri" w:cs="Calibri" w:eastAsia="Calibri" w:hAnsi="Calibri"/>
          <w:sz w:val="22"/>
          <w:szCs w:val="22"/>
        </w:rPr>
        <w:t xml:space="preserve">Verschlüsselter Sync via NIP-44 v2. Sobald in Phase C zellinterne Verifikation aktiv wird, laufen Claims, Bestätigungen und Salden ausschließlich über NIP-44-verschlüsselte Events innerhalb der Zelle. Externe Relay-Betreiber sehen nur verschlüsselten Inhalt.</w:t>
      </w:r>
    </w:p>
    <w:p>
      <w:pPr>
        <w:pStyle w:val="ListParagraph"/>
        <w:numPr>
          <w:ilvl w:val="0"/>
          <w:numId w:val="3"/>
        </w:numPr>
        <w:spacing w:after="80" w:line="290"/>
      </w:pPr>
      <w:r>
        <w:rPr>
          <w:rFonts w:ascii="Calibri" w:cs="Calibri" w:eastAsia="Calibri" w:hAnsi="Calibri"/>
          <w:sz w:val="22"/>
          <w:szCs w:val="22"/>
        </w:rPr>
        <w:t xml:space="preserve">Zero-Knowledge-Beweise für aggregierte Aussagen. In Phase E (Föderation) sollten zellübergreifende Aussagen wie „Person X hat ausreichend AURA.CARE für Mentoring-Rolle in Nachbarzelle“ als Zero-Knowledge-Beweis übertragen werden – ohne den vollständigen Beitragsverlauf preiszugeben.</w:t>
      </w:r>
    </w:p>
    <w:p>
      <w:pPr>
        <w:pStyle w:val="Heading3"/>
        <w:spacing w:after="120" w:before="220"/>
      </w:pPr>
      <w:r>
        <w:rPr>
          <w:rFonts w:ascii="Calibri" w:cs="Calibri" w:eastAsia="Calibri" w:hAnsi="Calibri"/>
          <w:b/>
          <w:bCs/>
          <w:sz w:val="23"/>
          <w:szCs w:val="23"/>
        </w:rPr>
        <w:t xml:space="preserve">15.3.3 Konkrete Architekturanforderungen</w:t>
      </w:r>
    </w:p>
    <w:p>
      <w:pPr>
        <w:pStyle w:val="ListParagraph"/>
        <w:numPr>
          <w:ilvl w:val="0"/>
          <w:numId w:val="2"/>
        </w:numPr>
        <w:spacing w:after="80" w:line="290"/>
      </w:pPr>
      <w:r>
        <w:rPr>
          <w:rFonts w:ascii="Calibri" w:cs="Calibri" w:eastAsia="Calibri" w:hAnsi="Calibri"/>
          <w:sz w:val="22"/>
          <w:szCs w:val="22"/>
        </w:rPr>
        <w:t xml:space="preserve">Alle AETHER-Event-Kinds (Claims, Bestätigungen, Salden, Multiplikator-Zuweisungen) verwenden NIP-44 v2 mit Zell-Schlüssel, niemals NIP-04 oder unverschlüsselte Events.</w:t>
      </w:r>
    </w:p>
    <w:p>
      <w:pPr>
        <w:pStyle w:val="ListParagraph"/>
        <w:numPr>
          <w:ilvl w:val="0"/>
          <w:numId w:val="2"/>
        </w:numPr>
        <w:spacing w:after="80" w:line="290"/>
      </w:pPr>
      <w:r>
        <w:rPr>
          <w:rFonts w:ascii="Calibri" w:cs="Calibri" w:eastAsia="Calibri" w:hAnsi="Calibri"/>
          <w:sz w:val="22"/>
          <w:szCs w:val="22"/>
        </w:rPr>
        <w:t xml:space="preserve">Salden werden nicht als globale Counter veröffentlicht. Eine Person veröffentlicht keine Aggregate über sich selbst; das Protokoll berechnet Salden lokal aus der bekannten Event-Historie.</w:t>
      </w:r>
    </w:p>
    <w:p>
      <w:pPr>
        <w:pStyle w:val="ListParagraph"/>
        <w:numPr>
          <w:ilvl w:val="0"/>
          <w:numId w:val="2"/>
        </w:numPr>
        <w:spacing w:after="80" w:line="290"/>
      </w:pPr>
      <w:r>
        <w:rPr>
          <w:rFonts w:ascii="Calibri" w:cs="Calibri" w:eastAsia="Calibri" w:hAnsi="Calibri"/>
          <w:sz w:val="22"/>
          <w:szCs w:val="22"/>
        </w:rPr>
        <w:t xml:space="preserve">Nostr-e-Tags in AETHER-Events folgen strikt NIP-01 (64-Hex Event-IDs). Interne UUIDs (Claim-ID, Proposal-ID) gehören in Custom-Tags – diese Regel ist im Projekt bereits etabliert.</w:t>
      </w:r>
    </w:p>
    <w:p>
      <w:pPr>
        <w:pStyle w:val="ListParagraph"/>
        <w:numPr>
          <w:ilvl w:val="0"/>
          <w:numId w:val="2"/>
        </w:numPr>
        <w:spacing w:after="80" w:line="290"/>
      </w:pPr>
      <w:r>
        <w:rPr>
          <w:rFonts w:ascii="Calibri" w:cs="Calibri" w:eastAsia="Calibri" w:hAnsi="Calibri"/>
          <w:sz w:val="22"/>
          <w:szCs w:val="22"/>
        </w:rPr>
        <w:t xml:space="preserve">Verifikator-Zuordnung erfolgt deterministisch und reproduzierbar (Hash über Claim + Zell-Salt + Block-Höhe), aber das Mapping selbst wird nicht öffentlich – nur die zugeordneten Verifikatoren sehen ihren Auftrag.</w:t>
      </w:r>
    </w:p>
    <w:p>
      <w:pPr>
        <w:pStyle w:val="Heading1"/>
        <w:spacing w:after="200" w:before="360"/>
      </w:pPr>
      <w:r>
        <w:rPr>
          <w:rFonts w:ascii="Calibri" w:cs="Calibri" w:eastAsia="Calibri" w:hAnsi="Calibri"/>
          <w:b/>
          <w:bCs/>
          <w:sz w:val="32"/>
          <w:szCs w:val="32"/>
        </w:rPr>
        <w:t xml:space="preserve">16. Governance-Anbindung</w:t>
      </w:r>
    </w:p>
    <w:p>
      <w:pPr>
        <w:spacing w:after="120" w:line="300"/>
      </w:pPr>
      <w:r>
        <w:rPr>
          <w:rFonts w:ascii="Calibri" w:cs="Calibri" w:eastAsia="Calibri" w:hAnsi="Calibri"/>
          <w:sz w:val="22"/>
          <w:szCs w:val="22"/>
        </w:rPr>
        <w:t xml:space="preserve">AETHER darf nicht allein von Code gesteuert werden. Code kann berechnen, aber nicht alle menschlichen Wertfragen entscheiden.</w:t>
      </w:r>
    </w:p>
    <w:p>
      <w:pPr>
        <w:spacing w:after="120" w:line="300"/>
      </w:pPr>
      <w:r>
        <w:rPr>
          <w:rFonts w:ascii="Calibri" w:cs="Calibri" w:eastAsia="Calibri" w:hAnsi="Calibri"/>
          <w:sz w:val="22"/>
          <w:szCs w:val="22"/>
        </w:rPr>
        <w:t xml:space="preserve">Governance muss entscheiden über:</w:t>
      </w:r>
    </w:p>
    <w:p>
      <w:pPr>
        <w:pStyle w:val="ListParagraph"/>
        <w:numPr>
          <w:ilvl w:val="0"/>
          <w:numId w:val="2"/>
        </w:numPr>
        <w:spacing w:after="80" w:line="290"/>
      </w:pPr>
      <w:r>
        <w:rPr>
          <w:rFonts w:ascii="Calibri" w:cs="Calibri" w:eastAsia="Calibri" w:hAnsi="Calibri"/>
          <w:sz w:val="22"/>
          <w:szCs w:val="22"/>
        </w:rPr>
        <w:t xml:space="preserve">Skill-Klassen-Zuweisungen ab 2,5.</w:t>
      </w:r>
    </w:p>
    <w:p>
      <w:pPr>
        <w:pStyle w:val="ListParagraph"/>
        <w:numPr>
          <w:ilvl w:val="0"/>
          <w:numId w:val="2"/>
        </w:numPr>
        <w:spacing w:after="80" w:line="290"/>
      </w:pPr>
      <w:r>
        <w:rPr>
          <w:rFonts w:ascii="Calibri" w:cs="Calibri" w:eastAsia="Calibri" w:hAnsi="Calibri"/>
          <w:sz w:val="22"/>
          <w:szCs w:val="22"/>
        </w:rPr>
        <w:t xml:space="preserve">HNI-Prioritäten.</w:t>
      </w:r>
    </w:p>
    <w:p>
      <w:pPr>
        <w:pStyle w:val="ListParagraph"/>
        <w:numPr>
          <w:ilvl w:val="0"/>
          <w:numId w:val="2"/>
        </w:numPr>
        <w:spacing w:after="80" w:line="290"/>
      </w:pPr>
      <w:r>
        <w:rPr>
          <w:rFonts w:ascii="Calibri" w:cs="Calibri" w:eastAsia="Calibri" w:hAnsi="Calibri"/>
          <w:sz w:val="22"/>
          <w:szCs w:val="22"/>
        </w:rPr>
        <w:t xml:space="preserve">Gaia-Fonds-Verwendung.</w:t>
      </w:r>
    </w:p>
    <w:p>
      <w:pPr>
        <w:pStyle w:val="ListParagraph"/>
        <w:numPr>
          <w:ilvl w:val="0"/>
          <w:numId w:val="2"/>
        </w:numPr>
        <w:spacing w:after="80" w:line="290"/>
      </w:pPr>
      <w:r>
        <w:rPr>
          <w:rFonts w:ascii="Calibri" w:cs="Calibri" w:eastAsia="Calibri" w:hAnsi="Calibri"/>
          <w:sz w:val="22"/>
          <w:szCs w:val="22"/>
        </w:rPr>
        <w:t xml:space="preserve">TERRA-Projekte (siehe Kapitel 13).</w:t>
      </w:r>
    </w:p>
    <w:p>
      <w:pPr>
        <w:pStyle w:val="ListParagraph"/>
        <w:numPr>
          <w:ilvl w:val="0"/>
          <w:numId w:val="2"/>
        </w:numPr>
        <w:spacing w:after="80" w:line="290"/>
      </w:pPr>
      <w:r>
        <w:rPr>
          <w:rFonts w:ascii="Calibri" w:cs="Calibri" w:eastAsia="Calibri" w:hAnsi="Calibri"/>
          <w:sz w:val="22"/>
          <w:szCs w:val="22"/>
        </w:rPr>
        <w:t xml:space="preserve">Verifikationsregeln.</w:t>
      </w:r>
    </w:p>
    <w:p>
      <w:pPr>
        <w:pStyle w:val="ListParagraph"/>
        <w:numPr>
          <w:ilvl w:val="0"/>
          <w:numId w:val="2"/>
        </w:numPr>
        <w:spacing w:after="80" w:line="290"/>
      </w:pPr>
      <w:r>
        <w:rPr>
          <w:rFonts w:ascii="Calibri" w:cs="Calibri" w:eastAsia="Calibri" w:hAnsi="Calibri"/>
          <w:sz w:val="22"/>
          <w:szCs w:val="22"/>
        </w:rPr>
        <w:t xml:space="preserve">Konfliktfälle und strittige Bestätigungen.</w:t>
      </w:r>
    </w:p>
    <w:p>
      <w:pPr>
        <w:pStyle w:val="ListParagraph"/>
        <w:numPr>
          <w:ilvl w:val="0"/>
          <w:numId w:val="2"/>
        </w:numPr>
        <w:spacing w:after="80" w:line="290"/>
      </w:pPr>
      <w:r>
        <w:rPr>
          <w:rFonts w:ascii="Calibri" w:cs="Calibri" w:eastAsia="Calibri" w:hAnsi="Calibri"/>
          <w:sz w:val="22"/>
          <w:szCs w:val="22"/>
        </w:rPr>
        <w:t xml:space="preserve">Missbrauchsfälle.</w:t>
      </w:r>
    </w:p>
    <w:p>
      <w:pPr>
        <w:pStyle w:val="ListParagraph"/>
        <w:numPr>
          <w:ilvl w:val="0"/>
          <w:numId w:val="2"/>
        </w:numPr>
        <w:spacing w:after="80" w:line="290"/>
      </w:pPr>
      <w:r>
        <w:rPr>
          <w:rFonts w:ascii="Calibri" w:cs="Calibri" w:eastAsia="Calibri" w:hAnsi="Calibri"/>
          <w:sz w:val="22"/>
          <w:szCs w:val="22"/>
        </w:rPr>
        <w:t xml:space="preserve">Korrekturen rückwirkend.</w:t>
      </w:r>
    </w:p>
    <w:p>
      <w:pPr>
        <w:pStyle w:val="ListParagraph"/>
        <w:numPr>
          <w:ilvl w:val="0"/>
          <w:numId w:val="2"/>
        </w:numPr>
        <w:spacing w:after="80" w:line="290"/>
      </w:pPr>
      <w:r>
        <w:rPr>
          <w:rFonts w:ascii="Calibri" w:cs="Calibri" w:eastAsia="Calibri" w:hAnsi="Calibri"/>
          <w:sz w:val="22"/>
          <w:szCs w:val="22"/>
        </w:rPr>
        <w:t xml:space="preserve">Notfallmodus.</w:t>
      </w:r>
    </w:p>
    <w:p>
      <w:pPr>
        <w:pStyle w:val="ListParagraph"/>
        <w:numPr>
          <w:ilvl w:val="0"/>
          <w:numId w:val="2"/>
        </w:numPr>
        <w:spacing w:after="80" w:line="290"/>
      </w:pPr>
      <w:r>
        <w:rPr>
          <w:rFonts w:ascii="Calibri" w:cs="Calibri" w:eastAsia="Calibri" w:hAnsi="Calibri"/>
          <w:sz w:val="22"/>
          <w:szCs w:val="22"/>
        </w:rPr>
        <w:t xml:space="preserve">Lokale Anpassungen (z.B. Multiplikator-Justierung).</w:t>
      </w:r>
    </w:p>
    <w:p>
      <w:pPr>
        <w:spacing w:after="120" w:line="300"/>
      </w:pPr>
      <w:r>
        <w:rPr>
          <w:rFonts w:ascii="Calibri" w:cs="Calibri" w:eastAsia="Calibri" w:hAnsi="Calibri"/>
          <w:sz w:val="22"/>
          <w:szCs w:val="22"/>
        </w:rPr>
        <w:t xml:space="preserve">Die OneApp verfügt bereits über G1 (Zellen + Proposals) und bereitet G2 (Liquid Democracy) vor. AETHER-Governance fügt sich nahtlos in diese Strukturen ein – sie braucht keine eigene Governance-Schicht.</w:t>
      </w:r>
    </w:p>
    <w:p>
      <w:pPr>
        <w:pStyle w:val="Heading1"/>
        <w:spacing w:after="200" w:before="360"/>
      </w:pPr>
      <w:r>
        <w:rPr>
          <w:rFonts w:ascii="Calibri" w:cs="Calibri" w:eastAsia="Calibri" w:hAnsi="Calibri"/>
          <w:b/>
          <w:bCs/>
          <w:sz w:val="32"/>
          <w:szCs w:val="32"/>
        </w:rPr>
        <w:t xml:space="preserve">17. Missbrauchsrisiken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500"/>
        <w:gridCol w:w="3700"/>
      </w:tblGrid>
      <w:tr>
        <w:trPr>
          <w:tblHeader/>
        </w:trPr>
        <w:tc>
          <w:tcPr>
            <w:tcW w:type="dxa" w:w="21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Risiko</w:t>
            </w:r>
          </w:p>
        </w:tc>
        <w:tc>
          <w:tcPr>
            <w:tcW w:type="dxa" w:w="35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Beschreibung</w:t>
            </w:r>
          </w:p>
        </w:tc>
        <w:tc>
          <w:tcPr>
            <w:tcW w:type="dxa" w:w="37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Gegenmittel</w:t>
            </w:r>
          </w:p>
        </w:tc>
      </w:tr>
      <w:tr>
        <w:trPr>
          <w:tblHeader w:val="false"/>
        </w:trP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Fake Work</w:t>
            </w:r>
          </w:p>
        </w:tc>
        <w:tc>
          <w:tcPr>
            <w:tcW w:type="dxa" w:w="3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Arbeit wird erfasst, obwohl sie nie stattgefunden hat.</w:t>
            </w:r>
          </w:p>
        </w:tc>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Random Audit (Kap. 7.5), Output-Korrelation (Kap. 7.4), Plausibilitätsprüfung.</w:t>
            </w:r>
          </w:p>
        </w:tc>
      </w:tr>
      <w:tr>
        <w:trPr>
          <w:tblHeader w:val="false"/>
        </w:trPr>
        <w:tc>
          <w:tcPr>
            <w:tcW w:type="dxa" w:w="21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Verifikationskartelle</w:t>
            </w:r>
          </w:p>
        </w:tc>
        <w:tc>
          <w:tcPr>
            <w:tcW w:type="dxa" w:w="35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Gruppen bestätigen sich gegenseitig falsche Beiträge.</w:t>
            </w:r>
          </w:p>
        </w:tc>
        <w:tc>
          <w:tcPr>
            <w:tcW w:type="dxa" w:w="37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Zufällige Verifikator-Zuweisung, Vertrauenslimits, Cross-Cell-Audit, Anomalie-Erkennung.</w:t>
            </w:r>
          </w:p>
        </w:tc>
      </w:tr>
      <w:tr>
        <w:trPr>
          <w:tblHeader w:val="false"/>
        </w:trP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Experten-Oligarchie</w:t>
            </w:r>
          </w:p>
        </w:tc>
        <w:tc>
          <w:tcPr>
            <w:tcW w:type="dxa" w:w="3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Hohe Skill-Faktoren erzeugen dauerhafte Macht.</w:t>
            </w:r>
          </w:p>
        </w:tc>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Obergrenze 3,0, AURA-Verblassen, Delegation Decay, Trennung von Expertise und Exekutive.</w:t>
            </w:r>
          </w:p>
        </w:tc>
      </w:tr>
      <w:tr>
        <w:trPr>
          <w:tblHeader w:val="false"/>
        </w:trPr>
        <w:tc>
          <w:tcPr>
            <w:tcW w:type="dxa" w:w="21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Care-Arbeit unterschätzt</w:t>
            </w:r>
          </w:p>
        </w:tc>
        <w:tc>
          <w:tcPr>
            <w:tcW w:type="dxa" w:w="35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Schwer messbare soziale Arbeit wird benachteiligt.</w:t>
            </w:r>
          </w:p>
        </w:tc>
        <w:tc>
          <w:tcPr>
            <w:tcW w:type="dxa" w:w="37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Care-Kategorien, HNI-Gewichtung, Empfängerbestätigung, eigener Care-VITA-Begriff.</w:t>
            </w:r>
          </w:p>
        </w:tc>
      </w:tr>
      <w:tr>
        <w:trPr>
          <w:tblHeader w:val="false"/>
        </w:trP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AURA als soziale Kontrolle</w:t>
            </w:r>
          </w:p>
        </w:tc>
        <w:tc>
          <w:tcPr>
            <w:tcW w:type="dxa" w:w="3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Reputation wird zur Stigmatisierung genutzt.</w:t>
            </w:r>
          </w:p>
        </w:tc>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Mehrdimensionale AURA, keine globale Rangliste, Widerspruchsrecht, Verjährungsregeln.</w:t>
            </w:r>
          </w:p>
        </w:tc>
      </w:tr>
      <w:tr>
        <w:trPr>
          <w:tblHeader w:val="false"/>
        </w:trPr>
        <w:tc>
          <w:tcPr>
            <w:tcW w:type="dxa" w:w="21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Verkettbarkeit über Nostr</w:t>
            </w:r>
          </w:p>
        </w:tc>
        <w:tc>
          <w:tcPr>
            <w:tcW w:type="dxa" w:w="35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Externe Relay-Betreiber aggregieren Beitragsprofile.</w:t>
            </w:r>
          </w:p>
        </w:tc>
        <w:tc>
          <w:tcPr>
            <w:tcW w:type="dxa" w:w="37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NIP-44-Verschlüsselung, lokale Saldenberechnung, ZKP für Föderation (Kap. 15.3).</w:t>
            </w:r>
          </w:p>
        </w:tc>
      </w:tr>
      <w:tr>
        <w:trPr>
          <w:tblHeader w:val="false"/>
        </w:trP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Würde-Status-Missbrauch</w:t>
            </w:r>
          </w:p>
        </w:tc>
        <w:tc>
          <w:tcPr>
            <w:tcW w:type="dxa" w:w="3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Personen erschleichen sich Status ohne medizinische Grundlage.</w:t>
            </w:r>
          </w:p>
        </w:tc>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Medizinische Zertifizierung erforderlich, regelmäßige Überprüfung.</w:t>
            </w:r>
          </w:p>
        </w:tc>
      </w:tr>
      <w:tr>
        <w:tc>
          <w:tcPr>
            <w:tcW w:type="dxa" w:w="2160"/>
          </w:tcPr>
          <w:p>
            <w:r>
              <w:t>Offline-Blockade im Random Audit</w:t>
            </w:r>
          </w:p>
        </w:tc>
        <w:tc>
          <w:tcPr>
            <w:tcW w:type="dxa" w:w="3500"/>
          </w:tcPr>
          <w:p>
            <w:r>
              <w:t>Zufällig zugewiesene Verifikatoren sind offline oder reagieren nicht; Claims bleiben hängen.</w:t>
            </w:r>
          </w:p>
        </w:tc>
        <w:tc>
          <w:tcPr>
            <w:tcW w:type="dxa" w:w="3700"/>
          </w:tcPr>
          <w:p>
            <w:r>
              <w:t>Timeout, deterministischer Re-Roll, manueller Review nach mehreren erfolglosen Runden (Kap. 7.5.4).</w:t>
            </w:r>
          </w:p>
        </w:tc>
      </w:tr>
    </w:tbl>
    <w:p>
      <w:pPr>
        <w:spacing w:after="0"/>
      </w:pPr>
    </w:p>
    <w:p>
      <w:pPr>
        <w:pStyle w:val="Heading1"/>
        <w:spacing w:after="200" w:before="360"/>
      </w:pPr>
      <w:r>
        <w:rPr>
          <w:rFonts w:ascii="Calibri" w:cs="Calibri" w:eastAsia="Calibri" w:hAnsi="Calibri"/>
          <w:b/>
          <w:bCs/>
          <w:sz w:val="32"/>
          <w:szCs w:val="32"/>
        </w:rPr>
        <w:t xml:space="preserve">18. Phasenmodell für die Umsetzung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Phase</w:t>
            </w:r>
          </w:p>
        </w:tc>
        <w:tc>
          <w:tcPr>
            <w:tcW w:type="dxa" w:w="42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Ziel</w:t>
            </w:r>
          </w:p>
        </w:tc>
        <w:tc>
          <w:tcPr>
            <w:tcW w:type="dxa" w:w="27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Ergebnis</w:t>
            </w:r>
          </w:p>
        </w:tc>
      </w:tr>
      <w:tr>
        <w:trPr>
          <w:tblHeader w:val="false"/>
        </w:trP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 – Fachliche Einigung</w:t>
            </w:r>
          </w:p>
        </w:tc>
        <w:tc>
          <w:tcPr>
            <w:tcW w:type="dxa" w:w="4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Begriffe, Grundformeln, rechtliche Risiken und rote Linien klären.</w:t>
            </w:r>
          </w:p>
        </w:tc>
        <w:tc>
          <w:tcPr>
            <w:tcW w:type="dxa" w:w="27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Finale Fachspezifikation v1.0.</w:t>
            </w:r>
          </w:p>
        </w:tc>
      </w:tr>
      <w:tr>
        <w:trPr>
          <w:tblHeader w:val="false"/>
        </w:trPr>
        <w:tc>
          <w:tcPr>
            <w:tcW w:type="dxa" w:w="24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r>
              <w:t>B0 – AETHER-Testnet / lokale Simulation</w:t>
            </w:r>
          </w:p>
        </w:tc>
        <w:tc>
          <w:tcPr>
            <w:tcW w:type="dxa" w:w="42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r>
              <w:t>Wallet, lokale Beispielwerte, Claims, Gaia-Abzug und Demurrage als unscharfe Simulation ohne Verifikation, ohne Sync und ohne externe Wirkung.</w:t>
            </w:r>
          </w:p>
        </w:tc>
        <w:tc>
          <w:tcPr>
            <w:tcW w:type="dxa" w:w="27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r>
              <w:t>Frühes Lern-, UX- und Diskussionswerkzeug; darf vor G2 starten, wenn klar als Testnet gekennzeichnet.</w:t>
            </w:r>
          </w:p>
        </w:tc>
      </w:tr>
      <w:tr>
        <w:trPr>
          <w:tblHeader w:val="false"/>
        </w:trP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t>B1 – Zellbezogene lokale AETHER-Logik</w:t>
            </w:r>
          </w:p>
        </w:tc>
        <w:tc>
          <w:tcPr>
            <w:tcW w:type="dxa" w:w="4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t>Echte zellbezogene Ledger-Logik mit lokaler Wahrheitsschicht, noch ohne föderierten Sync, aber bereits mit Governance-Abhängigkeiten.</w:t>
            </w:r>
          </w:p>
        </w:tc>
        <w:tc>
          <w:tcPr>
            <w:tcW w:type="dxa" w:w="27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t>Start erst nach stabiler G2-Governance, fachlicher Freigabe und klarer Trennung von Testnet und produktiver Logik.</w:t>
            </w:r>
          </w:p>
        </w:tc>
      </w:tr>
      <w:tr>
        <w:trPr>
          <w:tblHeader w:val="false"/>
        </w:trP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C – Zellinterne Verifikation</w:t>
            </w:r>
          </w:p>
        </w:tc>
        <w:tc>
          <w:tcPr>
            <w:tcW w:type="dxa" w:w="4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Arbeit wird als Claim erfasst und über Random Audit bestätigt.</w:t>
            </w:r>
          </w:p>
        </w:tc>
        <w:tc>
          <w:tcPr>
            <w:tcW w:type="dxa" w:w="27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VITA/AURA erst nach Bestätigung.</w:t>
            </w:r>
          </w:p>
        </w:tc>
      </w:tr>
      <w:tr>
        <w:trPr>
          <w:tblHeader w:val="false"/>
        </w:trPr>
        <w:tc>
          <w:tcPr>
            <w:tcW w:type="dxa" w:w="24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D – Projekt- und TERRA-Modul</w:t>
            </w:r>
          </w:p>
        </w:tc>
        <w:tc>
          <w:tcPr>
            <w:tcW w:type="dxa" w:w="42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Infrastrukturprojekte, Widmung von Ressourcen, Projektfortschritt.</w:t>
            </w:r>
          </w:p>
        </w:tc>
        <w:tc>
          <w:tcPr>
            <w:tcW w:type="dxa" w:w="27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Zweckgebundene TERRA-Logik.</w:t>
            </w:r>
          </w:p>
        </w:tc>
      </w:tr>
      <w:tr>
        <w:trPr>
          <w:tblHeader w:val="false"/>
        </w:trP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E – Föderierte AETHER-Ökonomie</w:t>
            </w:r>
          </w:p>
        </w:tc>
        <w:tc>
          <w:tcPr>
            <w:tcW w:type="dxa" w:w="4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Abgleich mehrerer Gemeinschaften, Interzellen-Projekte, föderierte Gaia-Fonds.</w:t>
            </w:r>
          </w:p>
        </w:tc>
        <w:tc>
          <w:tcPr>
            <w:tcW w:type="dxa" w:w="27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Mehrschichtige Ökonomie.</w:t>
            </w:r>
          </w:p>
        </w:tc>
      </w:tr>
      <w:tr>
        <w:trPr>
          <w:tblHeader w:val="false"/>
        </w:trPr>
        <w:tc>
          <w:tcPr>
            <w:tcW w:type="dxa" w:w="24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F – Airlock / Übergang alte Welt</w:t>
            </w:r>
          </w:p>
        </w:tc>
        <w:tc>
          <w:tcPr>
            <w:tcW w:type="dxa" w:w="42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Rechtlich geprüfte Schnittstelle zur Euro-Welt.</w:t>
            </w:r>
          </w:p>
        </w:tc>
        <w:tc>
          <w:tcPr>
            <w:tcW w:type="dxa" w:w="27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Kein Spekulationsmodell, Commons-orientierter Übergang.</w:t>
            </w:r>
          </w:p>
        </w:tc>
      </w:tr>
    </w:tbl>
    <w:p>
      <w:pPr>
        <w:spacing w:after="0"/>
      </w:pPr>
    </w:p>
    <w:p>
      <w:pPr>
        <w:pBdr>
          <w:left w:val="single" w:color="D4AF37" w:sz="18" w:space="12"/>
        </w:pBdr>
        <w:spacing w:after="200" w:before="160" w:line="300"/>
        <w:ind w:left="360" w:right="360"/>
      </w:pPr>
      <w:r>
        <w:rPr>
          <w:rFonts w:ascii="Calibri" w:cs="Calibri" w:eastAsia="Calibri" w:hAnsi="Calibri"/>
          <w:i/>
          <w:iCs/>
          <w:sz w:val="22"/>
          <w:szCs w:val="22"/>
        </w:rPr>
        <w:t>Empfehlung: Phase A vollständig abschließen, bevor echte AETHER-Logik produktiv wird. Eine klar gekennzeichnete B0-Simulation darf früher entstehen, weil sie keine Verifikation, keinen Sync, keine externe Wirkung und keine Rechtswirkung hat. Vor Phase C muss G2 Liquid Democracy in der OneApp stabil laufen.</w:t>
      </w:r>
    </w:p>
    <w:p>
      <w:pPr>
        <w:pStyle w:val="Heading1"/>
        <w:spacing w:after="200" w:before="360"/>
      </w:pPr>
      <w:r>
        <w:rPr>
          <w:rFonts w:ascii="Calibri" w:cs="Calibri" w:eastAsia="Calibri" w:hAnsi="Calibri"/>
          <w:b/>
          <w:bCs/>
          <w:sz w:val="32"/>
          <w:szCs w:val="32"/>
        </w:rPr>
        <w:t xml:space="preserve">19. Architektur-Anhang – Verortung in der OneApp</w:t>
      </w:r>
    </w:p>
    <w:p>
      <w:pPr>
        <w:spacing w:after="120" w:line="300"/>
      </w:pPr>
      <w:r>
        <w:rPr>
          <w:rFonts w:ascii="Calibri" w:cs="Calibri" w:eastAsia="Calibri" w:hAnsi="Calibri"/>
          <w:sz w:val="22"/>
          <w:szCs w:val="22"/>
        </w:rPr>
        <w:t>Dieses Kapitel wurde in v0.2 eingeführt und in v0.3 ergänzt. Es übersetzt die fachlichen Konzepte aus Kapitel 4 bis 13 in konkrete technische Verortungen innerhalb der bestehenden OneApp-Architektur (Stand v0.1.12-alpha) und bewertet, wo Erweiterungen oder neue Module nötig sind.</w:t>
      </w:r>
    </w:p>
    <w:p>
      <w:pPr>
        <w:pStyle w:val="Heading2"/>
        <w:spacing w:after="160" w:before="280"/>
      </w:pPr>
      <w:r>
        <w:rPr>
          <w:rFonts w:ascii="Calibri" w:cs="Calibri" w:eastAsia="Calibri" w:hAnsi="Calibri"/>
          <w:b/>
          <w:bCs/>
          <w:sz w:val="26"/>
          <w:szCs w:val="26"/>
        </w:rPr>
        <w:t xml:space="preserve">19.1 SQLite-Tabellen (Proto-POD, Erweiterungen)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Tabelle</w:t>
            </w:r>
          </w:p>
        </w:tc>
        <w:tc>
          <w:tcPr>
            <w:tcW w:type="dxa" w:w="420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Zweck</w:t>
            </w:r>
          </w:p>
        </w:tc>
        <w:tc>
          <w:tcPr>
            <w:tcW w:type="dxa" w:w="27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Status</w:t>
            </w:r>
          </w:p>
        </w:tc>
      </w:tr>
      <w:tr>
        <w:trPr>
          <w:tblHeader w:val="false"/>
        </w:trP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aether_claims</w:t>
            </w:r>
          </w:p>
        </w:tc>
        <w:tc>
          <w:tcPr>
            <w:tcW w:type="dxa" w:w="4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Arbeitsnachweise (Claims) mit Status, Tätigkeit, Empfänger, Stufe.</w:t>
            </w:r>
          </w:p>
        </w:tc>
        <w:tc>
          <w:tcPr>
            <w:tcW w:type="dxa" w:w="27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Neu in Phase B.</w:t>
            </w:r>
          </w:p>
        </w:tc>
      </w:tr>
      <w:tr>
        <w:trPr>
          <w:tblHeader w:val="false"/>
        </w:trPr>
        <w:tc>
          <w:tcPr>
            <w:tcW w:type="dxa" w:w="24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aether_verifications</w:t>
            </w:r>
          </w:p>
        </w:tc>
        <w:tc>
          <w:tcPr>
            <w:tcW w:type="dxa" w:w="42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Bestätigungen pro Claim, mit zugewiesenem Verifikator-DID.</w:t>
            </w:r>
          </w:p>
        </w:tc>
        <w:tc>
          <w:tcPr>
            <w:tcW w:type="dxa" w:w="27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Neu in Phase C.</w:t>
            </w:r>
          </w:p>
        </w:tc>
      </w:tr>
      <w:tr>
        <w:trPr>
          <w:tblHeader w:val="false"/>
        </w:trP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aether_balances</w:t>
            </w:r>
          </w:p>
        </w:tc>
        <w:tc>
          <w:tcPr>
            <w:tcW w:type="dxa" w:w="4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t>Rekonstruierbarer lokaler Salden-Cache in VITA, TERRA, AURA pro DID. AURA als Vektor. Nicht Quelle der Wahrheit.</w:t>
            </w:r>
          </w:p>
        </w:tc>
        <w:tc>
          <w:tcPr>
            <w:tcW w:type="dxa" w:w="27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t>Neu in Phase B0/B1; Cache aus Ledger-/Event-Historie.</w:t>
            </w:r>
          </w:p>
        </w:tc>
      </w:tr>
      <w:tr>
        <w:trPr>
          <w:tblHeader w:val="false"/>
        </w:trPr>
        <w:tc>
          <w:tcPr>
            <w:tcW w:type="dxa" w:w="24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aether_skill_assignments</w:t>
            </w:r>
          </w:p>
        </w:tc>
        <w:tc>
          <w:tcPr>
            <w:tcW w:type="dxa" w:w="42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Skill-Klasse pro DID pro Tätigkeitsbereich, mit Bestätigern.</w:t>
            </w:r>
          </w:p>
        </w:tc>
        <w:tc>
          <w:tcPr>
            <w:tcW w:type="dxa" w:w="27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Neu in Phase C.</w:t>
            </w:r>
          </w:p>
        </w:tc>
      </w:tr>
      <w:tr>
        <w:trPr>
          <w:tblHeader w:val="false"/>
        </w:trP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aether_demurrage_log</w:t>
            </w:r>
          </w:p>
        </w:tc>
        <w:tc>
          <w:tcPr>
            <w:tcW w:type="dxa" w:w="4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Demurrage-Berechnungen pro Periode für Audit.</w:t>
            </w:r>
          </w:p>
        </w:tc>
        <w:tc>
          <w:tcPr>
            <w:tcW w:type="dxa" w:w="27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Neu in Phase B.</w:t>
            </w:r>
          </w:p>
        </w:tc>
      </w:tr>
      <w:tr>
        <w:trPr>
          <w:tblHeader w:val="false"/>
        </w:trPr>
        <w:tc>
          <w:tcPr>
            <w:tcW w:type="dxa" w:w="24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aether_gaia_fund</w:t>
            </w:r>
          </w:p>
        </w:tc>
        <w:tc>
          <w:tcPr>
            <w:tcW w:type="dxa" w:w="42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Lokaler Gaia-Pool-Stand und Verwendungs-Historie.</w:t>
            </w:r>
          </w:p>
        </w:tc>
        <w:tc>
          <w:tcPr>
            <w:tcW w:type="dxa" w:w="27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Neu in Phase B.</w:t>
            </w:r>
          </w:p>
        </w:tc>
      </w:tr>
      <w:tr>
        <w:trPr>
          <w:tblHeader w:val="false"/>
        </w:trP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terra_pools</w:t>
            </w:r>
          </w:p>
        </w:tc>
        <w:tc>
          <w:tcPr>
            <w:tcW w:type="dxa" w:w="4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Projekt-gebundene TERRA-Pools, an Proposal-ID gekoppelt.</w:t>
            </w:r>
          </w:p>
        </w:tc>
        <w:tc>
          <w:tcPr>
            <w:tcW w:type="dxa" w:w="27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Neu in Phase D.</w:t>
            </w:r>
          </w:p>
        </w:tc>
      </w:tr>
      <w:tr>
        <w:trPr>
          <w:tblHeader w:val="false"/>
        </w:trPr>
        <w:tc>
          <w:tcPr>
            <w:tcW w:type="dxa" w:w="24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terra_shares</w:t>
            </w:r>
          </w:p>
        </w:tc>
        <w:tc>
          <w:tcPr>
            <w:tcW w:type="dxa" w:w="420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Anteile pro DID an abgeschlossenen TERRA-Projekten.</w:t>
            </w:r>
          </w:p>
        </w:tc>
        <w:tc>
          <w:tcPr>
            <w:tcW w:type="dxa" w:w="27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Neu in Phase D.</w:t>
            </w:r>
          </w:p>
        </w:tc>
      </w:tr>
      <w:tr>
        <w:trPr>
          <w:tblHeader w:val="false"/>
        </w:trP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terra_usage_rights</w:t>
            </w:r>
          </w:p>
        </w:tc>
        <w:tc>
          <w:tcPr>
            <w:tcW w:type="dxa" w:w="4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Nutzungsrechte pro DID an Infrastrukturen.</w:t>
            </w:r>
          </w:p>
        </w:tc>
        <w:tc>
          <w:tcPr>
            <w:tcW w:type="dxa" w:w="27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pPr>
            <w:r>
              <w:rPr>
                <w:rFonts w:ascii="Calibri" w:cs="Calibri" w:eastAsia="Calibri" w:hAnsi="Calibri"/>
                <w:b w:val="false"/>
                <w:bCs w:val="false"/>
                <w:color w:val="000000"/>
                <w:sz w:val="22"/>
                <w:szCs w:val="22"/>
              </w:rPr>
              <w:t xml:space="preserve">Neu in Phase D.</w:t>
            </w:r>
          </w:p>
        </w:tc>
      </w:tr>
    </w:tbl>
    <w:p>
      <w:pPr>
        <w:spacing w:after="0"/>
      </w:pPr>
    </w:p>
    <w:p>
      <w:pPr>
        <w:spacing w:after="120" w:line="300"/>
      </w:pPr>
      <w:r>
        <w:rPr>
          <w:rFonts w:ascii="Calibri" w:cs="Calibri" w:eastAsia="Calibri" w:hAnsi="Calibri"/>
          <w:sz w:val="22"/>
          <w:szCs w:val="22"/>
        </w:rPr>
        <w:t xml:space="preserve">Alle aether_*-Tabellen erweitern den bestehenden Proto-POD (DB-Version aktuell 16). Sie folgen der etablierten Konvention: AES-256-GCM-Verschlüsselung, sensible Felder im enc-Feld, technische Indexspalten im Klartext nur wo nötig.</w:t>
      </w:r>
    </w:p>
    <w:p>
      <w:r>
        <w:t>Wahrheitsschicht / Event Sourcing: Die Wahrheit des AETHER-Protokolls liegt niemals in einem gespeicherten Kontostand, sondern ausschließlich in der append-only Historie signierter Ereignisse. aether_balances dient nur der schnellen UI-Anzeige und muss jederzeit aus Claims, Verifikationen, Demurrage-Logs, Gaia-Buchungen, Korrektur-Events und TERRA-Buchungen rekonstruierbar sein.</w:t>
      </w:r>
    </w:p>
    <w:p>
      <w:pPr>
        <w:pStyle w:val="Heading2"/>
        <w:spacing w:after="160" w:before="280"/>
      </w:pPr>
      <w:r>
        <w:rPr>
          <w:rFonts w:ascii="Calibri" w:cs="Calibri" w:eastAsia="Calibri" w:hAnsi="Calibri"/>
          <w:b/>
          <w:bCs/>
          <w:sz w:val="26"/>
          <w:szCs w:val="26"/>
        </w:rPr>
        <w:t>19.2 Nostr Event-Kinds – Append-only Historie vs. Replaceable Status</w:t>
      </w:r>
    </w:p>
    <w:p>
      <w:r>
        <w:t>Grundregel: Historische AETHER-Ereignisse sind append-only. Sie dürfen nicht überschrieben, ersetzt oder stillschweigend gelöscht werden. Fehler werden durch explizite Korrektur- oder Reversal-Events behandelt. Status- und Policy-Informationen dürfen dagegen replaceable sein, weil dort der aktuelle Stand relevant ist.</w:t>
      </w:r>
    </w:p>
    <w:p>
      <w:r>
        <w:t>Damit trennt v0.4 die Wahrheitsschicht klar von der Ansichtsschicht: Regular Events bilden die Historie; Parameterized Replaceable Events bilden aktuelle Snapshots, Policies oder Indexzustände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160"/>
        <w:gridCol w:w="3120"/>
      </w:tblGrid>
      <w:tr>
        <w:trPr>
          <w:tblHeader/>
          <w:cantSplit/>
        </w:trPr>
        <w:tc>
          <w:tcPr>
            <w:tcW w:type="dxa" w:w="108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vAlign w:val="top"/>
          </w:tcPr>
          <w:p>
            <w:r>
              <w:rPr>
                <w:sz w:val="15"/>
              </w:rPr>
              <w:t>Kind</w:t>
            </w:r>
          </w:p>
        </w:tc>
        <w:tc>
          <w:tcPr>
            <w:tcW w:type="dxa" w:w="516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vAlign w:val="top"/>
          </w:tcPr>
          <w:p>
            <w:r>
              <w:rPr>
                <w:sz w:val="15"/>
              </w:rPr>
              <w:t>Verwendung</w:t>
            </w:r>
          </w:p>
        </w:tc>
        <w:tc>
          <w:tcPr>
            <w:tcW w:type="dxa" w:w="3120"/>
            <w:tcBorders>
              <w:top w:val="single" w:color="B0B0B0" w:sz="4"/>
              <w:left w:val="single" w:color="B0B0B0" w:sz="4"/>
              <w:bottom w:val="single" w:color="B0B0B0" w:sz="4"/>
              <w:right w:val="single" w:color="B0B0B0" w:sz="4"/>
            </w:tcBorders>
            <w:shd w:fill="0A1628" w:val="clear"/>
            <w:tcMar>
              <w:top w:type="dxa" w:w="100"/>
              <w:left w:type="dxa" w:w="140"/>
              <w:bottom w:type="dxa" w:w="100"/>
              <w:right w:type="dxa" w:w="140"/>
            </w:tcMar>
            <w:vAlign w:val="top"/>
          </w:tcPr>
          <w:p>
            <w:r>
              <w:rPr>
                <w:sz w:val="15"/>
              </w:rPr>
              <w:t>Phase / Event-Typ</w:t>
            </w:r>
          </w:p>
        </w:tc>
      </w:tr>
      <w:tr>
        <w:trPr>
          <w:tblHeader w:val="false"/>
          <w:cantSplit/>
        </w:trPr>
        <w:tc>
          <w:tcPr>
            <w:tcW w:type="dxa" w:w="1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vAlign w:val="top"/>
          </w:tcPr>
          <w:p>
            <w:r>
              <w:rPr>
                <w:sz w:val="15"/>
              </w:rPr>
              <w:t>7020</w:t>
            </w:r>
          </w:p>
        </w:tc>
        <w:tc>
          <w:tcPr>
            <w:tcW w:type="dxa" w:w="5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vAlign w:val="top"/>
          </w:tcPr>
          <w:p>
            <w:r>
              <w:rPr>
                <w:sz w:val="15"/>
              </w:rPr>
              <w:t>AETHER Claim – Arbeitsnachweis, verschlüsselt via NIP-44, historisch.</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vAlign w:val="top"/>
          </w:tcPr>
          <w:p>
            <w:r>
              <w:rPr>
                <w:sz w:val="15"/>
              </w:rPr>
              <w:t>C / Regular Event, append-only</w:t>
            </w:r>
          </w:p>
        </w:tc>
      </w:tr>
      <w:tr>
        <w:trPr>
          <w:tblHeader w:val="false"/>
          <w:cantSplit/>
        </w:trPr>
        <w:tc>
          <w:tcPr>
            <w:tcW w:type="dxa" w:w="108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vAlign w:val="top"/>
          </w:tcPr>
          <w:p>
            <w:r>
              <w:rPr>
                <w:sz w:val="15"/>
              </w:rPr>
              <w:t>7021</w:t>
            </w:r>
          </w:p>
        </w:tc>
        <w:tc>
          <w:tcPr>
            <w:tcW w:type="dxa" w:w="51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vAlign w:val="top"/>
          </w:tcPr>
          <w:p>
            <w:r>
              <w:rPr>
                <w:sz w:val="15"/>
              </w:rPr>
              <w:t>AETHER Verification – Bestätigung oder Ablehnung eines Claims.</w:t>
            </w:r>
          </w:p>
        </w:tc>
        <w:tc>
          <w:tcPr>
            <w:tcW w:type="dxa" w:w="312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vAlign w:val="top"/>
          </w:tcPr>
          <w:p>
            <w:r>
              <w:rPr>
                <w:sz w:val="15"/>
              </w:rPr>
              <w:t>C / Regular Event, append-only</w:t>
            </w:r>
          </w:p>
        </w:tc>
      </w:tr>
      <w:tr>
        <w:trPr>
          <w:tblHeader w:val="false"/>
          <w:cantSplit/>
        </w:trPr>
        <w:tc>
          <w:tcPr>
            <w:tcW w:type="dxa" w:w="1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vAlign w:val="top"/>
          </w:tcPr>
          <w:p>
            <w:r>
              <w:rPr>
                <w:sz w:val="15"/>
              </w:rPr>
              <w:t>7022</w:t>
            </w:r>
          </w:p>
        </w:tc>
        <w:tc>
          <w:tcPr>
            <w:tcW w:type="dxa" w:w="5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vAlign w:val="top"/>
          </w:tcPr>
          <w:p>
            <w:r>
              <w:rPr>
                <w:sz w:val="15"/>
              </w:rPr>
              <w:t>AETHER Skill-Assignment – historische Skill-Zuweisung oder Bestätigung.</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vAlign w:val="top"/>
          </w:tcPr>
          <w:p>
            <w:r>
              <w:rPr>
                <w:sz w:val="15"/>
              </w:rPr>
              <w:t>C / Regular Event, append-only</w:t>
            </w:r>
          </w:p>
        </w:tc>
      </w:tr>
      <w:tr>
        <w:trPr>
          <w:tblHeader w:val="false"/>
          <w:cantSplit/>
        </w:trPr>
        <w:tc>
          <w:tcPr>
            <w:tcW w:type="dxa" w:w="108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vAlign w:val="top"/>
          </w:tcPr>
          <w:p>
            <w:r>
              <w:rPr>
                <w:sz w:val="15"/>
              </w:rPr>
              <w:t>7023</w:t>
            </w:r>
          </w:p>
        </w:tc>
        <w:tc>
          <w:tcPr>
            <w:tcW w:type="dxa" w:w="51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vAlign w:val="top"/>
          </w:tcPr>
          <w:p>
            <w:r>
              <w:rPr>
                <w:sz w:val="15"/>
              </w:rPr>
              <w:t>AETHER Ledger Correction / Reversal – explizite Korrektur statt Überschreiben.</w:t>
            </w:r>
          </w:p>
        </w:tc>
        <w:tc>
          <w:tcPr>
            <w:tcW w:type="dxa" w:w="312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vAlign w:val="top"/>
          </w:tcPr>
          <w:p>
            <w:r>
              <w:rPr>
                <w:sz w:val="15"/>
              </w:rPr>
              <w:t>C-D / Regular Event, append-only</w:t>
            </w:r>
          </w:p>
        </w:tc>
      </w:tr>
      <w:tr>
        <w:trPr>
          <w:tblHeader w:val="false"/>
          <w:cantSplit/>
        </w:trPr>
        <w:tc>
          <w:tcPr>
            <w:tcW w:type="dxa" w:w="1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vAlign w:val="top"/>
          </w:tcPr>
          <w:p>
            <w:r>
              <w:rPr>
                <w:sz w:val="15"/>
              </w:rPr>
              <w:t>7024</w:t>
            </w:r>
          </w:p>
        </w:tc>
        <w:tc>
          <w:tcPr>
            <w:tcW w:type="dxa" w:w="5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vAlign w:val="top"/>
          </w:tcPr>
          <w:p>
            <w:r>
              <w:rPr>
                <w:sz w:val="15"/>
              </w:rPr>
              <w:t>TERRA Share Allocation – Zuteilung nach Projektabschluss.</w:t>
            </w:r>
          </w:p>
        </w:tc>
        <w:tc>
          <w:tcPr>
            <w:tcW w:type="dxa" w:w="312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vAlign w:val="top"/>
          </w:tcPr>
          <w:p>
            <w:r>
              <w:rPr>
                <w:sz w:val="15"/>
              </w:rPr>
              <w:t>D / Regular Event, append-only</w:t>
            </w:r>
          </w:p>
        </w:tc>
      </w:tr>
      <w:tr>
        <w:trPr>
          <w:tblHeader w:val="false"/>
          <w:cantSplit/>
        </w:trPr>
        <w:tc>
          <w:tcPr>
            <w:tcW w:type="dxa" w:w="108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vAlign w:val="top"/>
          </w:tcPr>
          <w:p>
            <w:r>
              <w:rPr>
                <w:sz w:val="15"/>
              </w:rPr>
              <w:t>7025</w:t>
            </w:r>
          </w:p>
        </w:tc>
        <w:tc>
          <w:tcPr>
            <w:tcW w:type="dxa" w:w="516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vAlign w:val="top"/>
          </w:tcPr>
          <w:p>
            <w:r>
              <w:rPr>
                <w:sz w:val="15"/>
              </w:rPr>
              <w:t>Gaia Fund Transaction – reale Fondsbewegung oder zweckgebundene Buchung.</w:t>
            </w:r>
          </w:p>
        </w:tc>
        <w:tc>
          <w:tcPr>
            <w:tcW w:type="dxa" w:w="3120"/>
            <w:tcBorders>
              <w:top w:val="single" w:color="B0B0B0" w:sz="4"/>
              <w:left w:val="single" w:color="B0B0B0" w:sz="4"/>
              <w:bottom w:val="single" w:color="B0B0B0" w:sz="4"/>
              <w:right w:val="single" w:color="B0B0B0" w:sz="4"/>
            </w:tcBorders>
            <w:shd w:fill="F5F5F5" w:val="clear"/>
            <w:tcMar>
              <w:top w:type="dxa" w:w="100"/>
              <w:left w:type="dxa" w:w="140"/>
              <w:bottom w:type="dxa" w:w="100"/>
              <w:right w:type="dxa" w:w="140"/>
            </w:tcMar>
            <w:vAlign w:val="top"/>
          </w:tcPr>
          <w:p>
            <w:r>
              <w:rPr>
                <w:sz w:val="15"/>
              </w:rPr>
              <w:t>C-E / Regular Event, append-only</w:t>
            </w:r>
          </w:p>
        </w:tc>
      </w:tr>
      <w:tr>
        <w:trPr>
          <w:cantSplit/>
        </w:trPr>
        <w:tc>
          <w:tcPr>
            <w:tcW w:type="dxa" w:w="1080"/>
            <w:vAlign w:val="top"/>
          </w:tcPr>
          <w:p>
            <w:r>
              <w:rPr>
                <w:sz w:val="15"/>
              </w:rPr>
              <w:t>31023</w:t>
            </w:r>
          </w:p>
        </w:tc>
        <w:tc>
          <w:tcPr>
            <w:tcW w:type="dxa" w:w="5160"/>
            <w:vAlign w:val="top"/>
          </w:tcPr>
          <w:p>
            <w:r>
              <w:rPr>
                <w:sz w:val="15"/>
              </w:rPr>
              <w:t>TERRA Pool Status Snapshot – aktueller Projekt-/Pool-Stand.</w:t>
            </w:r>
          </w:p>
        </w:tc>
        <w:tc>
          <w:tcPr>
            <w:tcW w:type="dxa" w:w="3120"/>
            <w:vAlign w:val="top"/>
          </w:tcPr>
          <w:p>
            <w:r>
              <w:rPr>
                <w:sz w:val="15"/>
              </w:rPr>
              <w:t>D / Parameterized Replaceable</w:t>
            </w:r>
          </w:p>
        </w:tc>
      </w:tr>
      <w:tr>
        <w:trPr>
          <w:cantSplit/>
        </w:trPr>
        <w:tc>
          <w:tcPr>
            <w:tcW w:type="dxa" w:w="1080"/>
            <w:vAlign w:val="top"/>
          </w:tcPr>
          <w:p>
            <w:r>
              <w:rPr>
                <w:sz w:val="15"/>
              </w:rPr>
              <w:t>31026</w:t>
            </w:r>
          </w:p>
        </w:tc>
        <w:tc>
          <w:tcPr>
            <w:tcW w:type="dxa" w:w="5160"/>
            <w:vAlign w:val="top"/>
          </w:tcPr>
          <w:p>
            <w:r>
              <w:rPr>
                <w:sz w:val="15"/>
              </w:rPr>
              <w:t>AETHER Cell Policy – lokale Regeln für Claims, Audit und Bagatellgrenzen.</w:t>
            </w:r>
          </w:p>
        </w:tc>
        <w:tc>
          <w:tcPr>
            <w:tcW w:type="dxa" w:w="3120"/>
            <w:vAlign w:val="top"/>
          </w:tcPr>
          <w:p>
            <w:r>
              <w:rPr>
                <w:sz w:val="15"/>
              </w:rPr>
              <w:t>B1-C / Parameterized Replaceable</w:t>
            </w:r>
          </w:p>
        </w:tc>
      </w:tr>
      <w:tr>
        <w:trPr>
          <w:cantSplit/>
        </w:trPr>
        <w:tc>
          <w:tcPr>
            <w:tcW w:type="dxa" w:w="1080"/>
            <w:vAlign w:val="top"/>
          </w:tcPr>
          <w:p>
            <w:r>
              <w:rPr>
                <w:sz w:val="15"/>
              </w:rPr>
              <w:t>31027</w:t>
            </w:r>
          </w:p>
        </w:tc>
        <w:tc>
          <w:tcPr>
            <w:tcW w:type="dxa" w:w="5160"/>
            <w:vAlign w:val="top"/>
          </w:tcPr>
          <w:p>
            <w:r>
              <w:rPr>
                <w:sz w:val="15"/>
              </w:rPr>
              <w:t>HNI Policy Snapshot – aktuell gültige Prioritäten / Bedarfslagen.</w:t>
            </w:r>
          </w:p>
        </w:tc>
        <w:tc>
          <w:tcPr>
            <w:tcW w:type="dxa" w:w="3120"/>
            <w:vAlign w:val="top"/>
          </w:tcPr>
          <w:p>
            <w:r>
              <w:rPr>
                <w:sz w:val="15"/>
              </w:rPr>
              <w:t>C-D / Parameterized Replaceable</w:t>
            </w:r>
          </w:p>
        </w:tc>
      </w:tr>
      <w:tr>
        <w:trPr>
          <w:cantSplit/>
        </w:trPr>
        <w:tc>
          <w:tcPr>
            <w:tcW w:type="dxa" w:w="1080"/>
            <w:vAlign w:val="top"/>
          </w:tcPr>
          <w:p>
            <w:r>
              <w:rPr>
                <w:sz w:val="15"/>
              </w:rPr>
              <w:t>31028</w:t>
            </w:r>
          </w:p>
        </w:tc>
        <w:tc>
          <w:tcPr>
            <w:tcW w:type="dxa" w:w="5160"/>
            <w:vAlign w:val="top"/>
          </w:tcPr>
          <w:p>
            <w:r>
              <w:rPr>
                <w:sz w:val="15"/>
              </w:rPr>
              <w:t>Skill Class Policy Snapshot – aktuelle Klassen und Obergrenzen.</w:t>
            </w:r>
          </w:p>
        </w:tc>
        <w:tc>
          <w:tcPr>
            <w:tcW w:type="dxa" w:w="3120"/>
            <w:vAlign w:val="top"/>
          </w:tcPr>
          <w:p>
            <w:r>
              <w:rPr>
                <w:sz w:val="15"/>
              </w:rPr>
              <w:t>C-D / Parameterized Replaceable</w:t>
            </w:r>
          </w:p>
        </w:tc>
      </w:tr>
      <w:tr>
        <w:trPr>
          <w:cantSplit/>
        </w:trPr>
        <w:tc>
          <w:tcPr>
            <w:tcW w:type="dxa" w:w="1080"/>
            <w:vAlign w:val="top"/>
          </w:tcPr>
          <w:p>
            <w:r>
              <w:rPr>
                <w:sz w:val="15"/>
              </w:rPr>
              <w:t>31029</w:t>
            </w:r>
          </w:p>
        </w:tc>
        <w:tc>
          <w:tcPr>
            <w:tcW w:type="dxa" w:w="5160"/>
            <w:vAlign w:val="top"/>
          </w:tcPr>
          <w:p>
            <w:r>
              <w:rPr>
                <w:sz w:val="15"/>
              </w:rPr>
              <w:t>Gaia Fund Status Snapshot – aktueller Fondsstand.</w:t>
            </w:r>
          </w:p>
        </w:tc>
        <w:tc>
          <w:tcPr>
            <w:tcW w:type="dxa" w:w="3120"/>
            <w:vAlign w:val="top"/>
          </w:tcPr>
          <w:p>
            <w:r>
              <w:rPr>
                <w:sz w:val="15"/>
              </w:rPr>
              <w:t>C-E / Parameterized Replaceable</w:t>
            </w:r>
          </w:p>
        </w:tc>
      </w:tr>
      <w:tr>
        <w:trPr>
          <w:cantSplit/>
        </w:trPr>
        <w:tc>
          <w:tcPr>
            <w:tcW w:type="dxa" w:w="1080"/>
            <w:vAlign w:val="top"/>
          </w:tcPr>
          <w:p>
            <w:r>
              <w:rPr>
                <w:sz w:val="15"/>
              </w:rPr>
              <w:t>Hinweis</w:t>
            </w:r>
          </w:p>
        </w:tc>
        <w:tc>
          <w:tcPr>
            <w:tcW w:type="dxa" w:w="5160"/>
            <w:vAlign w:val="top"/>
          </w:tcPr>
          <w:p>
            <w:r>
              <w:rPr>
                <w:sz w:val="15"/>
              </w:rPr>
              <w:t>Die 310xx-Events sind nicht Quelle der Wahrheit, sondern nur aktuelle Ansichten oder Policies.</w:t>
            </w:r>
          </w:p>
        </w:tc>
        <w:tc>
          <w:tcPr>
            <w:tcW w:type="dxa" w:w="3120"/>
            <w:vAlign w:val="top"/>
          </w:tcPr>
          <w:p>
            <w:r>
              <w:rPr>
                <w:sz w:val="15"/>
              </w:rPr>
              <w:t>Rekonstruierbar aus Regular Events</w:t>
            </w:r>
          </w:p>
        </w:tc>
      </w:tr>
    </w:tbl>
    <w:p>
      <w:pPr>
        <w:spacing w:after="0"/>
      </w:pPr>
    </w:p>
    <w:p>
      <w:pPr>
        <w:spacing w:after="120" w:line="300"/>
      </w:pPr>
      <w:r>
        <w:rPr>
          <w:rFonts w:ascii="Calibri" w:cs="Calibri" w:eastAsia="Calibri" w:hAnsi="Calibri"/>
          <w:sz w:val="22"/>
          <w:szCs w:val="22"/>
        </w:rPr>
        <w:t>Die frühere Reservierung 31020 bis 31025 aus v0.2/v0.3 wird in v0.4 korrigiert: Historische AETHER-Ereignisse dürfen nicht als parameterized replaceable Events modelliert werden. Claims, Verifications, Gaia-Transaktionen, Korrekturen und TERRA-Share-Zuteilungen sind Regular Events und damit append-only. Nur aktueller Status, Policy-Snapshots oder UI-/Index-Snapshots dürfen im 30000er-Bereich liegen.</w:t>
      </w:r>
    </w:p>
    <w:p>
      <w:r>
        <w:t>Alle Events folgen weiterhin der projekt-eigenen NIP-01-Regel: Nostr-e-Tags sind 64-Hex Event-IDs; interne UUIDs wie aether_claim_id, terra_pool_id oder proposal_id gehören in Custom-Tags beziehungsweise in den verschlüsselten Payload.</w:t>
      </w:r>
    </w:p>
    <w:p>
      <w:pPr>
        <w:pStyle w:val="Heading2"/>
        <w:spacing w:after="160" w:before="280"/>
      </w:pPr>
      <w:r>
        <w:rPr>
          <w:rFonts w:ascii="Calibri" w:cs="Calibri" w:eastAsia="Calibri" w:hAnsi="Calibri"/>
          <w:b/>
          <w:bCs/>
          <w:sz w:val="26"/>
          <w:szCs w:val="26"/>
        </w:rPr>
        <w:t xml:space="preserve">19.3 Services / Module</w:t>
      </w:r>
    </w:p>
    <w:p>
      <w:pPr>
        <w:spacing w:after="120" w:line="300"/>
      </w:pPr>
      <w:r>
        <w:rPr>
          <w:rFonts w:ascii="Calibri" w:cs="Calibri" w:eastAsia="Calibri" w:hAnsi="Calibri"/>
          <w:sz w:val="22"/>
          <w:szCs w:val="22"/>
        </w:rPr>
        <w:t xml:space="preserve">Vorgeschlagene neue Service-Struktur, in Anlehnung an die bestehende OneApp-Architektur:</w:t>
      </w:r>
    </w:p>
    <w:p>
      <w:pPr>
        <w:pStyle w:val="ListParagraph"/>
        <w:numPr>
          <w:ilvl w:val="0"/>
          <w:numId w:val="2"/>
        </w:numPr>
        <w:spacing w:after="80" w:line="290"/>
      </w:pPr>
      <w:r>
        <w:rPr>
          <w:rFonts w:ascii="Calibri" w:cs="Calibri" w:eastAsia="Calibri" w:hAnsi="Calibri"/>
          <w:b/>
          <w:bCs/>
          <w:sz w:val="22"/>
          <w:szCs w:val="22"/>
        </w:rPr>
        <w:t xml:space="preserve">aether_service.dart – </w:t>
      </w:r>
      <w:r>
        <w:rPr>
          <w:rFonts w:ascii="Calibri" w:cs="Calibri" w:eastAsia="Calibri" w:hAnsi="Calibri"/>
          <w:sz w:val="22"/>
          <w:szCs w:val="22"/>
        </w:rPr>
        <w:t xml:space="preserve">Kern-Service für Claim-Erfassung, Saldenberechnung, Demurrage-Tick.</w:t>
      </w:r>
    </w:p>
    <w:p>
      <w:pPr>
        <w:pStyle w:val="ListParagraph"/>
        <w:numPr>
          <w:ilvl w:val="0"/>
          <w:numId w:val="2"/>
        </w:numPr>
        <w:spacing w:after="80" w:line="290"/>
      </w:pPr>
      <w:r>
        <w:rPr>
          <w:rFonts w:ascii="Calibri" w:cs="Calibri" w:eastAsia="Calibri" w:hAnsi="Calibri"/>
          <w:b/>
          <w:bCs/>
          <w:sz w:val="22"/>
          <w:szCs w:val="22"/>
        </w:rPr>
        <w:t xml:space="preserve">verification_service.dart – </w:t>
      </w:r>
      <w:r>
        <w:rPr>
          <w:rFonts w:ascii="Calibri" w:cs="Calibri" w:eastAsia="Calibri" w:hAnsi="Calibri"/>
          <w:sz w:val="22"/>
          <w:szCs w:val="22"/>
        </w:rPr>
        <w:t xml:space="preserve">Verifikator-Zuweisung (Random Audit), Bestätigungs-Workflow.</w:t>
      </w:r>
    </w:p>
    <w:p>
      <w:pPr>
        <w:pStyle w:val="ListParagraph"/>
        <w:numPr>
          <w:ilvl w:val="0"/>
          <w:numId w:val="2"/>
        </w:numPr>
        <w:spacing w:after="80" w:line="290"/>
      </w:pPr>
      <w:r>
        <w:rPr>
          <w:rFonts w:ascii="Calibri" w:cs="Calibri" w:eastAsia="Calibri" w:hAnsi="Calibri"/>
          <w:b/>
          <w:bCs/>
          <w:sz w:val="22"/>
          <w:szCs w:val="22"/>
        </w:rPr>
        <w:t xml:space="preserve">aether_publisher.dart – </w:t>
      </w:r>
      <w:r>
        <w:rPr>
          <w:rFonts w:ascii="Calibri" w:cs="Calibri" w:eastAsia="Calibri" w:hAnsi="Calibri"/>
          <w:sz w:val="22"/>
          <w:szCs w:val="22"/>
        </w:rPr>
        <w:t xml:space="preserve">Verschlüsselte Veröffentlichung von AETHER-Events über Nostr.</w:t>
      </w:r>
    </w:p>
    <w:p>
      <w:pPr>
        <w:pStyle w:val="ListParagraph"/>
        <w:numPr>
          <w:ilvl w:val="0"/>
          <w:numId w:val="2"/>
        </w:numPr>
        <w:spacing w:after="80" w:line="290"/>
      </w:pPr>
      <w:r>
        <w:rPr>
          <w:rFonts w:ascii="Calibri" w:cs="Calibri" w:eastAsia="Calibri" w:hAnsi="Calibri"/>
          <w:b/>
          <w:bCs/>
          <w:sz w:val="22"/>
          <w:szCs w:val="22"/>
        </w:rPr>
        <w:t xml:space="preserve">terra_service.dart – </w:t>
      </w:r>
      <w:r>
        <w:rPr>
          <w:rFonts w:ascii="Calibri" w:cs="Calibri" w:eastAsia="Calibri" w:hAnsi="Calibri"/>
          <w:sz w:val="22"/>
          <w:szCs w:val="22"/>
        </w:rPr>
        <w:t xml:space="preserve">TERRA-Pool-Verwaltung, an proposals_service angebunden.</w:t>
      </w:r>
    </w:p>
    <w:p>
      <w:pPr>
        <w:pStyle w:val="ListParagraph"/>
        <w:numPr>
          <w:ilvl w:val="0"/>
          <w:numId w:val="2"/>
        </w:numPr>
        <w:spacing w:after="80" w:line="290"/>
      </w:pPr>
      <w:r>
        <w:rPr>
          <w:rFonts w:ascii="Calibri" w:cs="Calibri" w:eastAsia="Calibri" w:hAnsi="Calibri"/>
          <w:b/>
          <w:bCs/>
          <w:sz w:val="22"/>
          <w:szCs w:val="22"/>
        </w:rPr>
        <w:t xml:space="preserve">gaia_fund_service.dart – </w:t>
      </w:r>
      <w:r>
        <w:rPr>
          <w:rFonts w:ascii="Calibri" w:cs="Calibri" w:eastAsia="Calibri" w:hAnsi="Calibri"/>
          <w:sz w:val="22"/>
          <w:szCs w:val="22"/>
        </w:rPr>
        <w:t xml:space="preserve">Lokaler Gaia-Pool, automatischer 10-%-Abzug.</w:t>
      </w:r>
    </w:p>
    <w:p>
      <w:pPr>
        <w:pStyle w:val="Heading2"/>
        <w:spacing w:after="160" w:before="280"/>
      </w:pPr>
      <w:r>
        <w:rPr>
          <w:rFonts w:ascii="Calibri" w:cs="Calibri" w:eastAsia="Calibri" w:hAnsi="Calibri"/>
          <w:b/>
          <w:bCs/>
          <w:sz w:val="26"/>
          <w:szCs w:val="26"/>
        </w:rPr>
        <w:t xml:space="preserve">19.4 UI-Verortung</w:t>
      </w:r>
    </w:p>
    <w:p>
      <w:pPr>
        <w:spacing w:after="120" w:line="300"/>
      </w:pPr>
      <w:r>
        <w:rPr>
          <w:rFonts w:ascii="Calibri" w:cs="Calibri" w:eastAsia="Calibri" w:hAnsi="Calibri"/>
          <w:sz w:val="22"/>
          <w:szCs w:val="22"/>
        </w:rPr>
        <w:t>Der Wallet-Screen existiert bereits in der OneApp. v0.4 schlägt folgende UI-Erweiterungen vor:</w:t>
      </w:r>
    </w:p>
    <w:p>
      <w:pPr>
        <w:pStyle w:val="ListParagraph"/>
        <w:numPr>
          <w:ilvl w:val="0"/>
          <w:numId w:val="2"/>
        </w:numPr>
        <w:spacing w:after="80" w:line="290"/>
      </w:pPr>
      <w:r>
        <w:rPr>
          <w:rFonts w:ascii="Calibri" w:cs="Calibri" w:eastAsia="Calibri" w:hAnsi="Calibri"/>
          <w:b/>
          <w:bCs/>
          <w:sz w:val="22"/>
          <w:szCs w:val="22"/>
        </w:rPr>
        <w:t xml:space="preserve">Wallet-Tab erweitern: </w:t>
      </w:r>
      <w:r>
        <w:rPr>
          <w:rFonts w:ascii="Calibri" w:cs="Calibri" w:eastAsia="Calibri" w:hAnsi="Calibri"/>
          <w:sz w:val="22"/>
          <w:szCs w:val="22"/>
        </w:rPr>
        <w:t xml:space="preserve">VITA-Saldo, TERRA-Anteile, AURA-Vektor (Spider-Diagramm pro Dimension), Demurrage-Tick-Anzeige.</w:t>
      </w:r>
    </w:p>
    <w:p>
      <w:pPr>
        <w:pStyle w:val="ListParagraph"/>
        <w:numPr>
          <w:ilvl w:val="0"/>
          <w:numId w:val="2"/>
        </w:numPr>
        <w:spacing w:after="80" w:line="290"/>
      </w:pPr>
      <w:r>
        <w:rPr>
          <w:rFonts w:ascii="Calibri" w:cs="Calibri" w:eastAsia="Calibri" w:hAnsi="Calibri"/>
          <w:b/>
          <w:bCs/>
          <w:sz w:val="22"/>
          <w:szCs w:val="22"/>
        </w:rPr>
        <w:t xml:space="preserve">Beitrag erfassen: </w:t>
      </w:r>
      <w:r>
        <w:rPr>
          <w:rFonts w:ascii="Calibri" w:cs="Calibri" w:eastAsia="Calibri" w:hAnsi="Calibri"/>
          <w:sz w:val="22"/>
          <w:szCs w:val="22"/>
        </w:rPr>
        <w:t xml:space="preserve">Neuer Bereich „Mein Beitrag“ unter Profil oder Sphäre Hestia – Claim-Erstellung, Tätigkeitskategorie, Zeitumfang, Empfänger.</w:t>
      </w:r>
    </w:p>
    <w:p>
      <w:pPr>
        <w:pStyle w:val="ListParagraph"/>
        <w:numPr>
          <w:ilvl w:val="0"/>
          <w:numId w:val="2"/>
        </w:numPr>
        <w:spacing w:after="80" w:line="290"/>
      </w:pPr>
      <w:r>
        <w:rPr>
          <w:rFonts w:ascii="Calibri" w:cs="Calibri" w:eastAsia="Calibri" w:hAnsi="Calibri"/>
          <w:b/>
          <w:bCs/>
          <w:sz w:val="22"/>
          <w:szCs w:val="22"/>
        </w:rPr>
        <w:t xml:space="preserve">Verifikator-Postfach: </w:t>
      </w:r>
      <w:r>
        <w:rPr>
          <w:rFonts w:ascii="Calibri" w:cs="Calibri" w:eastAsia="Calibri" w:hAnsi="Calibri"/>
          <w:sz w:val="22"/>
          <w:szCs w:val="22"/>
        </w:rPr>
        <w:t xml:space="preserve">Eingehende Verifikations-Aufträge erscheinen wie Beitrittsanfragen, mit Annehmen/Ablehnen/Stichhaltige Frage.</w:t>
      </w:r>
    </w:p>
    <w:p>
      <w:pPr>
        <w:pStyle w:val="ListParagraph"/>
        <w:numPr>
          <w:ilvl w:val="0"/>
          <w:numId w:val="2"/>
        </w:numPr>
        <w:spacing w:after="80" w:line="290"/>
      </w:pPr>
      <w:r>
        <w:rPr>
          <w:rFonts w:ascii="Calibri" w:cs="Calibri" w:eastAsia="Calibri" w:hAnsi="Calibri"/>
          <w:b/>
          <w:bCs/>
          <w:sz w:val="22"/>
          <w:szCs w:val="22"/>
        </w:rPr>
        <w:t xml:space="preserve">Gaia-Fonds-Anzeige: </w:t>
      </w:r>
      <w:r>
        <w:rPr>
          <w:rFonts w:ascii="Calibri" w:cs="Calibri" w:eastAsia="Calibri" w:hAnsi="Calibri"/>
          <w:sz w:val="22"/>
          <w:szCs w:val="22"/>
        </w:rPr>
        <w:t xml:space="preserve">Eigener Bereich in der Sphäre Demeter.</w:t>
      </w:r>
    </w:p>
    <w:p>
      <w:pPr>
        <w:pStyle w:val="ListParagraph"/>
        <w:numPr>
          <w:ilvl w:val="0"/>
          <w:numId w:val="2"/>
        </w:numPr>
        <w:spacing w:after="80" w:line="290"/>
      </w:pPr>
      <w:r>
        <w:rPr>
          <w:rFonts w:ascii="Calibri" w:cs="Calibri" w:eastAsia="Calibri" w:hAnsi="Calibri"/>
          <w:b/>
          <w:bCs/>
          <w:sz w:val="22"/>
          <w:szCs w:val="22"/>
        </w:rPr>
        <w:t xml:space="preserve">TERRA-Projekt-Status: </w:t>
      </w:r>
      <w:r>
        <w:rPr>
          <w:rFonts w:ascii="Calibri" w:cs="Calibri" w:eastAsia="Calibri" w:hAnsi="Calibri"/>
          <w:sz w:val="22"/>
          <w:szCs w:val="22"/>
        </w:rPr>
        <w:t xml:space="preserve">Erweiterung der bestehenden Proposal-Detailseite um TERRA-Pool und -Anteile.</w:t>
      </w:r>
    </w:p>
    <w:p>
      <w:pPr>
        <w:pStyle w:val="Heading2"/>
        <w:spacing w:after="160" w:before="280"/>
      </w:pPr>
      <w:r>
        <w:rPr>
          <w:rFonts w:ascii="Calibri" w:cs="Calibri" w:eastAsia="Calibri" w:hAnsi="Calibri"/>
          <w:b/>
          <w:bCs/>
          <w:sz w:val="26"/>
          <w:szCs w:val="26"/>
        </w:rPr>
        <w:t xml:space="preserve">19.5 Reihenfolge der Implementierung</w:t>
      </w:r>
    </w:p>
    <w:p>
      <w:pPr>
        <w:spacing w:after="120" w:line="300"/>
      </w:pPr>
      <w:r>
        <w:rPr>
          <w:rFonts w:ascii="Calibri" w:cs="Calibri" w:eastAsia="Calibri" w:hAnsi="Calibri"/>
          <w:sz w:val="22"/>
          <w:szCs w:val="22"/>
        </w:rPr>
        <w:t xml:space="preserve">Vorgeschlagene technische Reihenfolge:</w:t>
      </w:r>
    </w:p>
    <w:p>
      <w:r>
        <w:t>B0 ist ausdrücklich das Testnet der AETHER-Ökonomie. Es darf Menschen das Konzept erklären und UI-/Ledger-Logik testen, aber keine produktive Wertschöpfung auslösen.</w:t>
      </w:r>
    </w:p>
    <w:p>
      <w:pPr>
        <w:pStyle w:val="ListParagraph"/>
        <w:spacing w:after="80" w:line="290"/>
      </w:pPr>
      <w:r>
        <w:rPr>
          <w:rFonts w:ascii="Calibri" w:cs="Calibri" w:eastAsia="Calibri" w:hAnsi="Calibri"/>
          <w:sz w:val="22"/>
          <w:szCs w:val="22"/>
        </w:rPr>
        <w:t>– B0: Wallet- und Ledger-Simulation mit fiktiven oder lokalen Testwerten (UI-First, kein produktives Backend) – gibt Pionieren ein Bild, ohne Erwartungen zu wecken.</w:t>
      </w:r>
    </w:p>
    <w:p>
      <w:pPr>
        <w:pStyle w:val="ListParagraph"/>
        <w:spacing w:after="80" w:line="290"/>
      </w:pPr>
      <w:r>
        <w:rPr>
          <w:rFonts w:ascii="Calibri" w:cs="Calibri" w:eastAsia="Calibri" w:hAnsi="Calibri"/>
          <w:sz w:val="22"/>
          <w:szCs w:val="22"/>
        </w:rPr>
        <w:t>– B0: AETHER-Testnet / lokale Simulation – UI, Demo-Claims, Demo-Demurrage, Gaia-Abzug und Salden-Cache ohne Sync, ohne echte Verifikation und ohne wirtschaftliche Wirkung.</w:t>
      </w:r>
    </w:p>
    <w:p>
      <w:pPr>
        <w:pStyle w:val="ListParagraph"/>
        <w:spacing w:after="80" w:line="290"/>
      </w:pPr>
      <w:r>
        <w:rPr>
          <w:rFonts w:ascii="Calibri" w:cs="Calibri" w:eastAsia="Calibri" w:hAnsi="Calibri"/>
          <w:sz w:val="22"/>
          <w:szCs w:val="22"/>
        </w:rPr>
        <w:t>– B1/C: Random-Audit-Mechanik – verification_service mit deterministischer Zuweisung, Timeout/Re-Roll und Tests im Mehr-Geräte-Szenario; Start erst nach stabiler G2-Governance.</w:t>
      </w:r>
    </w:p>
    <w:p>
      <w:pPr>
        <w:pStyle w:val="ListParagraph"/>
        <w:spacing w:after="80" w:line="290"/>
      </w:pPr>
      <w:r>
        <w:rPr>
          <w:rFonts w:ascii="Calibri" w:cs="Calibri" w:eastAsia="Calibri" w:hAnsi="Calibri"/>
          <w:sz w:val="22"/>
          <w:szCs w:val="22"/>
        </w:rPr>
        <w:t>– C: NIP-44-Sync – aether_publisher, Verifikator-Postfach und append-only Regular Events für Claims und Verifications.</w:t>
      </w:r>
    </w:p>
    <w:p>
      <w:pPr>
        <w:pStyle w:val="ListParagraph"/>
        <w:spacing w:after="80" w:line="290"/>
      </w:pPr>
      <w:r>
        <w:rPr>
          <w:rFonts w:ascii="Calibri" w:cs="Calibri" w:eastAsia="Calibri" w:hAnsi="Calibri"/>
          <w:sz w:val="22"/>
          <w:szCs w:val="22"/>
        </w:rPr>
        <w:t>– TERRA-Modul (Phase D) – sobald G2 stabil, Random Audit erprobt, Append-only-Historie geprüft und mehrere Zellen die OneApp produktiv nutzen.</w:t>
      </w:r>
    </w:p>
    <w:p>
      <w:pPr>
        <w:pStyle w:val="ListParagraph"/>
        <w:spacing w:after="80" w:line="290"/>
      </w:pPr>
      <w:r>
        <w:rPr>
          <w:rFonts w:ascii="Calibri" w:cs="Calibri" w:eastAsia="Calibri" w:hAnsi="Calibri"/>
          <w:sz w:val="22"/>
          <w:szCs w:val="22"/>
        </w:rPr>
        <w:t>– Föderation und ZKP (Phase E) – sehr deutlich später, nicht in 2026 geplant.</w:t>
      </w:r>
    </w:p>
    <w:p>
      <w:pPr>
        <w:pBdr>
          <w:left w:val="single" w:color="D4AF37" w:sz="18" w:space="12"/>
        </w:pBdr>
        <w:spacing w:after="200" w:before="160" w:line="300"/>
        <w:ind w:left="360" w:right="360"/>
      </w:pPr>
      <w:r>
        <w:rPr>
          <w:rFonts w:ascii="Calibri" w:cs="Calibri" w:eastAsia="Calibri" w:hAnsi="Calibri"/>
          <w:i/>
          <w:iCs/>
          <w:sz w:val="22"/>
          <w:szCs w:val="22"/>
        </w:rPr>
        <w:t>Wichtig: B0 darf als gekennzeichnete Simulation vor G2 entstehen. B1, Phase C und alle TERRA-/HNI-/Skill-Governance-Funktionen setzen stabile G2 Liquid Democracy voraus.</w:t>
      </w:r>
    </w:p>
    <w:p>
      <w:pPr>
        <w:pStyle w:val="Heading1"/>
        <w:spacing w:after="200" w:before="360"/>
      </w:pPr>
      <w:r>
        <w:rPr>
          <w:rFonts w:ascii="Calibri" w:cs="Calibri" w:eastAsia="Calibri" w:hAnsi="Calibri"/>
          <w:b/>
          <w:bCs/>
          <w:sz w:val="32"/>
          <w:szCs w:val="32"/>
        </w:rPr>
        <w:t xml:space="preserve">20. Entscheidungsfragen für das Team</w:t>
      </w:r>
    </w:p>
    <w:p>
      <w:pPr>
        <w:pStyle w:val="Heading2"/>
        <w:spacing w:after="160" w:before="280"/>
      </w:pPr>
      <w:r>
        <w:rPr>
          <w:rFonts w:ascii="Calibri" w:cs="Calibri" w:eastAsia="Calibri" w:hAnsi="Calibri"/>
          <w:b/>
          <w:bCs/>
          <w:sz w:val="26"/>
          <w:szCs w:val="26"/>
        </w:rPr>
        <w:t xml:space="preserve">20.1 Begrifflichkeit</w:t>
      </w:r>
    </w:p>
    <w:p>
      <w:pPr>
        <w:spacing w:after="120" w:line="300"/>
      </w:pPr>
      <w:r>
        <w:rPr>
          <w:rFonts w:ascii="Calibri" w:cs="Calibri" w:eastAsia="Calibri" w:hAnsi="Calibri"/>
          <w:sz w:val="22"/>
          <w:szCs w:val="22"/>
        </w:rPr>
        <w:t xml:space="preserve">Soll öffentlich von „Währung“ gesprochen werden? Empfehlung: Intern kann AETHER als ökonomisches Protokoll verstanden werden. Öffentlich besser:</w:t>
      </w:r>
    </w:p>
    <w:p>
      <w:pPr>
        <w:pBdr>
          <w:left w:val="single" w:color="D4AF37" w:sz="18" w:space="12"/>
        </w:pBdr>
        <w:spacing w:after="200" w:before="160" w:line="300"/>
        <w:ind w:left="360" w:right="360"/>
      </w:pPr>
      <w:r>
        <w:rPr>
          <w:rFonts w:ascii="Calibri" w:cs="Calibri" w:eastAsia="Calibri" w:hAnsi="Calibri"/>
          <w:i/>
          <w:iCs/>
          <w:sz w:val="22"/>
          <w:szCs w:val="22"/>
        </w:rPr>
        <w:t xml:space="preserve">AETHER ist ein gemeinschaftliches Wertfluss- und Verrechnungsprotokoll der Menschheitsfamilie.</w:t>
      </w:r>
    </w:p>
    <w:p>
      <w:pPr>
        <w:pStyle w:val="Heading2"/>
        <w:spacing w:after="160" w:before="280"/>
      </w:pPr>
      <w:r>
        <w:rPr>
          <w:rFonts w:ascii="Calibri" w:cs="Calibri" w:eastAsia="Calibri" w:hAnsi="Calibri"/>
          <w:b/>
          <w:bCs/>
          <w:sz w:val="26"/>
          <w:szCs w:val="26"/>
        </w:rPr>
        <w:t xml:space="preserve">20.2 Grundformel für VITA</w:t>
      </w:r>
    </w:p>
    <w:p>
      <w:pPr>
        <w:spacing w:after="120" w:line="300"/>
      </w:pPr>
      <w:r>
        <w:rPr>
          <w:rFonts w:ascii="Calibri" w:cs="Calibri" w:eastAsia="Calibri" w:hAnsi="Calibri"/>
          <w:sz w:val="22"/>
          <w:szCs w:val="22"/>
        </w:rPr>
        <w:t xml:space="preserve">Vorschlag aus Kapitel 6: 1 Stunde Basisbeitrag = 10 VITA brutto, davon 10 % an Gaia-Fonds, 90 % an die Person. Offen: Ist die Skala 10 angemessen, oder lieber 100 oder 1000? Wichtig ist die Diskretheit – AETHER soll nicht beliebig fraktional sein.</w:t>
      </w:r>
    </w:p>
    <w:p>
      <w:pPr>
        <w:pStyle w:val="Heading2"/>
        <w:spacing w:after="160" w:before="280"/>
      </w:pPr>
      <w:r>
        <w:rPr>
          <w:rFonts w:ascii="Calibri" w:cs="Calibri" w:eastAsia="Calibri" w:hAnsi="Calibri"/>
          <w:b/>
          <w:bCs/>
          <w:sz w:val="26"/>
          <w:szCs w:val="26"/>
        </w:rPr>
        <w:t xml:space="preserve">20.3 Skill-Multiplikator</w:t>
      </w:r>
    </w:p>
    <w:p>
      <w:pPr>
        <w:spacing w:after="120" w:line="300"/>
      </w:pPr>
      <w:r>
        <w:rPr>
          <w:rFonts w:ascii="Calibri" w:cs="Calibri" w:eastAsia="Calibri" w:hAnsi="Calibri"/>
          <w:sz w:val="22"/>
          <w:szCs w:val="22"/>
        </w:rPr>
        <w:t xml:space="preserve">Vorschlag: 1,0 bis 3,0, sechs Klassen, keine freien Werte. Vergabe hybrid – Selbsteinschätzung plus Peer-Bestätigung für 1,0–2,0; Governance-Beschluss ab 2,5. Bedarfs-Bonus max. +50 %, zeitlich begrenzt auf 6 Monate.</w:t>
      </w:r>
    </w:p>
    <w:p>
      <w:pPr>
        <w:pStyle w:val="Heading2"/>
        <w:spacing w:after="160" w:before="280"/>
      </w:pPr>
      <w:r>
        <w:rPr>
          <w:rFonts w:ascii="Calibri" w:cs="Calibri" w:eastAsia="Calibri" w:hAnsi="Calibri"/>
          <w:b/>
          <w:bCs/>
          <w:sz w:val="26"/>
          <w:szCs w:val="26"/>
        </w:rPr>
        <w:t xml:space="preserve">20.4 Wann entsteht VITA?</w:t>
      </w:r>
    </w:p>
    <w:p>
      <w:pPr>
        <w:spacing w:after="120" w:line="300"/>
      </w:pPr>
      <w:r>
        <w:rPr>
          <w:rFonts w:ascii="Calibri" w:cs="Calibri" w:eastAsia="Calibri" w:hAnsi="Calibri"/>
          <w:sz w:val="22"/>
          <w:szCs w:val="22"/>
        </w:rPr>
        <w:t>Vorschlag: Stufe 2 (eine zufällige Bestätigung) für kleine Beiträge bis 15 VITA, Stufe 3 (zwei zufällige Bestätigungen plus Output) für mittlere und große Beiträge, Stufe 4 (Governance) für TERRA-Projekte. Kleinstbeiträge unterhalb einer Bagatellgrenze können gesammelt oder nur stichprobenartig geprüft werden.</w:t>
      </w:r>
    </w:p>
    <w:p>
      <w:pPr>
        <w:pStyle w:val="Heading2"/>
        <w:spacing w:after="160" w:before="280"/>
      </w:pPr>
      <w:r>
        <w:rPr>
          <w:rFonts w:ascii="Calibri" w:cs="Calibri" w:eastAsia="Calibri" w:hAnsi="Calibri"/>
          <w:b/>
          <w:bCs/>
          <w:sz w:val="26"/>
          <w:szCs w:val="26"/>
        </w:rPr>
        <w:t xml:space="preserve">20.5 AURA-Modell</w:t>
      </w:r>
    </w:p>
    <w:p>
      <w:pPr>
        <w:spacing w:after="120" w:line="300"/>
      </w:pPr>
      <w:r>
        <w:rPr>
          <w:rFonts w:ascii="Calibri" w:cs="Calibri" w:eastAsia="Calibri" w:hAnsi="Calibri"/>
          <w:sz w:val="22"/>
          <w:szCs w:val="22"/>
        </w:rPr>
        <w:t xml:space="preserve">Vorschlag: Mehrdimensional von Anfang an (CARE, TECH, EDUCATION, GOVERNANCE, ECOLOGY, ART, CONFLICT_RESOLUTION). Keine globale Rangliste. Verfall langsam (z.B. 2 % pro Monat in einer Dimension ohne Aktivität).</w:t>
      </w:r>
    </w:p>
    <w:p>
      <w:pPr>
        <w:pStyle w:val="Heading2"/>
        <w:spacing w:after="160" w:before="280"/>
      </w:pPr>
      <w:r>
        <w:rPr>
          <w:rFonts w:ascii="Calibri" w:cs="Calibri" w:eastAsia="Calibri" w:hAnsi="Calibri"/>
          <w:b/>
          <w:bCs/>
          <w:sz w:val="26"/>
          <w:szCs w:val="26"/>
        </w:rPr>
        <w:t xml:space="preserve">20.6 Grundversorgung und Würde-Status</w:t>
      </w:r>
    </w:p>
    <w:p>
      <w:pPr>
        <w:spacing w:after="120" w:line="300"/>
      </w:pPr>
      <w:r>
        <w:rPr>
          <w:rFonts w:ascii="Calibri" w:cs="Calibri" w:eastAsia="Calibri" w:hAnsi="Calibri"/>
          <w:sz w:val="22"/>
          <w:szCs w:val="22"/>
        </w:rPr>
        <w:t>Vorschlag: Zwei VITA-Zuflüsse (Beitrags-VITA und Würde-VITA), Würde-Status mit medizinischer Zertifizierung, automatische mittlere AURA für Würde-Status-Personen. Zusätzlich temporärer Schutzstatus für Krankheit, Krise, Trauma, Trauer, Pflegezeit und Erholung. Konkrete Höhe der Grundversorgung lokal anpassbar (Bauplan-Referenz: ca. 800 VITA/Monat).</w:t>
      </w:r>
    </w:p>
    <w:p>
      <w:pPr>
        <w:pStyle w:val="Heading2"/>
        <w:spacing w:after="160" w:before="280"/>
      </w:pPr>
      <w:r>
        <w:rPr>
          <w:rFonts w:ascii="Calibri" w:cs="Calibri" w:eastAsia="Calibri" w:hAnsi="Calibri"/>
          <w:b/>
          <w:bCs/>
          <w:sz w:val="26"/>
          <w:szCs w:val="26"/>
        </w:rPr>
        <w:t xml:space="preserve">20.7 Gaia-Fonds</w:t>
      </w:r>
    </w:p>
    <w:p>
      <w:pPr>
        <w:spacing w:after="120" w:line="300"/>
      </w:pPr>
      <w:r>
        <w:rPr>
          <w:rFonts w:ascii="Calibri" w:cs="Calibri" w:eastAsia="Calibri" w:hAnsi="Calibri"/>
          <w:sz w:val="22"/>
          <w:szCs w:val="22"/>
        </w:rPr>
        <w:t xml:space="preserve">Vorschlag (Bauplan-konform): 10 % fix, 70 % lokal, 30 % inter-zellulär. Entscheidungsregel: Algorithmus schlägt vor, Zelle entscheidet, optionales Gaia-Komitee berät.</w:t>
      </w:r>
    </w:p>
    <w:p>
      <w:pPr>
        <w:pStyle w:val="Heading2"/>
        <w:spacing w:after="160" w:before="280"/>
      </w:pPr>
      <w:r>
        <w:rPr>
          <w:rFonts w:ascii="Calibri" w:cs="Calibri" w:eastAsia="Calibri" w:hAnsi="Calibri"/>
          <w:b/>
          <w:bCs/>
          <w:sz w:val="26"/>
          <w:szCs w:val="26"/>
        </w:rPr>
        <w:t xml:space="preserve">20.8 TERRA-Schöpfung</w:t>
      </w:r>
    </w:p>
    <w:p>
      <w:pPr>
        <w:spacing w:after="120" w:line="300"/>
      </w:pPr>
      <w:r>
        <w:rPr>
          <w:rFonts w:ascii="Calibri" w:cs="Calibri" w:eastAsia="Calibri" w:hAnsi="Calibri"/>
          <w:sz w:val="22"/>
          <w:szCs w:val="22"/>
        </w:rPr>
        <w:t xml:space="preserve">Vorschlag aus Kapitel 13: Drei semantisch getrennte Bedeutungen (Pool / Anteil / Nutzungsrecht), Schöpfung über G1 Proposals plus G2 Liquid Democracy, kein Sekundärmarkt.</w:t>
      </w:r>
    </w:p>
    <w:p>
      <w:pPr>
        <w:pStyle w:val="Heading1"/>
        <w:spacing w:after="200" w:before="360"/>
      </w:pPr>
      <w:r>
        <w:rPr>
          <w:rFonts w:ascii="Calibri" w:cs="Calibri" w:eastAsia="Calibri" w:hAnsi="Calibri"/>
          <w:b/>
          <w:bCs/>
          <w:sz w:val="32"/>
          <w:szCs w:val="32"/>
        </w:rPr>
        <w:t xml:space="preserve">21. Empfehlung für den nächsten praktischen Schritt</w:t>
      </w:r>
    </w:p>
    <w:p>
      <w:pPr>
        <w:spacing w:after="120" w:line="300"/>
      </w:pPr>
      <w:r>
        <w:rPr>
          <w:rFonts w:ascii="Calibri" w:cs="Calibri" w:eastAsia="Calibri" w:hAnsi="Calibri"/>
          <w:sz w:val="22"/>
          <w:szCs w:val="22"/>
        </w:rPr>
        <w:t>Diese Spezifikation soll in der Teamdiskussion nicht als fertiges Modell präsentiert werden, sondern als AETHER v0.3 – Erweiterte Diskussionsgrundlage zur Übersetzung des Bauplans in ein prüfbares, menschenwürdiges und technisch implementierbares Wertfluss-Protokoll.</w:t>
      </w:r>
    </w:p>
    <w:p>
      <w:pPr>
        <w:pStyle w:val="Heading2"/>
        <w:spacing w:after="160" w:before="280"/>
      </w:pPr>
      <w:r>
        <w:rPr>
          <w:rFonts w:ascii="Calibri" w:cs="Calibri" w:eastAsia="Calibri" w:hAnsi="Calibri"/>
          <w:b/>
          <w:bCs/>
          <w:sz w:val="26"/>
          <w:szCs w:val="26"/>
        </w:rPr>
        <w:t xml:space="preserve">21.1 Drei Ergebnisse vor Phase B</w:t>
      </w:r>
    </w:p>
    <w:p>
      <w:pPr>
        <w:pStyle w:val="ListParagraph"/>
        <w:numPr>
          <w:ilvl w:val="0"/>
          <w:numId w:val="3"/>
        </w:numPr>
        <w:spacing w:after="80" w:line="290"/>
      </w:pPr>
      <w:r>
        <w:rPr>
          <w:rFonts w:ascii="Calibri" w:cs="Calibri" w:eastAsia="Calibri" w:hAnsi="Calibri"/>
          <w:sz w:val="22"/>
          <w:szCs w:val="22"/>
        </w:rPr>
        <w:t xml:space="preserve">Fachliche Leitplanken: Was ist unverhandelbar?</w:t>
      </w:r>
    </w:p>
    <w:p>
      <w:pPr>
        <w:pStyle w:val="ListParagraph"/>
        <w:numPr>
          <w:ilvl w:val="0"/>
          <w:numId w:val="3"/>
        </w:numPr>
        <w:spacing w:after="80" w:line="290"/>
      </w:pPr>
      <w:r>
        <w:rPr>
          <w:rFonts w:ascii="Calibri" w:cs="Calibri" w:eastAsia="Calibri" w:hAnsi="Calibri"/>
          <w:sz w:val="22"/>
          <w:szCs w:val="22"/>
        </w:rPr>
        <w:t xml:space="preserve">Ökonomische Modellentscheidung: Welche Grundformel testen wir zuerst?</w:t>
      </w:r>
    </w:p>
    <w:p>
      <w:pPr>
        <w:pStyle w:val="ListParagraph"/>
        <w:numPr>
          <w:ilvl w:val="0"/>
          <w:numId w:val="3"/>
        </w:numPr>
        <w:spacing w:after="80" w:line="290"/>
      </w:pPr>
      <w:r>
        <w:rPr>
          <w:rFonts w:ascii="Calibri" w:cs="Calibri" w:eastAsia="Calibri" w:hAnsi="Calibri"/>
          <w:sz w:val="22"/>
          <w:szCs w:val="22"/>
        </w:rPr>
        <w:t xml:space="preserve">Technische MVP-Freigabe: Was darf Claude Code als lokale Simulation bauen?</w:t>
      </w:r>
    </w:p>
    <w:p>
      <w:pPr>
        <w:pStyle w:val="Heading2"/>
        <w:spacing w:after="160" w:before="280"/>
      </w:pPr>
      <w:r>
        <w:rPr>
          <w:rFonts w:ascii="Calibri" w:cs="Calibri" w:eastAsia="Calibri" w:hAnsi="Calibri"/>
          <w:b/>
          <w:bCs/>
          <w:sz w:val="26"/>
          <w:szCs w:val="26"/>
        </w:rPr>
        <w:t xml:space="preserve">21.2 Kernempfehlung</w:t>
      </w:r>
    </w:p>
    <w:p>
      <w:pPr>
        <w:pBdr>
          <w:left w:val="single" w:color="D4AF37" w:sz="18" w:space="12"/>
        </w:pBdr>
        <w:spacing w:after="200" w:before="160" w:line="300"/>
        <w:ind w:left="360" w:right="360"/>
      </w:pPr>
      <w:r>
        <w:rPr>
          <w:rFonts w:ascii="Calibri" w:cs="Calibri" w:eastAsia="Calibri" w:hAnsi="Calibri"/>
          <w:i/>
          <w:iCs/>
          <w:sz w:val="22"/>
          <w:szCs w:val="22"/>
        </w:rPr>
        <w:t xml:space="preserve">Baue AETHER in der OneApp zuerst als Simulation und internes Ledger, nicht als echtes Zahlungssystem. Das schützt vor rechtlichen Risiken, falscher öffentlicher Wahrnehmung, Spekulationsmissbrauch, technischer Überforderung, ökonomischen Denkfehlern und zu früher Festlegung.</w:t>
      </w:r>
    </w:p>
    <w:p>
      <w:pPr>
        <w:pStyle w:val="Heading2"/>
        <w:spacing w:after="160" w:before="280"/>
      </w:pPr>
      <w:r>
        <w:rPr>
          <w:rFonts w:ascii="Calibri" w:cs="Calibri" w:eastAsia="Calibri" w:hAnsi="Calibri"/>
          <w:b/>
          <w:bCs/>
          <w:sz w:val="26"/>
          <w:szCs w:val="26"/>
        </w:rPr>
        <w:t xml:space="preserve">21.3 Reihenfolge im Roadmap-Kontext</w:t>
      </w:r>
    </w:p>
    <w:p>
      <w:pPr>
        <w:spacing w:after="120" w:line="300"/>
      </w:pPr>
      <w:r>
        <w:rPr>
          <w:rFonts w:ascii="Calibri" w:cs="Calibri" w:eastAsia="Calibri" w:hAnsi="Calibri"/>
          <w:sz w:val="22"/>
          <w:szCs w:val="22"/>
        </w:rPr>
        <w:t xml:space="preserve">Diese Spezifikation steht im Spannungsverhältnis zur aktuellen OneApp-Roadmap (Stand v0.1.12-alpha). Vorgeschlagene Sequenz:</w:t>
      </w:r>
    </w:p>
    <w:p>
      <w:pPr>
        <w:pStyle w:val="ListParagraph"/>
        <w:numPr>
          <w:ilvl w:val="0"/>
          <w:numId w:val="3"/>
        </w:numPr>
        <w:spacing w:after="80" w:line="290"/>
      </w:pPr>
      <w:r>
        <w:rPr>
          <w:rFonts w:ascii="Calibri" w:cs="Calibri" w:eastAsia="Calibri" w:hAnsi="Calibri"/>
          <w:sz w:val="22"/>
          <w:szCs w:val="22"/>
        </w:rPr>
        <w:t>AETHER v1.0 fachlich finalisieren (Beirat, Phase A) – Schreibtischarbeit, kein produktiver Code.</w:t>
      </w:r>
    </w:p>
    <w:p>
      <w:pPr>
        <w:pStyle w:val="ListParagraph"/>
        <w:numPr>
          <w:ilvl w:val="0"/>
          <w:numId w:val="3"/>
        </w:numPr>
        <w:spacing w:after="80" w:line="290"/>
      </w:pPr>
      <w:r>
        <w:rPr>
          <w:rFonts w:ascii="Calibri" w:cs="Calibri" w:eastAsia="Calibri" w:hAnsi="Calibri"/>
          <w:sz w:val="22"/>
          <w:szCs w:val="22"/>
        </w:rPr>
        <w:t>OneApp G2 Liquid Democracy fertigstellen – stabilisiert die Governance-Schicht, die TERRA-Schöpfung, HNI-Anpassung und B1 später brauchen werden.</w:t>
      </w:r>
    </w:p>
    <w:p>
      <w:pPr>
        <w:pStyle w:val="ListParagraph"/>
        <w:numPr>
          <w:ilvl w:val="0"/>
          <w:numId w:val="3"/>
        </w:numPr>
        <w:spacing w:after="80" w:line="290"/>
      </w:pPr>
      <w:r>
        <w:rPr>
          <w:rFonts w:ascii="Calibri" w:cs="Calibri" w:eastAsia="Calibri" w:hAnsi="Calibri"/>
          <w:sz w:val="22"/>
          <w:szCs w:val="22"/>
        </w:rPr>
        <w:t>AETHER B0 als rein lokale UI-/Ledger-Simulation – ohne Nostr-Sync, ohne Verifikation, ohne externe Wirkung.</w:t>
      </w:r>
    </w:p>
    <w:p>
      <w:pPr>
        <w:pStyle w:val="ListParagraph"/>
        <w:numPr>
          <w:ilvl w:val="0"/>
          <w:numId w:val="3"/>
        </w:numPr>
        <w:spacing w:after="80" w:line="290"/>
      </w:pPr>
      <w:r>
        <w:rPr>
          <w:rFonts w:ascii="Calibri" w:cs="Calibri" w:eastAsia="Calibri" w:hAnsi="Calibri"/>
          <w:sz w:val="22"/>
          <w:szCs w:val="22"/>
        </w:rPr>
        <w:t>AETHER B1 als echte zellbezogene lokale AETHER-Logik – nach G2, zunächst ohne globalen Sync.</w:t>
      </w:r>
    </w:p>
    <w:p>
      <w:pPr>
        <w:pStyle w:val="ListParagraph"/>
      </w:pPr>
      <w:r>
        <w:t>B1/C: Zellbezogene Ledgerlogik und zellinterne Verifikation – erst nach stabiler G2-Governance; Random Audit mit Timeout/Re-Roll über NIP-44-verschlüsselte, append-only Events.</w:t>
      </w:r>
    </w:p>
    <w:p>
      <w:pPr>
        <w:pStyle w:val="ListParagraph"/>
        <w:spacing w:after="80" w:line="290"/>
      </w:pPr>
      <w:r>
        <w:rPr>
          <w:rFonts w:ascii="Calibri" w:cs="Calibri" w:eastAsia="Calibri" w:hAnsi="Calibri"/>
          <w:sz w:val="22"/>
          <w:szCs w:val="22"/>
        </w:rPr>
        <w:t>– TERRA-Modul (Phase D) – sobald G2 stabil, Random Audit erprobt, Append-only-Historie geprüft und mehrere Zellen die OneApp produktiv nutzen.</w:t>
      </w:r>
    </w:p>
    <w:p>
      <w:pPr>
        <w:spacing w:after="120" w:line="300"/>
      </w:pPr>
      <w:r>
        <w:rPr>
          <w:rFonts w:ascii="Calibri" w:cs="Calibri" w:eastAsia="Calibri" w:hAnsi="Calibri"/>
          <w:sz w:val="22"/>
          <w:szCs w:val="22"/>
        </w:rPr>
        <w:t xml:space="preserve">Jeder dieser Schritte muss eigenständig funktionieren, bevor der nächste startet. Das ist das Killer-App-Prinzip aus dem Bauplan – und es gilt auch für AETHER selbst.</w:t>
      </w:r>
    </w:p>
    <w:p>
      <w:r>
        <w:t>Leitsatz für v0.3: AETHER darf nicht nur betrugssicher sein. Es muss auch menschlich bleiben.</w:t>
      </w:r>
    </w:p>
    <w:p>
      <w:r>
        <w:br w:type="page"/>
      </w:r>
    </w:p>
    <w:p/>
    <w:p>
      <w:r>
        <w:t>AETHER darf nicht nur betrugssicher sein. Es muss auch menschlich bleiben. Und technisch gilt: Die Wahrheit liegt in der signierten, append-only Ereignishistorie; jeder Kontostand, jeder Status und jede grafische Anzeige ist nur eine daraus berechnete Ansicht.</w:t>
      </w:r>
    </w:p>
    <w:p>
      <w:pPr>
        <w:pStyle w:val="Heading2"/>
      </w:pPr>
      <w:r>
        <w:t>21.4 Architektur-Leitsatz für v0.4</w:t>
      </w:r>
    </w:p>
    <w:p>
      <w:pPr>
        <w:pStyle w:val="ListParagraph"/>
      </w:pPr>
      <w:r>
        <w:t>Zusätzliche technische Rückmeldung aus der Modellprüfung zu v0.3: Korrektur der Nostr-Kind-Zuordnung, Append-only-Abgrenzung und Offline-/Re-Roll-Mechanik für Random Audit.</w:t>
      </w:r>
    </w:p>
    <w:p>
      <w:pPr>
        <w:pStyle w:val="Heading1"/>
        <w:spacing w:after="200" w:before="360"/>
      </w:pPr>
      <w:r>
        <w:rPr>
          <w:rFonts w:ascii="Calibri" w:cs="Calibri" w:eastAsia="Calibri" w:hAnsi="Calibri"/>
          <w:b/>
          <w:bCs/>
          <w:sz w:val="32"/>
          <w:szCs w:val="32"/>
        </w:rPr>
        <w:t xml:space="preserve">Quellen- und Bezugshinweise</w:t>
      </w:r>
    </w:p>
    <w:p>
      <w:pPr>
        <w:spacing w:after="120" w:line="300"/>
      </w:pPr>
      <w:r>
        <w:rPr>
          <w:rFonts w:ascii="Calibri" w:cs="Calibri" w:eastAsia="Calibri" w:hAnsi="Calibri"/>
          <w:sz w:val="22"/>
          <w:szCs w:val="22"/>
        </w:rPr>
        <w:t xml:space="preserve">Dieses Dokument basiert auf der vorherigen fachlichen Ausarbeitung der Spezifikation v0.1 und bezieht sich inhaltlich auf folgende Projektunterlagen:</w:t>
      </w:r>
    </w:p>
    <w:p>
      <w:pPr>
        <w:pStyle w:val="ListParagraph"/>
        <w:numPr>
          <w:ilvl w:val="0"/>
          <w:numId w:val="2"/>
        </w:numPr>
        <w:spacing w:after="80" w:line="290"/>
      </w:pPr>
      <w:r>
        <w:rPr>
          <w:rFonts w:ascii="Calibri" w:cs="Calibri" w:eastAsia="Calibri" w:hAnsi="Calibri"/>
          <w:sz w:val="22"/>
          <w:szCs w:val="22"/>
        </w:rPr>
        <w:t xml:space="preserve">BAUPLAN Projekt N.E.X.U.S. V12.x, insbesondere Kapitel 5 „Die Ökonomie“ (5.3 AETHER-Protokoll, 5.8 Geldschöpfung, 5.8.1 Gaia-Fonds, 5.9 Dreifaltigkeit der Wahrheit, 5.10 Skill-Multiplikator, 5.17 Demurrage, 5.19 Human Need Index, 5.24 Airlock Protocol) und Kapitel 9.2 „Bootstrapping“.</w:t>
      </w:r>
    </w:p>
    <w:p>
      <w:pPr>
        <w:pStyle w:val="ListParagraph"/>
        <w:numPr>
          <w:ilvl w:val="0"/>
          <w:numId w:val="2"/>
        </w:numPr>
        <w:spacing w:after="80" w:line="290"/>
      </w:pPr>
      <w:r>
        <w:rPr>
          <w:rFonts w:ascii="Calibri" w:cs="Calibri" w:eastAsia="Calibri" w:hAnsi="Calibri"/>
          <w:sz w:val="22"/>
          <w:szCs w:val="22"/>
        </w:rPr>
        <w:t xml:space="preserve">Bauplan Kapitel 7.2.4 „Würde-Status“ – Grundlage für Kapitel 12.2 dieser Spezifikation.</w:t>
      </w:r>
    </w:p>
    <w:p>
      <w:pPr>
        <w:pStyle w:val="ListParagraph"/>
        <w:numPr>
          <w:ilvl w:val="0"/>
          <w:numId w:val="2"/>
        </w:numPr>
        <w:spacing w:after="80" w:line="290"/>
      </w:pPr>
      <w:r>
        <w:rPr>
          <w:rFonts w:ascii="Calibri" w:cs="Calibri" w:eastAsia="Calibri" w:hAnsi="Calibri"/>
          <w:sz w:val="22"/>
          <w:szCs w:val="22"/>
        </w:rPr>
        <w:t xml:space="preserve">N.E.X.U.S. OneApp: Technischer Implementierungsplan V5.2, insbesondere die Angaben zum bestehenden OneApp-Stand v0.1.12-alpha, Identity, verschlüsseltem POD, Transport-Architektur, Governance-Roadmap (G1, G2) und Wallet-Bereich.</w:t>
      </w:r>
    </w:p>
    <w:p>
      <w:pPr>
        <w:pStyle w:val="ListParagraph"/>
        <w:numPr>
          <w:ilvl w:val="0"/>
          <w:numId w:val="2"/>
        </w:numPr>
        <w:spacing w:after="80" w:line="290"/>
      </w:pPr>
      <w:r>
        <w:rPr>
          <w:rFonts w:ascii="Calibri" w:cs="Calibri" w:eastAsia="Calibri" w:hAnsi="Calibri"/>
          <w:sz w:val="22"/>
          <w:szCs w:val="22"/>
        </w:rPr>
        <w:t xml:space="preserve">N.E.X.U.S. OneApp Codebase Audit v0.1.11.</w:t>
      </w:r>
    </w:p>
    <w:p>
      <w:pPr>
        <w:pStyle w:val="ListParagraph"/>
        <w:numPr>
          <w:ilvl w:val="0"/>
          <w:numId w:val="2"/>
        </w:numPr>
        <w:spacing w:after="80" w:line="290"/>
      </w:pPr>
      <w:r>
        <w:rPr>
          <w:rFonts w:ascii="Calibri" w:cs="Calibri" w:eastAsia="Calibri" w:hAnsi="Calibri"/>
          <w:sz w:val="22"/>
          <w:szCs w:val="22"/>
        </w:rPr>
        <w:t xml:space="preserve">AETHER-Spezifikation v0.1 – die hier weiterentwickelte Vorgängerversion.</w:t>
      </w:r>
    </w:p>
    <w:p>
      <w:pPr>
        <w:pStyle w:val="ListParagraph"/>
      </w:pPr>
      <w:r>
        <w:t>AETHER-Spezifikation v0.2 und v0.3 – erweiterte Arbeitsentwürfe mit Random Audit, TERRA-Verfahren, Würde-Status, temporärem Schutzstatus, Privacy-Architektur, Architektur-Anhang und Event-Sourcing-Prinzip.</w:t>
      </w:r>
    </w:p>
    <w:p>
      <w:pPr>
        <w:spacing w:after="120" w:line="300"/>
      </w:pPr>
      <w:r>
        <w:rPr>
          <w:rFonts w:ascii="Calibri" w:cs="Calibri" w:eastAsia="Calibri" w:hAnsi="Calibri"/>
          <w:sz w:val="22"/>
          <w:szCs w:val="22"/>
        </w:rPr>
        <w:t>Erweiterter Arbeitsentwurf v0.4. Nicht final. Nicht rechtsverbindlich. Diskussionsgrundlage.</w:t>
      </w:r>
    </w:p>
    <w:sectPr>
      <w:headerReference w:type="default" r:id="rId7"/>
      <w:footerReference w:type="default" r:id="rId8"/>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Seite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 Diskussionsgrundlage – nicht final – nicht rechtsverbindlich</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N.E.X.U.S. OneApp | AETHER-Spezifikation v0.4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1628"/>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0A1628"/>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0A1628"/>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AETHER-Spezifikation v0.3</dc:title>
  <dc:creator>N.E.X.U.S. OneApp</dc:creator>
  <cp:lastModifiedBy>Un-named</cp:lastModifiedBy>
  <cp:revision>1</cp:revision>
  <dcterms:created xsi:type="dcterms:W3CDTF">2026-05-06T07:24:43.860Z</dcterms:created>
  <dcterms:modified xsi:type="dcterms:W3CDTF">2026-05-06T07:24:43.861Z</dcterms:modified>
  <dc:subject>Fachliche Spezifikation des AETHER-Protokolls für die N.E.X.U.S. OneApp</dc:subject>
</cp:coreProperties>
</file>

<file path=docProps/custom.xml><?xml version="1.0" encoding="utf-8"?>
<Properties xmlns="http://schemas.openxmlformats.org/officeDocument/2006/custom-properties" xmlns:vt="http://schemas.openxmlformats.org/officeDocument/2006/docPropsVTypes"/>
</file>