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rPr>
          <w:rFonts w:ascii="Times New Roman" w:eastAsia="黑体" w:hAnsi="Times New Roman" w:hint="eastAsia"/>
          <w:b/>
          <w:bCs/>
          <w:sz w:val="32"/>
          <w:szCs w:val="32"/>
        </w:rPr>
        <w:pStyle w:val="a3"/>
        <w:keepNext/>
        <w:outlineLvl w:val="0"/>
      </w:pPr>
      <w:r>
        <w:rPr>
          <w:rFonts w:ascii="Times New Roman" w:eastAsia="黑体" w:hAnsi="Times New Roman" w:hint="eastAsia"/>
          <w:b/>
          <w:bCs/>
          <w:color w:val="000000"/>
          <w:sz w:val="32"/>
          <w:szCs w:val="32"/>
          <w:u w:val="none"/>
        </w:rPr>
        <w:t>超级智能体与自主闭环构建</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挑战任务要求安全智能体具备复杂逻辑推理、跨域协同和自主处置能力。面对一条复杂攻击告警，系统既要说明从异常现象到攻击结论的推理依据，也要根据流量、端点和日志等多源数据自主安排调查任务，并在获得新观测后调整计划。最终，智能体还要调用防火墙和EDR完成处置、验证效果并保存全过程记录。</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围绕这一目标，猎影平台已经在现有告警研判链路上接入SuperAgent多智能体编排与自主响应模块，形成“初判—规划—跨源调查—观测反馈—重新规划—证据复核—处置执行—效果验证”的闭环。默认模拟环境可以在不连接真实设备的条件下完整演示零人工干预流程；真实防火墙和EDR则通过受控Webhook接口预留，待取得授权账号后即可联调。</w:t>
      </w:r>
    </w:p>
    <w:p>
      <w:pPr>
        <w:spacing w:line="360" w:lineRule="auto"/>
        <w:rPr>
          <w:rFonts w:ascii="Times New Roman" w:eastAsia="宋体" w:hAnsi="Times New Roman" w:hint="eastAsia"/>
          <w:b/>
          <w:bCs/>
          <w:sz w:val="30"/>
          <w:szCs w:val="30"/>
        </w:rPr>
        <w:keepNext/>
        <w:outlineLvl w:val="1"/>
      </w:pPr>
      <w:r>
        <w:rPr>
          <w:rFonts w:ascii="Times New Roman" w:eastAsia="宋体" w:hAnsi="Times New Roman" w:hint="eastAsia"/>
          <w:b/>
          <w:bCs/>
          <w:sz w:val="30"/>
          <w:szCs w:val="30"/>
        </w:rPr>
        <w:t xml:space="preserve">3.1 </w:t>
      </w:r>
      <w:r>
        <w:rPr>
          <w:rFonts w:ascii="黑体" w:eastAsia="黑体" w:hAnsi="黑体" w:hint="eastAsia"/>
          <w:b/>
          <w:bCs/>
          <w:sz w:val="30"/>
          <w:szCs w:val="30"/>
        </w:rPr>
        <w:t>挑战目标与总体方案</w:t>
      </w:r>
    </w:p>
    <w:p>
      <w:pPr>
        <w:spacing w:line="360" w:lineRule="auto"/>
        <w:rPr>
          <w:rFonts w:ascii="Times New Roman" w:eastAsia="宋体" w:hAnsi="Times New Roman" w:hint="eastAsia"/>
          <w:b/>
          <w:bCs/>
          <w:sz w:val="28"/>
          <w:szCs w:val="28"/>
        </w:rPr>
        <w:keepNext/>
        <w:outlineLvl w:val="2"/>
      </w:pPr>
      <w:r>
        <w:rPr>
          <w:rFonts w:ascii="Times New Roman" w:eastAsia="宋体" w:hAnsi="Times New Roman" w:hint="eastAsia"/>
          <w:b/>
          <w:bCs/>
          <w:sz w:val="28"/>
          <w:szCs w:val="28"/>
        </w:rPr>
        <w:t xml:space="preserve">3.1.1 </w:t>
      </w:r>
      <w:r>
        <w:rPr>
          <w:rFonts w:ascii="黑体" w:eastAsia="黑体" w:hAnsi="黑体" w:hint="eastAsia"/>
          <w:b/>
          <w:bCs/>
          <w:sz w:val="28"/>
          <w:szCs w:val="28"/>
        </w:rPr>
        <w:t>任务目标与完成范围</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平台以复杂安全事件的自动研判与遏制为主要场景。系统接收网络告警、终端行为、认证记录和检测器上下文后，由SuperAgent判断当前结论是否缺少关键事实，再把任务分配给具有明确职责的专业智能体。各智能体不直接给出独立最终答案，而是返回带来源、时间、目标和状态的事件证据，供协调器继续规划并由验证智能体统一融合。</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智能体输出不仅包含真阳、假阳或待查结论，还包括五步思维链、置信度、已调用工具、专业智能体执行记录、重规划轨迹、引用的事件证据、处置动作、设备回执和验证结果。所有关键字段保存在同一个AgentState中，并在最终结果中转换为前端和审计接口可直接使用的结构化对象。</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当前代码已经完成挑战任务所需的工程闭环。高置信真阳事件可以自动生成封禁和隔离计划，经过模拟防火墙与模拟EDR执行后再独立检查是否生效；失败时系统会自动重试，并在原子处置仍不完整时回滚已执行动作和升级人工。生产环境的零人工处置还需要真实设备授权、网络连通和现场安全验收，因此本文将“代码与模拟闭环完成”和“真实设备联调完成”分别说明。</w:t>
      </w:r>
    </w:p>
    <w:p>
      <w:pPr>
        <w:spacing w:line="360" w:lineRule="auto"/>
        <w:rPr>
          <w:rFonts w:ascii="Times New Roman" w:eastAsia="宋体" w:hAnsi="Times New Roman" w:hint="eastAsia"/>
          <w:b/>
          <w:bCs/>
          <w:sz w:val="28"/>
          <w:szCs w:val="28"/>
        </w:rPr>
        <w:keepNext/>
        <w:outlineLvl w:val="2"/>
      </w:pPr>
      <w:r>
        <w:rPr>
          <w:rFonts w:ascii="Times New Roman" w:eastAsia="宋体" w:hAnsi="Times New Roman" w:hint="eastAsia"/>
          <w:b/>
          <w:bCs/>
          <w:sz w:val="28"/>
          <w:szCs w:val="28"/>
        </w:rPr>
        <w:t xml:space="preserve">3.1.2 </w:t>
      </w:r>
      <w:r>
        <w:rPr>
          <w:rFonts w:ascii="黑体" w:eastAsia="黑体" w:hAnsi="黑体" w:hint="eastAsia"/>
          <w:b/>
          <w:bCs/>
          <w:sz w:val="28"/>
          <w:szCs w:val="28"/>
        </w:rPr>
        <w:t>自主闭环总体架构</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主流程由LangGraph组织。告警先经过preprocess完成字段归一化，再由judge形成结构化初判；需要知识解释时可进入选择性RAG，需要补充现场事实时进入multi_agent_plan。协调器生成调查计划后，multi_agent_worker依次调用专业工具，每得到一次新观测便进入multi_agent_replan决定继续调查、调整工具或提前验证，最后由multi_agent_verify形成有证据约束的结论。</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研判完成后，disposition根据最终结论和网络方向生成处置计划。真阳事件进入response_execute，由防火墙执行器封禁外部攻击源或C2地址，由EDR执行器隔离内部失陷主机；response_observe随后检查策略是否真正生效。验证失败会返回执行节点重试，达到重试上限后进入response_rollback执行补偿回滚，之后才由output输出最终结果。</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这条链路把ReAct的Reason、Act和Observe落实到可检查节点。Reason对应初判、任务规划和重规划，Act对应调查工具与安全设备动作，Observe对应工具结果、事件证据和处置效果。每一轮观察都会改变任务队列、证据集合或处置状态，系统不会只在界面上播放预设步骤，也不会根据最终结论反向补写过程。</w:t>
      </w:r>
    </w:p>
    <w:p>
      <w:pPr>
        <w:spacing w:line="360" w:lineRule="auto"/>
        <w:rPr>
          <w:rFonts w:ascii="Times New Roman" w:eastAsia="宋体" w:hAnsi="Times New Roman" w:hint="eastAsia"/>
          <w:b/>
          <w:bCs/>
          <w:sz w:val="30"/>
          <w:szCs w:val="30"/>
        </w:rPr>
        <w:keepNext/>
        <w:outlineLvl w:val="1"/>
      </w:pPr>
      <w:r>
        <w:rPr>
          <w:rFonts w:ascii="Times New Roman" w:eastAsia="宋体" w:hAnsi="Times New Roman" w:hint="eastAsia"/>
          <w:b/>
          <w:bCs/>
          <w:sz w:val="30"/>
          <w:szCs w:val="30"/>
        </w:rPr>
        <w:t xml:space="preserve">3.2 </w:t>
      </w:r>
      <w:r>
        <w:rPr>
          <w:rFonts w:ascii="黑体" w:eastAsia="黑体" w:hAnsi="黑体" w:hint="eastAsia"/>
          <w:b/>
          <w:bCs/>
          <w:sz w:val="30"/>
          <w:szCs w:val="30"/>
        </w:rPr>
        <w:t>推理链与跨域协同实现</w:t>
      </w:r>
    </w:p>
    <w:p>
      <w:pPr>
        <w:spacing w:line="360" w:lineRule="auto"/>
        <w:rPr>
          <w:rFonts w:ascii="Times New Roman" w:eastAsia="宋体" w:hAnsi="Times New Roman" w:hint="eastAsia"/>
          <w:b/>
          <w:bCs/>
          <w:sz w:val="28"/>
          <w:szCs w:val="28"/>
        </w:rPr>
        <w:keepNext/>
        <w:outlineLvl w:val="2"/>
      </w:pPr>
      <w:r>
        <w:rPr>
          <w:rFonts w:ascii="Times New Roman" w:eastAsia="宋体" w:hAnsi="Times New Roman" w:hint="eastAsia"/>
          <w:b/>
          <w:bCs/>
          <w:sz w:val="28"/>
          <w:szCs w:val="28"/>
        </w:rPr>
        <w:t xml:space="preserve">3.2.1 </w:t>
      </w:r>
      <w:r>
        <w:rPr>
          <w:rFonts w:ascii="黑体" w:eastAsia="黑体" w:hAnsi="黑体" w:hint="eastAsia"/>
          <w:b/>
          <w:bCs/>
          <w:sz w:val="28"/>
          <w:szCs w:val="28"/>
        </w:rPr>
        <w:t>思维链与事件证据链</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Judge提示词要求模型按五步完成推理：先分析协议、端口、方向和载荷等流量特征，再判断是否符合命令控制、横向移动、漏洞利用或暴力破解等行为意图；随后检查主机、地址和账号上下文，对比正常业务与历史模式，最后给出综合结论和置信度。五个步骤以cot字段返回并写入cot_trace，前端按时间顺序展示。</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平台将通用知识与当前事件证据分开管理。RAG返回的KB编号用于解释攻击技术、规则和处置方法，不能单独证明攻击已经发生；端点进程、网络连接、认证行为和检测器原始事件则以EV编号进入事件证据集合。验证智能体只能引用本轮真实存在且可用的EV编号，未知引用会被丢弃，结论发生变化时还必须有新增事件证据支撑。</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多智能体调查产生的新观察同样追加到推理轨迹。例如，协调器可以先记录“外联地址与端口异常”，再由网络智能体核验同一时间窗连接，由端点智能体检查父子进程和命令行，由上下文或端点记录定位相关主机与账号。重规划器根据这些结果决定是否继续补证，验证智能体最终将多源事实组合为攻击链。前端CoTTimeline直接展示初判、规划、观察、重规划、复核和处置观测，使老师能够逐步检查。</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3.2.2 多智能体规划与ReAct重规划</w:t>
      </w:r>
    </w:p>
    <w:p>
      <w:pPr>
        <w:spacing w:line="360" w:lineRule="auto"/>
        <w:rPr>
          <w:rFonts w:ascii="Times New Roman" w:eastAsia="宋体" w:hAnsi="Times New Roman" w:hint="eastAsia"/>
          <w:b/>
          <w:bCs/>
          <w:sz w:val="28"/>
          <w:szCs w:val="28"/>
        </w:rPr>
        <w:keepNext/>
        <w:outlineLvl w:val="2"/>
      </w:pPr>
      <w:r>
        <w:rPr>
          <w:rFonts w:ascii="Times New Roman" w:eastAsia="宋体" w:hAnsi="Times New Roman" w:hint="eastAsia"/>
          <w:b/>
          <w:bCs/>
          <w:sz w:val="28"/>
          <w:szCs w:val="28"/>
        </w:rPr>
        <w:t>SuperAgent协调器读取对模型可见的告警、当前判断、证据能力和剩余预算，自主生成目标、任务及成功条件。专业角色包括上下文、端点、网络、威胁情报、历史告警和安全知识智能体。每类工具都有固定所有者，协调器只能从当前样本真实具备的数据能力和查询目标中选择任务，无法通过自然语言计划绕过工具边界。</w:t>
      </w:r>
      <w:r>
        <w:rPr>
          <w:rFonts w:ascii="黑体" w:eastAsia="黑体" w:hAnsi="黑体" w:hint="eastAsia"/>
          <w:b/>
          <w:bCs/>
          <w:sz w:val="28"/>
          <w:szCs w:val="28"/>
        </w:rPr>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每个专业智能体完成一次工具调用后，系统立即登记调用参数、返回状态、新增证据和剩余任务。重规划器读取任务台账、已完成发现和剩余预算，可以替换后续任务、补充新的核验方向或直接进入验证。表3-1归纳挑战任务中的核心角色、职责和可检查产物。</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表3-1 SuperAgent核心角色与运行产物</w:t>
      </w:r>
    </w:p>
    <w:tbl>
      <w:tblPr>
        <w:tblStyle w:val="af"/>
        <w:tblW w:w="8296" w:type="dxa"/>
        <w:tblBorders>
          <w:left w:val="single" w:sz="6" w:space="0" w:color="D9D9D9"/>
          <w:right w:val="single" w:sz="6" w:space="0" w:color="D9D9D9"/>
          <w:insideH w:val="single" w:sz="6" w:space="0" w:color="D9D9D9"/>
          <w:insideV w:val="single" w:sz="6" w:space="0" w:color="D9D9D9"/>
          <w:top w:val="single" w:sz="6" w:color="D9D9D9"/>
          <w:bottom w:val="single" w:sz="6" w:color="D9D9D9"/>
        </w:tblBorders>
        <w:tblLook w:val="04A0" w:firstRow="1" w:lastRow="0" w:firstColumn="1" w:lastColumn="0" w:noHBand="0" w:noVBand="1"/>
        <w:tblLayout w:type="fixed"/>
      </w:tblPr>
      <w:tblGrid>
        <w:gridCol w:w="1413"/>
        <w:gridCol w:w="3265"/>
        <w:gridCol w:w="3618"/>
      </w:tblGrid>
      <w:tr w:rsidR="000D2D21" w:rsidRPr="000D2D21" w14:paraId="24558894" w14:textId="77777777" w:rsidTr="00B2729C">
        <w:trPr>
          <w:cantSplit/>
          <w:tblHeader w:val="true"/>
        </w:trPr>
        <w:tc>
          <w:tcPr>
            <w:tcW w:w="1413" w:type="dxa"/>
            <w:vAlign w:val="center"/>
            <w:tcMar>
              <w:top w:w="90" w:type="dxa"/>
              <w:start w:w="110" w:type="dxa"/>
              <w:bottom w:w="90" w:type="dxa"/>
              <w:end w:w="110" w:type="dxa"/>
            </w:tcMar>
            <w:shd w:fill="1F4E78"/>
          </w:tcPr>
          <w:p>
            <w:pPr>
              <w:widowControl/>
              <w:jc w:val="center"/>
              <w:rPr>
                <w:rFonts w:ascii="宋体" w:eastAsia="宋体" w:hAnsi="宋体" w:hint="eastAsia"/>
                <w:b/>
                <w:bCs/>
                <w:sz w:val="21"/>
                <w:szCs w:val="21"/>
              </w:rPr>
            </w:pPr>
            <w:r>
              <w:rPr>
                <w:rFonts w:ascii="宋体" w:eastAsia="宋体" w:hAnsi="宋体"/>
                <w:b/>
                <w:bCs/>
                <w:color w:val="FFFFFF"/>
                <w:sz w:val="21"/>
                <w:szCs w:val="21"/>
              </w:rPr>
              <w:t>能力角色</w:t>
            </w:r>
          </w:p>
        </w:tc>
        <w:tc>
          <w:tcPr>
            <w:tcW w:w="3265" w:type="dxa"/>
            <w:vAlign w:val="center"/>
            <w:tcMar>
              <w:top w:w="90" w:type="dxa"/>
              <w:start w:w="110" w:type="dxa"/>
              <w:bottom w:w="90" w:type="dxa"/>
              <w:end w:w="110" w:type="dxa"/>
            </w:tcMar>
            <w:shd w:fill="1F4E78"/>
          </w:tcPr>
          <w:p>
            <w:pPr>
              <w:widowControl/>
              <w:jc w:val="center"/>
              <w:rPr>
                <w:rFonts w:ascii="宋体" w:eastAsia="宋体" w:hAnsi="宋体" w:hint="eastAsia"/>
                <w:b/>
                <w:bCs/>
                <w:sz w:val="21"/>
                <w:szCs w:val="21"/>
              </w:rPr>
            </w:pPr>
            <w:r>
              <w:rPr>
                <w:rFonts w:ascii="宋体" w:eastAsia="宋体" w:hAnsi="宋体"/>
                <w:b/>
                <w:bCs/>
                <w:color w:val="FFFFFF"/>
                <w:sz w:val="21"/>
                <w:szCs w:val="21"/>
              </w:rPr>
              <w:t>主要职责</w:t>
            </w:r>
          </w:p>
        </w:tc>
        <w:tc>
          <w:tcPr>
            <w:tcW w:w="3618" w:type="dxa"/>
            <w:vAlign w:val="center"/>
            <w:tcMar>
              <w:top w:w="90" w:type="dxa"/>
              <w:start w:w="110" w:type="dxa"/>
              <w:bottom w:w="90" w:type="dxa"/>
              <w:end w:w="110" w:type="dxa"/>
            </w:tcMar>
            <w:shd w:fill="1F4E78"/>
          </w:tcPr>
          <w:p>
            <w:pPr>
              <w:widowControl/>
              <w:jc w:val="center"/>
              <w:rPr>
                <w:rFonts w:ascii="宋体" w:eastAsia="宋体" w:hAnsi="宋体" w:hint="eastAsia"/>
                <w:b/>
                <w:bCs/>
                <w:sz w:val="21"/>
                <w:szCs w:val="21"/>
              </w:rPr>
            </w:pPr>
            <w:r>
              <w:rPr>
                <w:rFonts w:ascii="宋体" w:eastAsia="宋体" w:hAnsi="宋体"/>
                <w:b/>
                <w:bCs/>
                <w:color w:val="FFFFFF"/>
                <w:sz w:val="21"/>
                <w:szCs w:val="21"/>
              </w:rPr>
              <w:t>可检查产物</w:t>
            </w:r>
          </w:p>
        </w:tc>
      </w:tr>
      <w:tr w:rsidR="000D2D21" w:rsidRPr="000D2D21" w14:paraId="17BB2D1B" w14:textId="77777777" w:rsidTr="00B2729C">
        <w:trPr>
          <w:cantSplit/>
        </w:trPr>
        <w:tc>
          <w:tcPr>
            <w:tcW w:w="1413" w:type="dxa"/>
            <w:vAlign w:val="center"/>
            <w:tcMar>
              <w:top w:w="90" w:type="dxa"/>
              <w:start w:w="110" w:type="dxa"/>
              <w:bottom w:w="90" w:type="dxa"/>
              <w:end w:w="110" w:type="dxa"/>
            </w:tcMar>
            <w:shd w:fill="FFFFFF"/>
          </w:tcPr>
          <w:p>
            <w:pPr>
              <w:spacing w:line="360" w:lineRule="auto"/>
              <w:jc w:val="center"/>
              <w:rPr>
                <w:rFonts w:ascii="宋体" w:eastAsia="宋体" w:hAnsi="宋体" w:hint="eastAsia"/>
                <w:sz w:val="21"/>
                <w:szCs w:val="21"/>
              </w:rPr>
            </w:pPr>
            <w:r>
              <w:rPr>
                <w:rFonts w:ascii="宋体" w:eastAsia="宋体" w:hAnsi="宋体"/>
                <w:color w:val="000000"/>
                <w:sz w:val="21"/>
                <w:szCs w:val="21"/>
              </w:rPr>
              <w:t>协调器 SuperAgent</w:t>
            </w:r>
          </w:p>
        </w:tc>
        <w:tc>
          <w:tcPr>
            <w:tcW w:w="3265" w:type="dxa"/>
            <w:vAlign w:val="center"/>
            <w:tcMar>
              <w:top w:w="90" w:type="dxa"/>
              <w:start w:w="110" w:type="dxa"/>
              <w:bottom w:w="90" w:type="dxa"/>
              <w:end w:w="110" w:type="dxa"/>
            </w:tcMar>
            <w:shd w:fill="FFFFFF"/>
          </w:tcPr>
          <w:p>
            <w:pPr>
              <w:spacing w:line="360" w:lineRule="auto"/>
              <w:jc w:val="left"/>
              <w:rPr>
                <w:rFonts w:ascii="宋体" w:eastAsia="宋体" w:hAnsi="宋体" w:hint="eastAsia"/>
                <w:sz w:val="21"/>
                <w:szCs w:val="21"/>
              </w:rPr>
            </w:pPr>
            <w:r>
              <w:rPr>
                <w:rFonts w:ascii="宋体" w:eastAsia="宋体" w:hAnsi="宋体"/>
                <w:color w:val="000000"/>
                <w:sz w:val="21"/>
                <w:szCs w:val="21"/>
              </w:rPr>
              <w:t>理解告警与证据缺口，生成调查目标和任务，并根据新观测重新规划</w:t>
            </w:r>
          </w:p>
        </w:tc>
        <w:tc>
          <w:tcPr>
            <w:tcW w:w="3618" w:type="dxa"/>
            <w:vAlign w:val="center"/>
            <w:tcMar>
              <w:top w:w="90" w:type="dxa"/>
              <w:start w:w="110" w:type="dxa"/>
              <w:bottom w:w="90" w:type="dxa"/>
              <w:end w:w="110" w:type="dxa"/>
            </w:tcMar>
            <w:shd w:fill="FFFFFF"/>
          </w:tcPr>
          <w:p>
            <w:pPr>
              <w:spacing w:line="360" w:lineRule="auto"/>
              <w:jc w:val="left"/>
              <w:rPr>
                <w:rFonts w:ascii="宋体" w:eastAsia="宋体" w:hAnsi="宋体" w:hint="eastAsia"/>
                <w:sz w:val="21"/>
                <w:szCs w:val="21"/>
              </w:rPr>
            </w:pPr>
            <w:r>
              <w:rPr>
                <w:rFonts w:ascii="宋体" w:eastAsia="宋体" w:hAnsi="宋体"/>
                <w:color w:val="000000"/>
                <w:sz w:val="21"/>
                <w:szCs w:val="21"/>
              </w:rPr>
              <w:t>任务台账、任务队列、规划理由和重规划轨迹</w:t>
            </w:r>
          </w:p>
        </w:tc>
      </w:tr>
      <w:tr w:rsidR="000D2D21" w:rsidRPr="000D2D21" w14:paraId="17BB2D1B" w14:textId="77777777" w:rsidTr="00B2729C">
        <w:trPr>
          <w:cantSplit/>
        </w:trPr>
        <w:tc>
          <w:tcPr>
            <w:tcW w:w="1413" w:type="dxa"/>
            <w:vAlign w:val="center"/>
            <w:tcMar>
              <w:top w:w="90" w:type="dxa"/>
              <w:start w:w="110" w:type="dxa"/>
              <w:bottom w:w="90" w:type="dxa"/>
              <w:end w:w="110" w:type="dxa"/>
            </w:tcMar>
            <w:shd w:fill="F4F8FC"/>
          </w:tcPr>
          <w:p>
            <w:pPr>
              <w:spacing w:line="360" w:lineRule="auto"/>
              <w:jc w:val="center"/>
              <w:rPr>
                <w:rFonts w:ascii="宋体" w:eastAsia="宋体" w:hAnsi="宋体" w:hint="eastAsia"/>
                <w:sz w:val="21"/>
                <w:szCs w:val="21"/>
              </w:rPr>
            </w:pPr>
            <w:r>
              <w:rPr>
                <w:rFonts w:ascii="宋体" w:eastAsia="宋体" w:hAnsi="宋体"/>
                <w:color w:val="000000"/>
                <w:sz w:val="21"/>
                <w:szCs w:val="21"/>
              </w:rPr>
              <w:t>专业智能体团队</w:t>
            </w:r>
          </w:p>
        </w:tc>
        <w:tc>
          <w:tcPr>
            <w:tcW w:w="3265" w:type="dxa"/>
            <w:vAlign w:val="center"/>
            <w:tcMar>
              <w:top w:w="90" w:type="dxa"/>
              <w:start w:w="110" w:type="dxa"/>
              <w:bottom w:w="90" w:type="dxa"/>
              <w:end w:w="110" w:type="dxa"/>
            </w:tcMar>
            <w:shd w:fill="F4F8FC"/>
          </w:tcPr>
          <w:p>
            <w:pPr>
              <w:spacing w:line="360" w:lineRule="auto"/>
              <w:jc w:val="left"/>
              <w:rPr>
                <w:rFonts w:ascii="宋体" w:eastAsia="宋体" w:hAnsi="宋体" w:hint="eastAsia"/>
                <w:sz w:val="21"/>
                <w:szCs w:val="21"/>
              </w:rPr>
            </w:pPr>
            <w:r>
              <w:rPr>
                <w:rFonts w:ascii="宋体" w:eastAsia="宋体" w:hAnsi="宋体"/>
                <w:color w:val="000000"/>
                <w:sz w:val="21"/>
                <w:szCs w:val="21"/>
              </w:rPr>
              <w:t>按角色调用上下文、端点、网络、情报、历史和知识工具</w:t>
            </w:r>
          </w:p>
        </w:tc>
        <w:tc>
          <w:tcPr>
            <w:tcW w:w="3618" w:type="dxa"/>
            <w:vAlign w:val="center"/>
            <w:tcMar>
              <w:top w:w="90" w:type="dxa"/>
              <w:start w:w="110" w:type="dxa"/>
              <w:bottom w:w="90" w:type="dxa"/>
              <w:end w:w="110" w:type="dxa"/>
            </w:tcMar>
            <w:shd w:fill="F4F8FC"/>
          </w:tcPr>
          <w:p>
            <w:pPr>
              <w:spacing w:line="360" w:lineRule="auto"/>
              <w:jc w:val="left"/>
              <w:rPr>
                <w:rFonts w:ascii="宋体" w:eastAsia="宋体" w:hAnsi="宋体" w:hint="eastAsia"/>
                <w:sz w:val="21"/>
                <w:szCs w:val="21"/>
              </w:rPr>
            </w:pPr>
            <w:r>
              <w:rPr>
                <w:rFonts w:ascii="宋体" w:eastAsia="宋体" w:hAnsi="宋体"/>
                <w:color w:val="000000"/>
                <w:sz w:val="21"/>
                <w:szCs w:val="21"/>
              </w:rPr>
              <w:t>工具参数、返回状态、事件证据和执行进度</w:t>
            </w:r>
          </w:p>
        </w:tc>
      </w:tr>
      <w:tr w:rsidR="000D2D21" w:rsidRPr="000D2D21" w14:paraId="17BB2D1B" w14:textId="77777777" w:rsidTr="00B2729C">
        <w:trPr>
          <w:cantSplit/>
        </w:trPr>
        <w:tc>
          <w:tcPr>
            <w:tcW w:w="1413" w:type="dxa"/>
            <w:vAlign w:val="center"/>
            <w:tcMar>
              <w:top w:w="90" w:type="dxa"/>
              <w:start w:w="110" w:type="dxa"/>
              <w:bottom w:w="90" w:type="dxa"/>
              <w:end w:w="110" w:type="dxa"/>
            </w:tcMar>
            <w:shd w:fill="FFFFFF"/>
          </w:tcPr>
          <w:p>
            <w:pPr>
              <w:spacing w:line="360" w:lineRule="auto"/>
              <w:jc w:val="center"/>
              <w:rPr>
                <w:rFonts w:ascii="宋体" w:eastAsia="宋体" w:hAnsi="宋体" w:hint="eastAsia"/>
                <w:sz w:val="21"/>
                <w:szCs w:val="21"/>
              </w:rPr>
            </w:pPr>
            <w:r>
              <w:rPr>
                <w:rFonts w:ascii="宋体" w:eastAsia="宋体" w:hAnsi="宋体"/>
                <w:color w:val="000000"/>
                <w:sz w:val="21"/>
                <w:szCs w:val="21"/>
              </w:rPr>
              <w:t>验证智能体</w:t>
            </w:r>
          </w:p>
        </w:tc>
        <w:tc>
          <w:tcPr>
            <w:tcW w:w="3265" w:type="dxa"/>
            <w:vAlign w:val="center"/>
            <w:tcMar>
              <w:top w:w="90" w:type="dxa"/>
              <w:start w:w="110" w:type="dxa"/>
              <w:bottom w:w="90" w:type="dxa"/>
              <w:end w:w="110" w:type="dxa"/>
            </w:tcMar>
            <w:shd w:fill="FFFFFF"/>
          </w:tcPr>
          <w:p>
            <w:pPr>
              <w:spacing w:line="360" w:lineRule="auto"/>
              <w:jc w:val="left"/>
              <w:rPr>
                <w:rFonts w:ascii="宋体" w:eastAsia="宋体" w:hAnsi="宋体" w:hint="eastAsia"/>
                <w:sz w:val="21"/>
                <w:szCs w:val="21"/>
              </w:rPr>
            </w:pPr>
            <w:r>
              <w:rPr>
                <w:rFonts w:ascii="宋体" w:eastAsia="宋体" w:hAnsi="宋体"/>
                <w:color w:val="000000"/>
                <w:sz w:val="21"/>
                <w:szCs w:val="21"/>
              </w:rPr>
              <w:t>只读融合多源发现，校验证据引用并形成最终结论</w:t>
            </w:r>
          </w:p>
        </w:tc>
        <w:tc>
          <w:tcPr>
            <w:tcW w:w="3618" w:type="dxa"/>
            <w:vAlign w:val="center"/>
            <w:tcMar>
              <w:top w:w="90" w:type="dxa"/>
              <w:start w:w="110" w:type="dxa"/>
              <w:bottom w:w="90" w:type="dxa"/>
              <w:end w:w="110" w:type="dxa"/>
            </w:tcMar>
            <w:shd w:fill="FFFFFF"/>
          </w:tcPr>
          <w:p>
            <w:pPr>
              <w:spacing w:line="360" w:lineRule="auto"/>
              <w:jc w:val="left"/>
              <w:rPr>
                <w:rFonts w:ascii="宋体" w:eastAsia="宋体" w:hAnsi="宋体" w:hint="eastAsia"/>
                <w:sz w:val="21"/>
                <w:szCs w:val="21"/>
              </w:rPr>
            </w:pPr>
            <w:r>
              <w:rPr>
                <w:rFonts w:ascii="宋体" w:eastAsia="宋体" w:hAnsi="宋体"/>
                <w:color w:val="000000"/>
                <w:sz w:val="21"/>
                <w:szCs w:val="21"/>
              </w:rPr>
              <w:t>最终判断、置信度、证据编号和未决问题</w:t>
            </w:r>
          </w:p>
        </w:tc>
      </w:tr>
      <w:tr w:rsidR="000D2D21" w:rsidRPr="000D2D21" w14:paraId="207662CD" w14:textId="77777777" w:rsidTr="00B2729C">
        <w:trPr>
          <w:cantSplit/>
        </w:trPr>
        <w:tc>
          <w:tcPr>
            <w:tcW w:w="1413" w:type="dxa"/>
            <w:vAlign w:val="center"/>
            <w:tcMar>
              <w:top w:w="90" w:type="dxa"/>
              <w:start w:w="110" w:type="dxa"/>
              <w:bottom w:w="90" w:type="dxa"/>
              <w:end w:w="110" w:type="dxa"/>
            </w:tcMar>
            <w:shd w:fill="F4F8FC"/>
          </w:tcPr>
          <w:p>
            <w:pPr>
              <w:spacing w:line="360" w:lineRule="auto"/>
              <w:jc w:val="center"/>
              <w:rPr>
                <w:rFonts w:ascii="宋体" w:eastAsia="宋体" w:hAnsi="宋体" w:hint="eastAsia"/>
                <w:sz w:val="21"/>
                <w:szCs w:val="21"/>
              </w:rPr>
            </w:pPr>
            <w:r>
              <w:rPr>
                <w:rFonts w:ascii="宋体" w:eastAsia="宋体" w:hAnsi="宋体"/>
                <w:color w:val="000000"/>
                <w:sz w:val="21"/>
                <w:szCs w:val="21"/>
              </w:rPr>
              <w:t>响应执行器</w:t>
            </w:r>
          </w:p>
        </w:tc>
        <w:tc>
          <w:tcPr>
            <w:tcW w:w="3265" w:type="dxa"/>
            <w:vAlign w:val="center"/>
            <w:tcMar>
              <w:top w:w="90" w:type="dxa"/>
              <w:start w:w="110" w:type="dxa"/>
              <w:bottom w:w="90" w:type="dxa"/>
              <w:end w:w="110" w:type="dxa"/>
            </w:tcMar>
            <w:shd w:fill="F4F8FC"/>
          </w:tcPr>
          <w:p>
            <w:pPr>
              <w:spacing w:line="360" w:lineRule="auto"/>
              <w:jc w:val="left"/>
              <w:rPr>
                <w:rFonts w:ascii="宋体" w:eastAsia="宋体" w:hAnsi="宋体" w:hint="eastAsia"/>
                <w:sz w:val="21"/>
                <w:szCs w:val="21"/>
              </w:rPr>
            </w:pPr>
            <w:r>
              <w:rPr>
                <w:rFonts w:ascii="宋体" w:eastAsia="宋体" w:hAnsi="宋体"/>
                <w:color w:val="000000"/>
                <w:sz w:val="21"/>
                <w:szCs w:val="21"/>
              </w:rPr>
              <w:t>执行防火墙封禁和EDR隔离，验证效果并在失败时重试或回滚</w:t>
            </w:r>
          </w:p>
        </w:tc>
        <w:tc>
          <w:tcPr>
            <w:tcW w:w="3618" w:type="dxa"/>
            <w:vAlign w:val="center"/>
            <w:tcMar>
              <w:top w:w="90" w:type="dxa"/>
              <w:start w:w="110" w:type="dxa"/>
              <w:bottom w:w="90" w:type="dxa"/>
              <w:end w:w="110" w:type="dxa"/>
            </w:tcMar>
            <w:shd w:fill="F4F8FC"/>
          </w:tcPr>
          <w:p>
            <w:pPr>
              <w:spacing w:line="360" w:lineRule="auto"/>
              <w:jc w:val="left"/>
              <w:rPr>
                <w:rFonts w:ascii="宋体" w:eastAsia="宋体" w:hAnsi="宋体" w:hint="eastAsia"/>
                <w:sz w:val="21"/>
                <w:szCs w:val="21"/>
              </w:rPr>
            </w:pPr>
            <w:r>
              <w:rPr>
                <w:rFonts w:ascii="宋体" w:eastAsia="宋体" w:hAnsi="宋体"/>
                <w:color w:val="000000"/>
                <w:sz w:val="21"/>
                <w:szCs w:val="21"/>
              </w:rPr>
              <w:t>动作回执、验证结果、尝试次数和审计轨迹</w:t>
            </w:r>
          </w:p>
        </w:tc>
      </w:tr>
    </w:tbl>
    <w:p>
      <w:pPr>
        <w:spacing w:line="360" w:lineRule="auto"/>
        <w:ind w:firstLineChars="200" w:firstLine="422"/>
        <w:jc w:val="center"/>
        <w:rPr>
          <w:rFonts w:ascii="宋体" w:eastAsia="宋体" w:hAnsi="宋体" w:hint="eastAsia"/>
          <w:b/>
          <w:bCs/>
          <w:sz w:val="21"/>
          <w:szCs w:val="21"/>
        </w:rPr>
        <w:keepNext/>
      </w:pPr>
      <w:r>
        <w:rPr>
          <w:rFonts w:ascii="宋体" w:eastAsia="宋体" w:hAnsi="宋体" w:hint="eastAsia"/>
          <w:b/>
          <w:bCs/>
          <w:sz w:val="21"/>
          <w:szCs w:val="21"/>
        </w:rPr>
        <w:t>自主规划同时受到工程护栏约束。框架检查智能体与工具所有权、数据能力、查询目标、参数范围和重复调用指纹，并限制工具步数、全局时间、模型调用次数、估算Token和连续无证据次数。模型生成无效计划时，系统采用最小必要的安全兜底计划；达到预算或超时时则停止扩展调查并进入验证，避免出现无限循环。</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最终验证由只读verifier_agent完成。它读取任务台账和专业智能体已经取得的证据，不能再调用处置工具，也不能把查询失败或无记录写成攻击证据。只有通过证据编号校验的观测能够进入最终引用，从而把跨域协同的结果收敛为可复核结论，并保留仍未解决的证据缺口。</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3.3 自动处置与闭环验证</w:t>
      </w:r>
    </w:p>
    <w:p>
      <w:pPr>
        <w:spacing w:line="360" w:lineRule="auto"/>
        <w:rPr>
          <w:rFonts w:ascii="Times New Roman" w:eastAsia="宋体" w:hAnsi="Times New Roman" w:hint="eastAsia"/>
          <w:b/>
          <w:bCs/>
          <w:sz w:val="30"/>
          <w:szCs w:val="30"/>
        </w:rPr>
        <w:keepNext/>
        <w:outlineLvl w:val="1"/>
      </w:pPr>
      <w:r>
        <w:rPr>
          <w:rFonts w:ascii="Times New Roman" w:eastAsia="宋体" w:hAnsi="Times New Roman" w:hint="eastAsia"/>
          <w:b/>
          <w:bCs/>
          <w:sz w:val="30"/>
          <w:szCs w:val="30"/>
        </w:rPr>
        <w:t xml:space="preserve">3.3.1 </w:t>
      </w:r>
      <w:r>
        <w:rPr>
          <w:rFonts w:ascii="黑体" w:eastAsia="黑体" w:hAnsi="黑体" w:hint="eastAsia"/>
          <w:b/>
          <w:bCs/>
          <w:sz w:val="30"/>
          <w:szCs w:val="30"/>
        </w:rPr>
        <w:t>防火墙与EDR执行闭环</w:t>
      </w:r>
    </w:p>
    <w:p>
      <w:pPr>
        <w:spacing w:line="360" w:lineRule="auto"/>
        <w:rPr>
          <w:rFonts w:ascii="Times New Roman" w:eastAsia="宋体" w:hAnsi="Times New Roman" w:hint="eastAsia"/>
          <w:b/>
          <w:bCs/>
          <w:sz w:val="28"/>
          <w:szCs w:val="28"/>
        </w:rPr>
        <w:keepNext/>
        <w:outlineLvl w:val="2"/>
      </w:pPr>
      <w:r>
        <w:rPr>
          <w:rFonts w:ascii="Times New Roman" w:eastAsia="宋体" w:hAnsi="Times New Roman" w:hint="eastAsia"/>
          <w:b/>
          <w:bCs/>
          <w:sz w:val="28"/>
          <w:szCs w:val="28"/>
        </w:rPr>
        <w:t>disposition不再只生成文字建议，而是把处置工单转换为response_plan。系统根据网络方向选择目标：内网主机向外部C2通信时封禁外部目的地址并隔离内部源主机；外部攻击进入内网时封禁外部源地址并隔离内部目的主机；内网横向活动则优先处置发起端。目标必须来自当前告警，非法、本机、多播或不符合内部主机条件的地址会被策略守卫拒绝。</w:t>
      </w:r>
      <w:r>
        <w:rPr>
          <w:rFonts w:ascii="黑体" w:eastAsia="黑体" w:hAnsi="黑体" w:hint="eastAsia"/>
          <w:b/>
          <w:bCs/>
          <w:sz w:val="28"/>
          <w:szCs w:val="28"/>
        </w:rPr>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默认SimulatedResponseAdapter分别模拟防火墙和EDR执行器。只有最终判定为真阳、置信度达到0.85且存在有效处置计划时才自动执行。每个动作都有action_id、目标、原因、连接器、执行状态和回执编号；执行节点提交动作后不会直接宣布成功，而是把状态设为等待观测。</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response_observe对封禁和隔离动作逐项验证。全部动作验证生效后，事件状态才变为contained，并将containment_verified标记为真。如果某项执行失败或未观测到策略生效，系统把反馈送回response_execute重新执行；默认最多重试一次，重试次数也可以通过环境变量调整。</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在原子处置模式下，达到重试上限仍不能完整遏制事件时，response_rollback会撤销本轮已经执行的动作，避免只隔离主机却未封禁攻击源等半完成状态。回滚成功后记录rolled_back；回滚失败或不适合自动补偿时记录manual_required并要求人工接管。这样，失败不会被隐藏为成功，系统也能给出清楚的终止状态。</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3.3.2 安全边界与现场演示</w:t>
      </w:r>
    </w:p>
    <w:p>
      <w:pPr>
        <w:spacing w:line="360" w:lineRule="auto"/>
        <w:rPr>
          <w:rFonts w:ascii="Times New Roman" w:eastAsia="宋体" w:hAnsi="Times New Roman" w:hint="eastAsia"/>
          <w:b/>
          <w:bCs/>
          <w:sz w:val="28"/>
          <w:szCs w:val="28"/>
        </w:rPr>
        <w:keepNext/>
        <w:outlineLvl w:val="2"/>
      </w:pPr>
      <w:r>
        <w:rPr>
          <w:rFonts w:ascii="Times New Roman" w:eastAsia="宋体" w:hAnsi="Times New Roman" w:hint="eastAsia"/>
          <w:b/>
          <w:bCs/>
          <w:sz w:val="28"/>
          <w:szCs w:val="28"/>
        </w:rPr>
        <w:t>真实设备接口采用WebhookResponseAdapter预留。防火墙封禁和EDR隔离使用独立地址，并支持令牌、超时、执行、验证和回滚操作。真实模式默认关闭，必须显式开启RESPONSE_LIVE_ENABLED；如果配置要求事件证据而本轮没有有效引用，执行器会拒绝动作。AIT-ADS、AIT-ADS-EVENT-GOLD和ToN_IoT等公开评测数据即使误配为真实模式，也会被代码硬性阻止访问生产设备。</w:t>
      </w:r>
      <w:r>
        <w:rPr>
          <w:rFonts w:ascii="黑体" w:eastAsia="黑体" w:hAnsi="黑体" w:hint="eastAsia"/>
          <w:b/>
          <w:bCs/>
          <w:sz w:val="28"/>
          <w:szCs w:val="28"/>
        </w:rPr>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现场演示可选择一条高置信C2外联真阳案例。页面先显示五步思维链，随后显示协调器安排网络与端点核验；专业智能体返回连接和进程证据后，协调器根据观察更新计划，验证智能体形成最终真阳结论。处置区随后显示封禁外部IP、隔离内部主机、设备回执和验证成功，完整呈现“发现—调查—决策—执行—验证”。</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如果需要展示ReAct反馈能力，可以在模拟数据中设置第一次EDR隔离失败。前端会先显示动作失败和未完成观测，再显示系统自动重试；也可以设置持续验证失败，使流程进入补偿回滚。SSE事件分别使用response_action_executed、response_action_observed和response_action_rolled_back，AgentProcessMap与DispositionCard同步展示当前节点和逐动作状态。</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每次研判的response_execution和response_trace随最终result_json写入SQLite，内容包括运行编号、模式、尝试次数、动作目标、执行回执、验证状态、回滚结果和时间。后端提供/api/response/audit读取审计记录，因此老师既可以在当前页面观看流程，也可以从历史数据中核对同一事件的完整处置轨迹。</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本次实现已经通过50项响应闭环、图编排、ReAct和审计专项测试，另有133项其他后端测试通过，前端生产构建也已完成。测试覆盖正常遏制、首次失败后重试、持续验证失败后的回滚、公开评测数据阻止真实执行以及审计记录持久化。上述结果证明代码路径可以运行，但不等同于真实防火墙和EDR联调验收，也不代替真实模型全量准确率评测。</w:t>
      </w:r>
    </w:p>
    <w:p>
      <w:pPr>
        <w:spacing w:line="360" w:lineRule="auto"/>
        <w:ind w:firstLineChars="200" w:firstLine="480"/>
        <w:rPr>
          <w:rFonts w:ascii="Times New Roman" w:eastAsia="宋体" w:hAnsi="Times New Roman" w:hint="eastAsia"/>
          <w:sz w:val="24"/>
        </w:rPr>
      </w:pPr>
      <w:r>
        <w:rPr>
          <w:rFonts w:ascii="Times New Roman" w:eastAsia="宋体" w:hAnsi="Times New Roman" w:hint="eastAsia"/>
          <w:sz w:val="24"/>
        </w:rPr>
        <w:t>综上，猎影已在代码与模拟环境中完成挑战任务要求的SuperAgent和自主闭环：系统能够展示结构化思维链，自主组织多源调查，根据观测重新规划，调用防火墙与EDR执行器，验证处置效果，并在失败时重试或回滚。当前可直接用于课堂和答辩演示；取得真实设备账号后，只需完成Webhook参数映射、授权测试和现场安全验收，即可把模拟执行器替换为生产连接器。</w:t>
      </w:r>
    </w:p>
    <w:sectPr w:rsidR="005B09B4" w:rsidRPr="00D229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5D42"/>
    <w:multiLevelType w:val="multilevel"/>
    <w:tmpl w:val="040C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6661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21F"/>
    <w:rsid w:val="000D2D21"/>
    <w:rsid w:val="00117E3E"/>
    <w:rsid w:val="00147E0E"/>
    <w:rsid w:val="001878FE"/>
    <w:rsid w:val="00191DCB"/>
    <w:rsid w:val="002551DF"/>
    <w:rsid w:val="002B0FFF"/>
    <w:rsid w:val="002E14BA"/>
    <w:rsid w:val="00327F60"/>
    <w:rsid w:val="00336572"/>
    <w:rsid w:val="0035102D"/>
    <w:rsid w:val="004237B1"/>
    <w:rsid w:val="004D2563"/>
    <w:rsid w:val="004F3885"/>
    <w:rsid w:val="00526C0D"/>
    <w:rsid w:val="00527D15"/>
    <w:rsid w:val="005B09B4"/>
    <w:rsid w:val="00673AD2"/>
    <w:rsid w:val="007510CE"/>
    <w:rsid w:val="00803D56"/>
    <w:rsid w:val="00837909"/>
    <w:rsid w:val="008916F9"/>
    <w:rsid w:val="008B4138"/>
    <w:rsid w:val="009960F7"/>
    <w:rsid w:val="00A00AB7"/>
    <w:rsid w:val="00A73008"/>
    <w:rsid w:val="00AB7A9F"/>
    <w:rsid w:val="00B15FB4"/>
    <w:rsid w:val="00B2729C"/>
    <w:rsid w:val="00B31CE4"/>
    <w:rsid w:val="00BA021F"/>
    <w:rsid w:val="00BD7307"/>
    <w:rsid w:val="00C378C4"/>
    <w:rsid w:val="00CB22CF"/>
    <w:rsid w:val="00D229CA"/>
    <w:rsid w:val="00D660A6"/>
    <w:rsid w:val="00DD67E8"/>
    <w:rsid w:val="00DF2129"/>
    <w:rsid w:val="00E44D69"/>
    <w:rsid w:val="00E45E4D"/>
    <w:rsid w:val="00E46780"/>
    <w:rsid w:val="00E8260C"/>
    <w:rsid w:val="00ED4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60DD6"/>
  <w15:chartTrackingRefBased/>
  <w15:docId w15:val="{AB55F322-04AA-4EB2-BFAD-17F870DF8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A02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02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A02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02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02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A02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02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02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A02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02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02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A02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021F"/>
    <w:rPr>
      <w:rFonts w:cstheme="majorBidi"/>
      <w:color w:val="0F4761" w:themeColor="accent1" w:themeShade="BF"/>
      <w:sz w:val="28"/>
      <w:szCs w:val="28"/>
    </w:rPr>
  </w:style>
  <w:style w:type="character" w:customStyle="1" w:styleId="50">
    <w:name w:val="标题 5 字符"/>
    <w:basedOn w:val="a0"/>
    <w:link w:val="5"/>
    <w:uiPriority w:val="9"/>
    <w:semiHidden/>
    <w:rsid w:val="00BA021F"/>
    <w:rPr>
      <w:rFonts w:cstheme="majorBidi"/>
      <w:color w:val="0F4761" w:themeColor="accent1" w:themeShade="BF"/>
      <w:sz w:val="24"/>
    </w:rPr>
  </w:style>
  <w:style w:type="character" w:customStyle="1" w:styleId="60">
    <w:name w:val="标题 6 字符"/>
    <w:basedOn w:val="a0"/>
    <w:link w:val="6"/>
    <w:uiPriority w:val="9"/>
    <w:semiHidden/>
    <w:rsid w:val="00BA021F"/>
    <w:rPr>
      <w:rFonts w:cstheme="majorBidi"/>
      <w:b/>
      <w:bCs/>
      <w:color w:val="0F4761" w:themeColor="accent1" w:themeShade="BF"/>
    </w:rPr>
  </w:style>
  <w:style w:type="character" w:customStyle="1" w:styleId="70">
    <w:name w:val="标题 7 字符"/>
    <w:basedOn w:val="a0"/>
    <w:link w:val="7"/>
    <w:uiPriority w:val="9"/>
    <w:semiHidden/>
    <w:rsid w:val="00BA021F"/>
    <w:rPr>
      <w:rFonts w:cstheme="majorBidi"/>
      <w:b/>
      <w:bCs/>
      <w:color w:val="595959" w:themeColor="text1" w:themeTint="A6"/>
    </w:rPr>
  </w:style>
  <w:style w:type="character" w:customStyle="1" w:styleId="80">
    <w:name w:val="标题 8 字符"/>
    <w:basedOn w:val="a0"/>
    <w:link w:val="8"/>
    <w:uiPriority w:val="9"/>
    <w:semiHidden/>
    <w:rsid w:val="00BA021F"/>
    <w:rPr>
      <w:rFonts w:cstheme="majorBidi"/>
      <w:color w:val="595959" w:themeColor="text1" w:themeTint="A6"/>
    </w:rPr>
  </w:style>
  <w:style w:type="character" w:customStyle="1" w:styleId="90">
    <w:name w:val="标题 9 字符"/>
    <w:basedOn w:val="a0"/>
    <w:link w:val="9"/>
    <w:uiPriority w:val="9"/>
    <w:semiHidden/>
    <w:rsid w:val="00BA021F"/>
    <w:rPr>
      <w:rFonts w:eastAsiaTheme="majorEastAsia" w:cstheme="majorBidi"/>
      <w:color w:val="595959" w:themeColor="text1" w:themeTint="A6"/>
    </w:rPr>
  </w:style>
  <w:style w:type="paragraph" w:styleId="a3">
    <w:name w:val="Title"/>
    <w:basedOn w:val="a"/>
    <w:next w:val="a"/>
    <w:link w:val="a4"/>
    <w:uiPriority w:val="10"/>
    <w:qFormat/>
    <w:rsid w:val="00BA021F"/>
    <w:pPr>
      <w:spacing w:after="80" w:line="240" w:lineRule="auto"/>
      <w:contextualSpacing/>
      <w:jc w:val="center"/>
    </w:pPr>
    <w:rPr>
      <w:rFonts w:asciiTheme="majorHAnsi" w:eastAsiaTheme="majorEastAsia" w:hAnsiTheme="majorHAnsi" w:cstheme="majorBidi"/>
      <w:color w:val="000000"/>
      <w:spacing w:val="-10"/>
      <w:kern w:val="28"/>
      <w:sz w:val="56"/>
      <w:szCs w:val="56"/>
      <w:u w:val="none"/>
    </w:rPr>
  </w:style>
  <w:style w:type="character" w:customStyle="1" w:styleId="a4">
    <w:name w:val="标题 字符"/>
    <w:basedOn w:val="a0"/>
    <w:link w:val="a3"/>
    <w:uiPriority w:val="10"/>
    <w:rsid w:val="00BA02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02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02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021F"/>
    <w:pPr>
      <w:spacing w:before="160"/>
      <w:jc w:val="center"/>
    </w:pPr>
    <w:rPr>
      <w:i/>
      <w:iCs/>
      <w:color w:val="404040" w:themeColor="text1" w:themeTint="BF"/>
    </w:rPr>
  </w:style>
  <w:style w:type="character" w:customStyle="1" w:styleId="a8">
    <w:name w:val="引用 字符"/>
    <w:basedOn w:val="a0"/>
    <w:link w:val="a7"/>
    <w:uiPriority w:val="29"/>
    <w:rsid w:val="00BA021F"/>
    <w:rPr>
      <w:i/>
      <w:iCs/>
      <w:color w:val="404040" w:themeColor="text1" w:themeTint="BF"/>
    </w:rPr>
  </w:style>
  <w:style w:type="paragraph" w:styleId="a9">
    <w:name w:val="List Paragraph"/>
    <w:basedOn w:val="a"/>
    <w:uiPriority w:val="34"/>
    <w:qFormat/>
    <w:rsid w:val="00BA021F"/>
    <w:pPr>
      <w:ind w:left="720"/>
      <w:contextualSpacing/>
    </w:pPr>
  </w:style>
  <w:style w:type="character" w:styleId="aa">
    <w:name w:val="Intense Emphasis"/>
    <w:basedOn w:val="a0"/>
    <w:uiPriority w:val="21"/>
    <w:qFormat/>
    <w:rsid w:val="00BA021F"/>
    <w:rPr>
      <w:i/>
      <w:iCs/>
      <w:color w:val="0F4761" w:themeColor="accent1" w:themeShade="BF"/>
    </w:rPr>
  </w:style>
  <w:style w:type="paragraph" w:styleId="ab">
    <w:name w:val="Intense Quote"/>
    <w:basedOn w:val="a"/>
    <w:next w:val="a"/>
    <w:link w:val="ac"/>
    <w:uiPriority w:val="30"/>
    <w:qFormat/>
    <w:rsid w:val="00BA0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021F"/>
    <w:rPr>
      <w:i/>
      <w:iCs/>
      <w:color w:val="0F4761" w:themeColor="accent1" w:themeShade="BF"/>
    </w:rPr>
  </w:style>
  <w:style w:type="character" w:styleId="ad">
    <w:name w:val="Intense Reference"/>
    <w:basedOn w:val="a0"/>
    <w:uiPriority w:val="32"/>
    <w:qFormat/>
    <w:rsid w:val="00BA021F"/>
    <w:rPr>
      <w:b/>
      <w:bCs/>
      <w:smallCaps/>
      <w:color w:val="0F4761" w:themeColor="accent1" w:themeShade="BF"/>
      <w:spacing w:val="5"/>
    </w:rPr>
  </w:style>
  <w:style w:type="character" w:styleId="ae">
    <w:name w:val="Placeholder Text"/>
    <w:basedOn w:val="a0"/>
    <w:uiPriority w:val="99"/>
    <w:semiHidden/>
    <w:rsid w:val="00526C0D"/>
    <w:rPr>
      <w:color w:val="666666"/>
    </w:rPr>
  </w:style>
  <w:style w:type="table" w:styleId="af">
    <w:name w:val="Table Grid"/>
    <w:basedOn w:val="a1"/>
    <w:uiPriority w:val="39"/>
    <w:rsid w:val="00191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708</Words>
  <Characters>4037</Characters>
  <Application>Microsoft Office Word</Application>
  <DocSecurity>0</DocSecurity>
  <Lines>33</Lines>
  <Paragraphs>9</Paragraphs>
  <ScaleCrop>false</ScaleCrop>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超级智能体与自主闭环构建</dc:title>
  <dc:subject>猎影平台挑战任务实现说明</dc:subject>
  <dc:creator>猎影项目组</dc:creator>
  <cp:keywords/>
  <dc:description/>
  <cp:lastModifiedBy>猎影项目组</cp:lastModifiedBy>
  <cp:revision>40</cp:revision>
  <dcterms:created xsi:type="dcterms:W3CDTF">2026-09-10T00:00:00Z</dcterms:created>
  <dcterms:modified xsi:type="dcterms:W3CDTF">2026-09-10T00:00:00Z</dcterms:modified>
</cp:coreProperties>
</file>