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Title"/>
        <w:spacing w:after="200"/>
      </w:pPr>
      <w:r>
        <w:t xml:space="preserve">WavelengthScript — A 5-Minute Introduction</w:t>
      </w:r>
    </w:p>
    <w:p>
      <w:pPr>
        <w:spacing w:after="100"/>
      </w:pPr>
      <w:r>
        <w:t xml:space="preserve">Most programming languages store values in variables with arbitrary names:</w:t>
      </w:r>
    </w:p>
    <w:p>
      <w:pPr>
        <w:shd w:fill="F3F3F3"/>
        <w:spacing w:after="200"/>
      </w:pPr>
      <w:r>
        <w:rPr>
          <w:rFonts w:ascii="Courier New" w:cs="Courier New" w:eastAsia="Courier New" w:hAnsi="Courier New"/>
          <w:sz w:val="20"/>
          <w:szCs w:val="20"/>
        </w:rPr>
        <w:t xml:space="preserve">let user = "Alice"
let channel = 42</w:t>
      </w:r>
    </w:p>
    <w:p>
      <w:pPr>
        <w:spacing w:after="100"/>
      </w:pPr>
      <w:r>
        <w:t xml:space="preserve">WavelengthScript stores values at wavelengths of light instead:</w:t>
      </w:r>
    </w:p>
    <w:p>
      <w:pPr>
        <w:shd w:fill="F3F3F3"/>
        <w:spacing w:after="200"/>
      </w:pPr>
      <w:r>
        <w:rPr>
          <w:rFonts w:ascii="Courier New" w:cs="Courier New" w:eastAsia="Courier New" w:hAnsi="Courier New"/>
          <w:sz w:val="20"/>
          <w:szCs w:val="20"/>
        </w:rPr>
        <w:t xml:space="preserve">TUNE 520nm          ← tune to green light
PUSH "Alice"        ← store "Alice" at 520nm
EMIT "hello"        ← broadcast on the 520nm channel
HALT</w:t>
      </w:r>
    </w:p>
    <w:p>
      <w:pPr>
        <w:spacing w:after="300"/>
      </w:pPr>
      <w:r>
        <w:t xml:space="preserve">Every value lives at a real point on the electromagnetic spectrum (380nm–780nm). Every channel is a physical address, not an invented one.</w:t>
      </w:r>
    </w:p>
    <w:p>
      <w:pPr>
        <w:pStyle w:val="Heading2"/>
        <w:spacing w:after="100"/>
      </w:pPr>
      <w:r>
        <w:t xml:space="preserve">Why does that matter?</w:t>
      </w:r>
    </w:p>
    <w:p>
      <w:pPr>
        <w:spacing w:after="100"/>
      </w:pPr>
      <w:r>
        <w:t xml:space="preserve">Your wavelength determines your authority. Shorter wavelength = higher energy = higher permissions: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</w:tblGrid>
      <w:tr>
        <w:tc>
          <w:p>
            <w:r>
              <w:rPr>
                <w:b/>
                <w:bCs/>
              </w:rPr>
              <w:t xml:space="preserve">Colour</w:t>
            </w:r>
          </w:p>
        </w:tc>
        <w:tc>
          <w:p>
            <w:r>
              <w:rPr>
                <w:b/>
                <w:bCs/>
              </w:rPr>
              <w:t xml:space="preserve">Range</w:t>
            </w:r>
          </w:p>
        </w:tc>
        <w:tc>
          <w:p>
            <w:r>
              <w:rPr>
                <w:b/>
                <w:bCs/>
              </w:rPr>
              <w:t xml:space="preserve">Role</w:t>
            </w:r>
          </w:p>
        </w:tc>
      </w:tr>
      <w:tr>
        <w:tc>
          <w:p>
            <w:r>
              <w:rPr>
                <w:b w:val="false"/>
                <w:bCs w:val="false"/>
              </w:rPr>
              <w:t xml:space="preserve">Violet</w:t>
            </w:r>
          </w:p>
        </w:tc>
        <w:tc>
          <w:p>
            <w:r>
              <w:rPr>
                <w:b w:val="false"/>
                <w:bCs w:val="false"/>
              </w:rPr>
              <w:t xml:space="preserve">380–405nm</w:t>
            </w:r>
          </w:p>
        </w:tc>
        <w:tc>
          <w:p>
            <w:r>
              <w:rPr>
                <w:b w:val="false"/>
                <w:bCs w:val="false"/>
              </w:rPr>
              <w:t xml:space="preserve">SYSTEM</w:t>
            </w:r>
          </w:p>
        </w:tc>
      </w:tr>
      <w:tr>
        <w:tc>
          <w:p>
            <w:r>
              <w:rPr>
                <w:b w:val="false"/>
                <w:bCs w:val="false"/>
              </w:rPr>
              <w:t xml:space="preserve">Blue</w:t>
            </w:r>
          </w:p>
        </w:tc>
        <w:tc>
          <w:p>
            <w:r>
              <w:rPr>
                <w:b w:val="false"/>
                <w:bCs w:val="false"/>
              </w:rPr>
              <w:t xml:space="preserve">405–480nm</w:t>
            </w:r>
          </w:p>
        </w:tc>
        <w:tc>
          <w:p>
            <w:r>
              <w:rPr>
                <w:b w:val="false"/>
                <w:bCs w:val="false"/>
              </w:rPr>
              <w:t xml:space="preserve">KERNEL</w:t>
            </w:r>
          </w:p>
        </w:tc>
      </w:tr>
      <w:tr>
        <w:tc>
          <w:p>
            <w:r>
              <w:rPr>
                <w:b w:val="false"/>
                <w:bCs w:val="false"/>
              </w:rPr>
              <w:t xml:space="preserve">Green–Orange</w:t>
            </w:r>
          </w:p>
        </w:tc>
        <w:tc>
          <w:p>
            <w:r>
              <w:rPr>
                <w:b w:val="false"/>
                <w:bCs w:val="false"/>
              </w:rPr>
              <w:t xml:space="preserve">480–630nm</w:t>
            </w:r>
          </w:p>
        </w:tc>
        <w:tc>
          <w:p>
            <w:r>
              <w:rPr>
                <w:b w:val="false"/>
                <w:bCs w:val="false"/>
              </w:rPr>
              <w:t xml:space="preserve">USER</w:t>
            </w:r>
          </w:p>
        </w:tc>
      </w:tr>
      <w:tr>
        <w:tc>
          <w:p>
            <w:r>
              <w:rPr>
                <w:b w:val="false"/>
                <w:bCs w:val="false"/>
              </w:rPr>
              <w:t xml:space="preserve">Red</w:t>
            </w:r>
          </w:p>
        </w:tc>
        <w:tc>
          <w:p>
            <w:r>
              <w:rPr>
                <w:b w:val="false"/>
                <w:bCs w:val="false"/>
              </w:rPr>
              <w:t xml:space="preserve">630–780nm</w:t>
            </w:r>
          </w:p>
        </w:tc>
        <w:tc>
          <w:p>
            <w:r>
              <w:rPr>
                <w:b w:val="false"/>
                <w:bCs w:val="false"/>
              </w:rPr>
              <w:t xml:space="preserve">GUEST</w:t>
            </w:r>
          </w:p>
        </w:tc>
      </w:tr>
    </w:tbl>
    <w:p>
      <w:pPr>
        <w:spacing w:after="100"/>
      </w:pPr>
    </w:p>
    <w:p>
      <w:pPr>
        <w:spacing w:after="300"/>
      </w:pPr>
      <w:r>
        <w:t xml:space="preserve">Your channel is derived from your username — the same name always maps to the same wavelength. No key pair needed.</w:t>
      </w:r>
    </w:p>
    <w:p>
      <w:pPr>
        <w:pStyle w:val="Heading2"/>
        <w:spacing w:after="100"/>
      </w:pPr>
      <w:r>
        <w:t xml:space="preserve">A Real Program</w:t>
      </w:r>
    </w:p>
    <w:p>
      <w:pPr>
        <w:shd w:fill="F3F3F3"/>
        <w:spacing w:after="200"/>
      </w:pPr>
      <w:r>
        <w:rPr>
          <w:rFonts w:ascii="Courier New" w:cs="Courier New" w:eastAsia="Courier New" w:hAnsi="Courier New"/>
          <w:sz w:val="20"/>
          <w:szCs w:val="20"/>
        </w:rPr>
        <w:t xml:space="preserve">TUNE 541nm                         ← USER band
PUSH "ReasoningCore"               ← register an agent here
node.register("AI", @541nm)        ← make it discoverable on the network
EMIT "Agent online"                ← broadcast
HALT</w:t>
      </w:r>
    </w:p>
    <w:p>
      <w:pPr>
        <w:spacing w:after="300"/>
      </w:pPr>
      <w:r>
        <w:t xml:space="preserve">Run this in the browser at wnsp.io/wnsp-vm — step through it one instruction at a time and watch each register light up.</w:t>
      </w:r>
    </w:p>
    <w:p>
      <w:pPr>
        <w:pStyle w:val="Heading2"/>
        <w:spacing w:after="100"/>
      </w:pPr>
      <w:r>
        <w:t xml:space="preserve">The Full Instruction Set (8 Opcodes)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p>
            <w:r>
              <w:rPr>
                <w:b/>
                <w:bCs/>
              </w:rPr>
              <w:t xml:space="preserve">Instruction</w:t>
            </w:r>
          </w:p>
        </w:tc>
        <w:tc>
          <w:p>
            <w:r>
              <w:rPr>
                <w:b/>
                <w:bCs/>
              </w:rPr>
              <w:t xml:space="preserve">What it does</w:t>
            </w:r>
          </w:p>
        </w:tc>
      </w:tr>
      <w:tr>
        <w:tc>
          <w:p>
            <w:r>
              <w:rPr>
                <w:rFonts w:ascii="Courier New" w:cs="Courier New" w:eastAsia="Courier New" w:hAnsi="Courier New"/>
                <w:b w:val="false"/>
                <w:bCs w:val="false"/>
              </w:rPr>
              <w:t xml:space="preserve">TUNE λnm</w:t>
            </w:r>
          </w:p>
        </w:tc>
        <w:tc>
          <w:p>
            <w:r>
              <w:rPr>
                <w:b w:val="false"/>
                <w:bCs w:val="false"/>
              </w:rPr>
              <w:t xml:space="preserve">Set active wavelength channel</w:t>
            </w:r>
          </w:p>
        </w:tc>
      </w:tr>
      <w:tr>
        <w:tc>
          <w:p>
            <w:r>
              <w:rPr>
                <w:rFonts w:ascii="Courier New" w:cs="Courier New" w:eastAsia="Courier New" w:hAnsi="Courier New"/>
                <w:b w:val="false"/>
                <w:bCs w:val="false"/>
              </w:rPr>
              <w:t xml:space="preserve">PUSH "name"</w:t>
            </w:r>
          </w:p>
        </w:tc>
        <w:tc>
          <w:p>
            <w:r>
              <w:rPr>
                <w:b w:val="false"/>
                <w:bCs w:val="false"/>
              </w:rPr>
              <w:t xml:space="preserve">Store a value at current wavelength</w:t>
            </w:r>
          </w:p>
        </w:tc>
      </w:tr>
      <w:tr>
        <w:tc>
          <w:p>
            <w:r>
              <w:rPr>
                <w:rFonts w:ascii="Courier New" w:cs="Courier New" w:eastAsia="Courier New" w:hAnsi="Courier New"/>
                <w:b w:val="false"/>
                <w:bCs w:val="false"/>
              </w:rPr>
              <w:t xml:space="preserve">EMIT msg</w:t>
            </w:r>
          </w:p>
        </w:tc>
        <w:tc>
          <w:p>
            <w:r>
              <w:rPr>
                <w:b w:val="false"/>
                <w:bCs w:val="false"/>
              </w:rPr>
              <w:t xml:space="preserve">Broadcast a message on this channel</w:t>
            </w:r>
          </w:p>
        </w:tc>
      </w:tr>
      <w:tr>
        <w:tc>
          <w:p>
            <w:r>
              <w:rPr>
                <w:rFonts w:ascii="Courier New" w:cs="Courier New" w:eastAsia="Courier New" w:hAnsi="Courier New"/>
                <w:b w:val="false"/>
                <w:bCs w:val="false"/>
              </w:rPr>
              <w:t xml:space="preserve">PHASE θ</w:t>
            </w:r>
          </w:p>
        </w:tc>
        <w:tc>
          <w:p>
            <w:r>
              <w:rPr>
                <w:b w:val="false"/>
                <w:bCs w:val="false"/>
              </w:rPr>
              <w:t xml:space="preserve">Shift the channel's coherence state</w:t>
            </w:r>
          </w:p>
        </w:tc>
      </w:tr>
      <w:tr>
        <w:tc>
          <w:p>
            <w:r>
              <w:rPr>
                <w:rFonts w:ascii="Courier New" w:cs="Courier New" w:eastAsia="Courier New" w:hAnsi="Courier New"/>
                <w:b w:val="false"/>
                <w:bCs w:val="false"/>
              </w:rPr>
              <w:t xml:space="preserve">BROAD msg</w:t>
            </w:r>
          </w:p>
        </w:tc>
        <w:tc>
          <w:p>
            <w:r>
              <w:rPr>
                <w:b w:val="false"/>
                <w:bCs w:val="false"/>
              </w:rPr>
              <w:t xml:space="preserve">Send to all subscribers of this channel</w:t>
            </w:r>
          </w:p>
        </w:tc>
      </w:tr>
      <w:tr>
        <w:tc>
          <w:p>
            <w:r>
              <w:rPr>
                <w:rFonts w:ascii="Courier New" w:cs="Courier New" w:eastAsia="Courier New" w:hAnsi="Courier New"/>
                <w:b w:val="false"/>
                <w:bCs w:val="false"/>
              </w:rPr>
              <w:t xml:space="preserve">?λ condition</w:t>
            </w:r>
          </w:p>
        </w:tc>
        <w:tc>
          <w:p>
            <w:r>
              <w:rPr>
                <w:b w:val="false"/>
                <w:bCs w:val="false"/>
              </w:rPr>
              <w:t xml:space="preserve">Branch based on wavelength</w:t>
            </w:r>
          </w:p>
        </w:tc>
      </w:tr>
      <w:tr>
        <w:tc>
          <w:p>
            <w:r>
              <w:rPr>
                <w:rFonts w:ascii="Courier New" w:cs="Courier New" w:eastAsia="Courier New" w:hAnsi="Courier New"/>
                <w:b w:val="false"/>
                <w:bCs w:val="false"/>
              </w:rPr>
              <w:t xml:space="preserve">node.register("name", @λnm)</w:t>
            </w:r>
          </w:p>
        </w:tc>
        <w:tc>
          <w:p>
            <w:r>
              <w:rPr>
                <w:b w:val="false"/>
                <w:bCs w:val="false"/>
              </w:rPr>
              <w:t xml:space="preserve">Register a discoverable network agent</w:t>
            </w:r>
          </w:p>
        </w:tc>
      </w:tr>
      <w:tr>
        <w:tc>
          <w:p>
            <w:r>
              <w:rPr>
                <w:rFonts w:ascii="Courier New" w:cs="Courier New" w:eastAsia="Courier New" w:hAnsi="Courier New"/>
                <w:b w:val="false"/>
                <w:bCs w:val="false"/>
              </w:rPr>
              <w:t xml:space="preserve">HALT</w:t>
            </w:r>
          </w:p>
        </w:tc>
        <w:tc>
          <w:p>
            <w:r>
              <w:rPr>
                <w:b w:val="false"/>
                <w:bCs w:val="false"/>
              </w:rPr>
              <w:t xml:space="preserve">End execution</w:t>
            </w:r>
          </w:p>
        </w:tc>
      </w:tr>
    </w:tbl>
    <w:p>
      <w:pPr>
        <w:spacing w:after="100"/>
      </w:pPr>
    </w:p>
    <w:p>
      <w:pPr>
        <w:pStyle w:val="Heading2"/>
        <w:spacing w:after="100"/>
      </w:pPr>
      <w:r>
        <w:t xml:space="preserve">Try It Now</w:t>
      </w:r>
    </w:p>
    <w:p>
      <w:pPr>
        <w:spacing w:after="60"/>
      </w:pPr>
      <w:r>
        <w:t xml:space="preserve">•  Live VM (step-debug): wnsp.io/wnsp-vm</w:t>
      </w:r>
    </w:p>
    <w:p>
      <w:pPr>
        <w:spacing w:after="60"/>
      </w:pPr>
      <w:r>
        <w:t xml:space="preserve">•  Full language spec + compiler: wnsp.io/wavelength-lang</w:t>
      </w:r>
    </w:p>
    <w:p>
      <w:pPr>
        <w:spacing w:after="200"/>
      </w:pPr>
      <w:r>
        <w:t xml:space="preserve">•  4-stage pipeline (write → compile → execute): wnsp.io/ce-se-pipeline</w:t>
      </w:r>
    </w:p>
    <w:p>
      <w:pPr>
        <w:spacing w:after="0"/>
      </w:pPr>
      <w:r>
        <w:t xml:space="preserve">Source is AGPL-3.0 — everything above is real, running code.</w:t>
      </w:r>
    </w:p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2026-06-16T09:32:26.162Z</dcterms:created>
  <dcterms:modified xsi:type="dcterms:W3CDTF">2026-06-16T09:32:26.163Z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