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Lifecycle Benefit-Risk Maturity Model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B-R Assessment Capabilities Across the Product Lifecycle | Based on CIOMS WG XII</w:t>
      </w:r>
    </w:p>
    <w:p>
      <w:pPr>
        <w:pStyle w:val="Heading1"/>
      </w:pPr>
      <w:r>
        <w:t xml:space="preserve">  FRAMEWORK PURPOSE</w:t>
      </w:r>
    </w:p>
    <w:p>
      <w:pPr>
        <w:spacing w:after="200"/>
      </w:pPr>
      <w:r>
        <w:t xml:space="preserve">Benefit-risk assessment is not a single point-in-time activity but a </w:t>
      </w:r>
      <w:r>
        <w:rPr>
          <w:b/>
          <w:bCs/>
        </w:rPr>
        <w:t xml:space="preserve">continuous, evolving process</w:t>
      </w:r>
      <w:r>
        <w:t xml:space="preserve"> that spans the entire product lifecycle. This maturity model maps how B-R assessment capabilities, data availability, and decision complexity evolve from early development through post-marketing surveillance.</w:t>
      </w:r>
    </w:p>
    <w:p>
      <w:pPr>
        <w:spacing w:before="200" w:after="100"/>
      </w:pPr>
      <w:r>
        <w:rPr>
          <w:b/>
          <w:bCs/>
          <w:color w:val="0D9488"/>
        </w:rPr>
        <w:t xml:space="preserve">◎ LOAD-BEARING CONCEPT: The Living Assessment Principle</w:t>
      </w:r>
    </w:p>
    <w:p>
      <w:pPr>
        <w:spacing w:after="200"/>
      </w:pPr>
      <w:r>
        <w:t xml:space="preserve">Per CIOMS WG XII: "Benefit-risk assessment is an ongoing activity, and the benefit-risk balance of a medicinal product may change during its lifecycle." The B-R profile established at approval is merely the </w:t>
      </w:r>
      <w:r>
        <w:rPr>
          <w:b/>
          <w:bCs/>
          <w:i/>
          <w:iCs/>
        </w:rPr>
        <w:t xml:space="preserve">initial hypothesis</w:t>
      </w:r>
      <w:r>
        <w:t xml:space="preserve">, subject to continuous refinement as real-world evidence accumulates. This model helps organizations anticipate what capabilities and data sources become relevant at each stage.</w:t>
      </w:r>
    </w:p>
    <w:p>
      <w:pPr>
        <w:pStyle w:val="Heading1"/>
        <w:spacing w:before="300"/>
      </w:pPr>
      <w:r>
        <w:t xml:space="preserve">  LIFECYCLE STAGES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Typical Timeline</w:t>
            </w:r>
          </w:p>
        </w:tc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B-R Focus</w:t>
            </w:r>
          </w:p>
        </w:tc>
        <w:tc>
          <w:tcPr>
            <w:tcW w:type="dxa" w:w="2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Decision Questions</w:t>
            </w:r>
          </w:p>
        </w:tc>
      </w:tr>
      <w:tr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BEAFE" w:val="clear"/>
          </w:tcPr>
          <w:p>
            <w:r>
              <w:rPr>
                <w:b/>
                <w:bCs/>
                <w:sz w:val="18"/>
                <w:szCs w:val="18"/>
              </w:rPr>
              <w:t xml:space="preserve">1. Discovery &amp; Preclinical</w:t>
            </w:r>
          </w:p>
        </w:tc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BEAFE" w:val="clear"/>
          </w:tcPr>
          <w:p>
            <w:r>
              <w:rPr>
                <w:sz w:val="18"/>
                <w:szCs w:val="18"/>
              </w:rPr>
              <w:t xml:space="preserve">3-6 years</w:t>
            </w:r>
          </w:p>
        </w:tc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BEAFE" w:val="clear"/>
          </w:tcPr>
          <w:p>
            <w:r>
              <w:rPr>
                <w:sz w:val="18"/>
                <w:szCs w:val="18"/>
              </w:rPr>
              <w:t xml:space="preserve">Initial safety signals; theoretical benefit hypothesis</w:t>
            </w:r>
          </w:p>
        </w:tc>
        <w:tc>
          <w:tcPr>
            <w:tcW w:type="dxa" w:w="2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BEAFE" w:val="clear"/>
          </w:tcPr>
          <w:p>
            <w:r>
              <w:rPr>
                <w:sz w:val="18"/>
                <w:szCs w:val="18"/>
              </w:rPr>
              <w:t xml:space="preserve">Is there a plausible therapeutic hypothesis? Are preclinical signals manageable?</w:t>
            </w:r>
          </w:p>
        </w:tc>
      </w:tr>
      <w:tr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b/>
                <w:bCs/>
                <w:sz w:val="18"/>
                <w:szCs w:val="18"/>
              </w:rPr>
              <w:t xml:space="preserve">2. Early Clinical (Ph 1-2)</w:t>
            </w:r>
          </w:p>
        </w:tc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sz w:val="18"/>
                <w:szCs w:val="18"/>
              </w:rPr>
              <w:t xml:space="preserve">2-3 years</w:t>
            </w:r>
          </w:p>
        </w:tc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sz w:val="18"/>
                <w:szCs w:val="18"/>
              </w:rPr>
              <w:t xml:space="preserve">Human safety profile; proof of concept; dose-response</w:t>
            </w:r>
          </w:p>
        </w:tc>
        <w:tc>
          <w:tcPr>
            <w:tcW w:type="dxa" w:w="2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sz w:val="18"/>
                <w:szCs w:val="18"/>
              </w:rPr>
              <w:t xml:space="preserve">Does the drug work in humans? What dose? What are the dose-limiting toxicities?</w:t>
            </w:r>
          </w:p>
        </w:tc>
      </w:tr>
      <w:tr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b/>
                <w:bCs/>
                <w:sz w:val="18"/>
                <w:szCs w:val="18"/>
              </w:rPr>
              <w:t xml:space="preserve">3. Late Clinical (Ph 3)</w:t>
            </w:r>
          </w:p>
        </w:tc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sz w:val="18"/>
                <w:szCs w:val="18"/>
              </w:rPr>
              <w:t xml:space="preserve">2-4 years</w:t>
            </w:r>
          </w:p>
        </w:tc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sz w:val="18"/>
                <w:szCs w:val="18"/>
              </w:rPr>
              <w:t xml:space="preserve">Confirmatory efficacy; comprehensive safety database; B-R profile for submission</w:t>
            </w:r>
          </w:p>
        </w:tc>
        <w:tc>
          <w:tcPr>
            <w:tcW w:type="dxa" w:w="2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sz w:val="18"/>
                <w:szCs w:val="18"/>
              </w:rPr>
              <w:t xml:space="preserve">Is efficacy confirmed? Is the safety profile acceptable for the target population?</w:t>
            </w:r>
          </w:p>
        </w:tc>
      </w:tr>
      <w:tr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b/>
                <w:bCs/>
                <w:sz w:val="18"/>
                <w:szCs w:val="18"/>
              </w:rPr>
              <w:t xml:space="preserve">4. Regulatory Review</w:t>
            </w:r>
          </w:p>
        </w:tc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1-2 years</w:t>
            </w:r>
          </w:p>
        </w:tc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Formal B-R assessment; labeling decisions; RMM requirements</w:t>
            </w:r>
          </w:p>
        </w:tc>
        <w:tc>
          <w:tcPr>
            <w:tcW w:type="dxa" w:w="2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sz w:val="18"/>
                <w:szCs w:val="18"/>
              </w:rPr>
              <w:t xml:space="preserve">Does B-R support approval? For which indication(s)? What risk minimization is required?</w:t>
            </w:r>
          </w:p>
        </w:tc>
      </w:tr>
      <w:tr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5. Post-Marketing</w:t>
            </w:r>
          </w:p>
        </w:tc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sz w:val="18"/>
                <w:szCs w:val="18"/>
              </w:rPr>
              <w:t xml:space="preserve">Ongoing (years to decades)</w:t>
            </w:r>
          </w:p>
        </w:tc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sz w:val="18"/>
                <w:szCs w:val="18"/>
              </w:rPr>
              <w:t xml:space="preserve">Real-world effectiveness; signal detection; benefit-risk re-evaluation</w:t>
            </w:r>
          </w:p>
        </w:tc>
        <w:tc>
          <w:tcPr>
            <w:tcW w:type="dxa" w:w="2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sz w:val="18"/>
                <w:szCs w:val="18"/>
              </w:rPr>
              <w:t xml:space="preserve">Has the B-R profile changed? Are new risks emerging? Is the drug being used appropriately?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  STAGE 1: DISCOVERY &amp; PRECLINICAL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400"/>
      </w:tblGrid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BEAFE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In vitro studies, Animal toxicology, Pharmacology models, Target biology literature, Competitor landscape analysis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BEAFE" w:val="clear"/>
          </w:tcPr>
          <w:p>
            <w:r>
              <w:rPr>
                <w:b/>
                <w:bCs/>
                <w:sz w:val="18"/>
                <w:szCs w:val="18"/>
              </w:rPr>
              <w:t xml:space="preserve">B-R Maturity Level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Nascent — Primarily hypothesis-driven with limited human data. B-R assessment is largely theoretical based on mechanism of action and class effects.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BEAFE" w:val="clear"/>
          </w:tcPr>
          <w:p>
            <w:r>
              <w:rPr>
                <w:b/>
                <w:bCs/>
                <w:sz w:val="18"/>
                <w:szCs w:val="18"/>
              </w:rPr>
              <w:t xml:space="preserve">Key Uncertainties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Will preclinical signals translate to humans?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What is the therapeutic window?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Are there off-target effects not captured in models?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BEAFE" w:val="clear"/>
          </w:tcPr>
          <w:p>
            <w:r>
              <w:rPr>
                <w:b/>
                <w:bCs/>
                <w:sz w:val="18"/>
                <w:szCs w:val="18"/>
              </w:rPr>
              <w:t xml:space="preserve">Assessment Tools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Target Product Profile (TPP), Competitive landscape analysis, Go/No-Go decision frameworks, Early SBRF conceptualization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BEAFE" w:val="clear"/>
          </w:tcPr>
          <w:p>
            <w:r>
              <w:rPr>
                <w:b/>
                <w:bCs/>
                <w:sz w:val="18"/>
                <w:szCs w:val="18"/>
              </w:rPr>
              <w:t xml:space="preserve">Regulatory Interface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Pre-IND meetings (FDA), Scientific advice (EMA) — opportunity to align on development strategy</w:t>
            </w:r>
          </w:p>
        </w:tc>
      </w:tr>
    </w:tbl>
    <w:p>
      <w:pPr>
        <w:pStyle w:val="Heading1"/>
        <w:spacing w:before="300"/>
      </w:pPr>
      <w:r>
        <w:t xml:space="preserve">  STAGE 2: EARLY CLINICAL DEVELOPMENT (Phase 1-2)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400"/>
      </w:tblGrid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Phase 1 safety/PK data, Phase 2 proof-of-concept efficacy, Dose-finding studies, Biomarker data, Patient-reported outcomes (exploratory)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b/>
                <w:bCs/>
                <w:sz w:val="18"/>
                <w:szCs w:val="18"/>
              </w:rPr>
              <w:t xml:space="preserve">B-R Maturity Level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Emerging — First human data available but limited sample size. Initial signal of efficacy but wide confidence intervals. Safety profile emerging but rare events not yet detectable.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b/>
                <w:bCs/>
                <w:sz w:val="18"/>
                <w:szCs w:val="18"/>
              </w:rPr>
              <w:t xml:space="preserve">Key Uncertainties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Will proof-of-concept translate to Phase 3?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What is the optimal dose for efficacy vs. safety?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Are there patient subgroups with different B-R profiles?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b/>
                <w:bCs/>
                <w:sz w:val="18"/>
                <w:szCs w:val="18"/>
              </w:rPr>
              <w:t xml:space="preserve">Assessment Tools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Updated SBRF, Preliminary benefit-risk summary tables, Dose-response modeling, Qualitative patient preference studies (exploratory)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b/>
                <w:bCs/>
                <w:sz w:val="18"/>
                <w:szCs w:val="18"/>
              </w:rPr>
              <w:t xml:space="preserve">Regulatory Interface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End-of-Phase 2 meetings, Breakthrough Therapy designation (FDA), PRIME designation (EMA), Pediatric study plan agreement</w:t>
            </w:r>
          </w:p>
        </w:tc>
      </w:tr>
    </w:tbl>
    <w:p>
      <w:pPr>
        <w:pStyle w:val="Heading1"/>
        <w:spacing w:before="300"/>
      </w:pPr>
      <w:r>
        <w:t xml:space="preserve">  STAGE 3: LATE CLINICAL DEVELOPMENT (Phase 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400"/>
      </w:tblGrid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Pivotal Phase 3 trials, Integrated safety database (ISS), Integrated efficacy summary (ISE), Long-term extension studies, Special population studies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b/>
                <w:bCs/>
                <w:sz w:val="18"/>
                <w:szCs w:val="18"/>
              </w:rPr>
              <w:t xml:space="preserve">B-R Maturity Level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Established — Comprehensive efficacy evidence and robust safety database (typically 1,000-3,000+ patients). Sufficient to characterize common and many less common adverse events. Foundation for regulatory submission.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b/>
                <w:bCs/>
                <w:sz w:val="18"/>
                <w:szCs w:val="18"/>
              </w:rPr>
              <w:t xml:space="preserve">Key Uncertainties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Will trial results generalize to real-world populations?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Are there rare but serious risks not yet detected?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How does B-R compare to existing treatments?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b/>
                <w:bCs/>
                <w:sz w:val="18"/>
                <w:szCs w:val="18"/>
              </w:rPr>
              <w:t xml:space="preserve">Assessment Tools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Complete SBRF, BRAD (Benefit-Risk Assessment Document), Quantitative B-R methods (MCDA, DOOR), Sensitivity analyses, Patient preference studies (DCE, Threshold Technique)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b/>
                <w:bCs/>
                <w:sz w:val="18"/>
                <w:szCs w:val="18"/>
              </w:rPr>
              <w:t xml:space="preserve">Regulatory Interface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Pre-submission meetings, NDA/BLA submission (FDA), MAA submission (EMA), Advisory committee preparation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  STAGE 4: REGULATORY REVIEW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400"/>
      </w:tblGrid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Complete clinical development package, Agency review findings, Advisory committee input, Comparator product data, Class-level safety data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b/>
                <w:bCs/>
                <w:sz w:val="18"/>
                <w:szCs w:val="18"/>
              </w:rPr>
              <w:t xml:space="preserve">B-R Maturity Level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Crystallized — Formal B-R assessment by regulators. All available data integrated. Decision point: approve, reject, or request additional data. Final labeling reflects regulatory judgment on B-R balance.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b/>
                <w:bCs/>
                <w:sz w:val="18"/>
                <w:szCs w:val="18"/>
              </w:rPr>
              <w:t xml:space="preserve">Key Decisions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Approval/rejection and for which indication(s)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Labeling language (warnings, contraindications, precautions)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Risk minimization requirements (RMMs, REMS)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Post-marketing requirements/commitments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b/>
                <w:bCs/>
                <w:sz w:val="18"/>
                <w:szCs w:val="18"/>
              </w:rPr>
              <w:t xml:space="preserve">Assessment Tools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FDA BRAT, EMA Effects Table, SBRF presentation for advisory committees, Risk Management Plan (EU), REMS assessment (US)</w:t>
            </w:r>
          </w:p>
        </w:tc>
      </w:tr>
    </w:tbl>
    <w:p>
      <w:pPr>
        <w:pStyle w:val="Heading1"/>
        <w:spacing w:before="300"/>
      </w:pPr>
      <w:r>
        <w:t xml:space="preserve">  STAGE 5: POST-MARKETING SURVEILLANCE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400"/>
      </w:tblGrid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Spontaneous AE reports, Post-marketing studies (PMRs/PMCs), Real-world evidence (claims, EHR), Registries, Comparative effectiveness studies, Literature surveillance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B-R Maturity Level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Evolving — B-R profile continuously refined with real-world data. Rare risks emerge. Effectiveness in broader populations assessed. B-R may improve or deteriorate based on new evidence.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Key Activities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Signal detection and evaluation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Periodic Safety Update Reports (PSURs/PBRERs)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Label updates based on new safety information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RMM effectiveness evaluation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Benefit-risk re-evaluation when signals emerge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Assessment Tools</w:t>
            </w:r>
          </w:p>
        </w:tc>
        <w:tc>
          <w:tcPr>
            <w:tcW w:type="dxa" w:w="6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Updated SBRF for signal evaluation, PBRER/PSUR B-R section, Pharmacoepidemiologic study protocols, Impact models for new signals</w:t>
            </w:r>
          </w:p>
        </w:tc>
      </w:tr>
    </w:tbl>
    <w:p>
      <w:pPr>
        <w:pStyle w:val="Heading1"/>
        <w:spacing w:before="300"/>
      </w:pPr>
      <w:r>
        <w:t xml:space="preserve">  B-R RE-EVALUATION TRIGGERS</w:t>
      </w:r>
    </w:p>
    <w:p>
      <w:pPr>
        <w:spacing w:after="200"/>
      </w:pPr>
      <w:r>
        <w:t xml:space="preserve">Per CIOMS WG XII, formal benefit-risk re-evaluation should occur when: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0"/>
      </w:tblGrid>
      <w:tr>
        <w:trPr>
          <w:tblHeader/>
        </w:trP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 Category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New Safety Signal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Previously unknown adverse reaction identified; increased frequency or severity of known risk; new drug interaction; safety signal from class effect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E2E2" w:val="clear"/>
          </w:tcPr>
          <w:p>
            <w:r>
              <w:rPr>
                <w:b/>
                <w:bCs/>
                <w:sz w:val="18"/>
                <w:szCs w:val="18"/>
              </w:rPr>
              <w:t xml:space="preserve">New Benefit Data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E2E2" w:val="clear"/>
          </w:tcPr>
          <w:p>
            <w:r>
              <w:rPr>
                <w:sz w:val="18"/>
                <w:szCs w:val="18"/>
              </w:rPr>
              <w:t xml:space="preserve">New indication approved; real-world effectiveness data different from trials; comparative effectiveness data vs. new competitors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Context Change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New therapeutic alternatives available; change in disease epidemiology; new treatment guidelines; change in standard of care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E2E2" w:val="clear"/>
          </w:tcPr>
          <w:p>
            <w:r>
              <w:rPr>
                <w:b/>
                <w:bCs/>
                <w:sz w:val="18"/>
                <w:szCs w:val="18"/>
              </w:rPr>
              <w:t xml:space="preserve">RMM Ineffectiveness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E2E2" w:val="clear"/>
          </w:tcPr>
          <w:p>
            <w:r>
              <w:rPr>
                <w:sz w:val="18"/>
                <w:szCs w:val="18"/>
              </w:rPr>
              <w:t xml:space="preserve">Risk minimization measures not achieving objectives; off-label use in vulnerable populations; medication errors not decreasing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Regulatory Request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18"/>
                <w:szCs w:val="18"/>
              </w:rPr>
              <w:t xml:space="preserve">Agency-initiated review; Article 20/31 referral (EU); FDA safety review; PRAC signal assessment</w:t>
            </w:r>
          </w:p>
        </w:tc>
      </w:tr>
    </w:tbl>
    <w:p>
      <w:pPr>
        <w:spacing w:before="300" w:after="100"/>
      </w:pPr>
      <w:r>
        <w:rPr>
          <w:b/>
          <w:bCs/>
          <w:color w:val="0D9488"/>
        </w:rPr>
        <w:t xml:space="preserve">◆ SIGNAL DETECTED: The Uncertainty Paradox</w:t>
      </w:r>
    </w:p>
    <w:p>
      <w:pPr>
        <w:spacing w:after="200"/>
      </w:pPr>
      <w:r>
        <w:t xml:space="preserve">As the product lifecycle progresses, certain uncertainties </w:t>
      </w:r>
      <w:r>
        <w:rPr>
          <w:b/>
          <w:bCs/>
        </w:rPr>
        <w:t xml:space="preserve">decrease</w:t>
      </w:r>
      <w:r>
        <w:t xml:space="preserve"> (efficacy confirmation, common AE characterization) while others </w:t>
      </w:r>
      <w:r>
        <w:rPr>
          <w:b/>
          <w:bCs/>
        </w:rPr>
        <w:t xml:space="preserve">increase</w:t>
      </w:r>
      <w:r>
        <w:t xml:space="preserve"> (rare risks, real-world effectiveness gaps, comparative effectiveness). Mature B-R assessment acknowledges which uncertainties are resolving and which are emerging.</w:t>
      </w:r>
    </w:p>
    <w:p>
      <w:pPr>
        <w:spacing w:before="200" w:after="100"/>
      </w:pPr>
      <w:r>
        <w:rPr>
          <w:b/>
          <w:bCs/>
          <w:color w:val="D97706"/>
        </w:rPr>
        <w:t xml:space="preserve">⚠ FAILURE MODE IDENTIFIED: Approval Anchoring</w:t>
      </w:r>
    </w:p>
    <w:p>
      <w:pPr>
        <w:spacing w:after="200"/>
      </w:pPr>
      <w:r>
        <w:t xml:space="preserve">Organizations often anchor to the B-R profile established at approval, treating it as fixed rather than evolving. This leads to delayed recognition of emerging risks or failure to communicate improved benefit evidence. The B-R balance at approval is the </w:t>
      </w:r>
      <w:r>
        <w:rPr>
          <w:b/>
          <w:bCs/>
          <w:i/>
          <w:iCs/>
        </w:rPr>
        <w:t xml:space="preserve">starting point</w:t>
      </w:r>
      <w:r>
        <w:t xml:space="preserve">, not the final word.</w:t>
      </w:r>
    </w:p>
    <w:p>
      <w:pPr>
        <w:spacing w:before="300"/>
        <w:jc w:val="center"/>
      </w:pPr>
      <w:r>
        <w:rPr>
          <w:color w:val="64748B"/>
          <w:sz w:val="18"/>
          <w:szCs w:val="18"/>
        </w:rPr>
        <w:t xml:space="preserve">Foundation Module | NexVigilant Benefit-Risk Intelligence Toolkit</w:t>
      </w:r>
    </w:p>
    <w:p>
      <w:pPr>
        <w:jc w:val="center"/>
      </w:pPr>
      <w:r>
        <w:rPr>
          <w:color w:val="64748B"/>
          <w:sz w:val="18"/>
          <w:szCs w:val="18"/>
        </w:rPr>
        <w:t xml:space="preserve">Based on CIOMS Working Group XII Report (May 2025)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© 2025 NexVigilant LLC | www.nexvigilant.com |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NexVigilant Benefit-Risk Intelligence Toolkit | Foundation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b/>
      <w:bCs/>
      <w:color w:val="1A365D"/>
      <w:sz w:val="44"/>
      <w:szCs w:val="44"/>
    </w:rPr>
  </w:style>
  <w:style w:type="paragraph" w:styleId="Heading1">
    <w:name w:val="Heading 1"/>
    <w:basedOn w:val="Normal"/>
    <w:next w:val="Normal"/>
    <w:qFormat/>
    <w:pPr>
      <w:shd w:fill="1A365D" w:val="clear"/>
      <w:spacing w:before="240" w:after="12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1A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2025-12-18T04:02:01.057Z</dcterms:created>
  <dcterms:modified xsi:type="dcterms:W3CDTF">2025-12-18T04:02:01.058Z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