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Structured Benefit-Risk Framework</w:t>
      </w:r>
    </w:p>
    <w:p>
      <w:pPr>
        <w:spacing w:after="100"/>
        <w:jc w:val="center"/>
      </w:pPr>
      <w:r>
        <w:rPr>
          <w:b/>
          <w:bCs/>
          <w:color w:val="0D9488"/>
          <w:sz w:val="32"/>
          <w:szCs w:val="32"/>
        </w:rPr>
        <w:t xml:space="preserve">Quick Reference Guide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Based on CIOMS Working Group XII Report (May 2025)</w:t>
      </w:r>
    </w:p>
    <w:p>
      <w:pPr>
        <w:pStyle w:val="Heading1"/>
      </w:pPr>
      <w:r>
        <w:t xml:space="preserve">  WHAT IS THE STRUCTURED BENEFIT-RISK FRAMEWORK?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Structured Benefit-Risk Framework (SBRF)</w:t>
      </w:r>
      <w:r>
        <w:t xml:space="preserve"> is a systematic approach to organizing and presenting benefit-risk information to support transparent, consistent decision-making. It provides a common structure that can be applied across the product lifecycle—from early development through post-marketing surveillance.</w:t>
      </w:r>
    </w:p>
    <w:p>
      <w:pPr>
        <w:spacing w:before="200" w:after="100"/>
      </w:pPr>
      <w:r>
        <w:rPr>
          <w:b/>
          <w:bCs/>
          <w:color w:val="0D9488"/>
        </w:rPr>
        <w:t xml:space="preserve">◎ LOAD-BEARING CONCEPT: Framework vs. Method</w:t>
      </w:r>
    </w:p>
    <w:p>
      <w:pPr>
        <w:spacing w:after="200"/>
      </w:pPr>
      <w:r>
        <w:t xml:space="preserve">The SBRF is a </w:t>
      </w:r>
      <w:r>
        <w:rPr>
          <w:b/>
          <w:bCs/>
          <w:i/>
          <w:iCs/>
        </w:rPr>
        <w:t xml:space="preserve">framework for organizing information</w:t>
      </w:r>
      <w:r>
        <w:t xml:space="preserve">, not a quantitative method. It structures how you present and communicate benefit-risk assessment, but does not prescribe specific analytical techniques. Quantitative methods (MCDA, DOOR, simulation) can be layered onto the SBRF structure when appropriate.</w:t>
      </w:r>
    </w:p>
    <w:p>
      <w:pPr>
        <w:pStyle w:val="Heading1"/>
        <w:spacing w:before="300"/>
      </w:pPr>
      <w:r>
        <w:t xml:space="preserve">  THE FIVE SBRF DOMAINS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000"/>
      </w:tblGrid>
      <w:tr>
        <w:trPr>
          <w:tblHeader/>
        </w:trP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Questions Addressed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THERAPEUTIC CONTEXT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What is the disease? How severe? Who is affected? What treatments exist? What unmet need does this product address?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BENEFITS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What are the demonstrated benefits? How large is the effect? How was it measured? How does it compare to alternatives?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RISKS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What are the identified and potential risks? How frequent/severe? Can they be mitigated? How do they compare to disease burden and alternatives?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UNCERTAINTY &amp; EVIDENCE QUALITY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20"/>
                <w:szCs w:val="20"/>
              </w:rPr>
              <w:t xml:space="preserve">How confident are we in the data? What are the sources of uncertainty? What additional data would reduce uncertainty?</w:t>
            </w:r>
          </w:p>
        </w:tc>
      </w:tr>
      <w:tr>
        <w:tc>
          <w:tcPr>
            <w:tcW w:type="dxa" w:w="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CONCLUSIONS &amp; RISK MANAGEMENT</w:t>
            </w:r>
          </w:p>
        </w:tc>
        <w:tc>
          <w:tcPr>
            <w:tcW w:type="dxa" w:w="6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20"/>
                <w:szCs w:val="20"/>
              </w:rPr>
              <w:t xml:space="preserve">What is the overall benefit-risk balance? For whom? Under what conditions? What risk minimization is needed?</w:t>
            </w:r>
          </w:p>
        </w:tc>
      </w:tr>
    </w:tbl>
    <w:p>
      <w:pPr>
        <w:pStyle w:val="Heading1"/>
        <w:spacing w:before="300"/>
      </w:pPr>
      <w:r>
        <w:t xml:space="preserve">  DOMAIN 1: THERAPEUTIC CONTEXT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Establish the clinical and public health rationale for the product. Without understanding the disease burden and treatment landscape, benefit-risk assessment has no anchor.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Disease/Condition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Nature of the disease; pathophysiology; natural history; morbidity and mortality; quality of life impact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Epidemiology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Incidence; prevalence; at-risk populations; geographic distribution; trends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Current Treatment Landscape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Available treatments; standard of care; treatment guidelines; comparative efficacy and safety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b/>
                <w:bCs/>
                <w:sz w:val="20"/>
                <w:szCs w:val="20"/>
              </w:rPr>
              <w:t xml:space="preserve">Unmet Medical Need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CCFBF1" w:val="clear"/>
          </w:tcPr>
          <w:p>
            <w:r>
              <w:rPr>
                <w:sz w:val="20"/>
                <w:szCs w:val="20"/>
              </w:rPr>
              <w:t xml:space="preserve">Gaps in current therapy; patient populations without adequate options; need for this product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Target Population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Indication(s); population demographics; inclusion/exclusion considerations</w:t>
            </w:r>
          </w:p>
        </w:tc>
      </w:tr>
    </w:tbl>
    <w:p>
      <w:pPr>
        <w:pStyle w:val="Heading1"/>
        <w:spacing w:before="300"/>
      </w:pPr>
      <w:r>
        <w:t xml:space="preserve">  DOMAIN 2: BENEFITS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Characterize all favorable effects of the medicinal product with supporting data on magnitude, clinical relevance, and population applicability.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6A3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6A3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Primary Efficacy Outcomes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Main clinical endpoints; effect size (absolute &amp; relative); statistical significance; clinical significance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Secondary Outcomes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Supporting efficacy measures; patient-reported outcomes; quality of life; symptom improvement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Durability of Benefit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Duration of effect; maintenance of response; time to benefit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Comparative Efficacy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Head-to-head data if available; indirect comparisons; network meta-analysis results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Subgroup Benefits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Differential effects by age, sex, disease severity, comorbidities, prior treatment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DOMAIN 3: RISKS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Characterize all unfavorable effects including identified risks, potential risks, and the consequences of medication errors.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Important Identified Risks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Adverse reactions with sufficient evidence of causal relationship; frequency; severity; reversibility; time to onset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Important Potential Risks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Suspected risks lacking confirmation; class effects; nonclinical signals; theoretical concerns from mechanism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Contextual Risk Factors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Populations at higher risk; drug interactions; contraindications; special precautions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Comparative Safety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sz w:val="20"/>
                <w:szCs w:val="20"/>
              </w:rPr>
              <w:t xml:space="preserve">Safety profile vs. alternatives; unique or shared risks within class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Medication Errors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LASA concerns; dosing complexity; administration errors; storage/handling risks</w:t>
            </w:r>
          </w:p>
        </w:tc>
      </w:tr>
    </w:tbl>
    <w:p>
      <w:pPr>
        <w:pStyle w:val="Heading1"/>
        <w:spacing w:before="300"/>
      </w:pPr>
      <w:r>
        <w:t xml:space="preserve">  DOMAIN 4: UNCERTAINTY &amp; EVIDENCE QUALITY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Explicitly characterize the limitations of current evidence and identify key uncertainties that may affect conclusions.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7C3AE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7C3AE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Study Limitations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Sample size limitations; study duration; population representativeness; comparator selection; endpoint validity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Missing Information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20"/>
                <w:szCs w:val="20"/>
              </w:rPr>
              <w:t xml:space="preserve">Data gaps (pediatrics, elderly, pregnancy, renal/hepatic impairment, long-term use); off-label use patterns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Generalizability Concerns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Trial population vs. real-world use; controlled setting vs. clinical practice; concomitant medication differences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Evidence Quality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EDE9FE" w:val="clear"/>
          </w:tcPr>
          <w:p>
            <w:r>
              <w:rPr>
                <w:sz w:val="20"/>
                <w:szCs w:val="20"/>
              </w:rPr>
              <w:t xml:space="preserve">Study design quality; risk of bias; consistency across studies; directness of evidence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Planned Studies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Ongoing/planned studies that will address key uncertainties; timeline for additional data</w:t>
            </w:r>
          </w:p>
        </w:tc>
      </w:tr>
    </w:tbl>
    <w:p>
      <w:pPr>
        <w:pStyle w:val="Heading1"/>
        <w:spacing w:before="300"/>
      </w:pPr>
      <w:r>
        <w:t xml:space="preserve">  DOMAIN 5: CONCLUSIONS &amp; RISK MANAGEMENT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Integrate the preceding domains into an overall benefit-risk assessment and specify measures to optimize the benefit-risk balance.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Include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B-R Summary Statement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Overall conclusion on benefit-risk balance; favorable/unfavorable/uncertain; for which populations and conditions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Key Drivers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20"/>
                <w:szCs w:val="20"/>
              </w:rPr>
              <w:t xml:space="preserve">Most important factors influencing the B-R conclusion; what would change the assessment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Minimization Plan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Routine and additional RMMs; labeling; educational materials; distribution controls; REMS elements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Pharmacovigilance Plan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1F5F9" w:val="clear"/>
          </w:tcPr>
          <w:p>
            <w:r>
              <w:rPr>
                <w:sz w:val="20"/>
                <w:szCs w:val="20"/>
              </w:rPr>
              <w:t xml:space="preserve">Activities to further characterize or quantify risks; signal detection strategy; post-marketing studies</w:t>
            </w:r>
          </w:p>
        </w:tc>
      </w:tr>
      <w:tr>
        <w:tc>
          <w:tcPr>
            <w:tcW w:type="dxa" w:w="2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Re-evaluation Triggers</w:t>
            </w:r>
          </w:p>
        </w:tc>
        <w:tc>
          <w:tcPr>
            <w:tcW w:type="dxa" w:w="5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Circumstances that would prompt B-R re-assessment; signal thresholds; timeline for periodic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  EFFECTS TABLE FORMAT</w:t>
      </w:r>
    </w:p>
    <w:p>
      <w:pPr>
        <w:spacing w:after="200"/>
      </w:pPr>
      <w:r>
        <w:t xml:space="preserve">The </w:t>
      </w:r>
      <w:r>
        <w:rPr>
          <w:b/>
          <w:bCs/>
        </w:rPr>
        <w:t xml:space="preserve">Effects Table</w:t>
      </w:r>
      <w:r>
        <w:t xml:space="preserve"> is the primary visualization tool within the SBRF, presenting key benefits and risks side-by-side with supporting data. Use this format to summarize the most important outcomes for decision-makers.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Comparator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Difference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Uncertainty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gridSpan w:val="6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CFCE7" w:val="clear"/>
          </w:tcPr>
          <w:p>
            <w:r>
              <w:rPr>
                <w:b/>
                <w:bCs/>
                <w:color w:val="16A34A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[Primary endpoint]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[Δ or RR]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[95% CI]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[Study ID]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[Secondary endpoint]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[value]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[value]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[Δ or RR]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[95% CI]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[Study ID]</w:t>
            </w:r>
          </w:p>
        </w:tc>
      </w:tr>
      <w:tr>
        <w:tc>
          <w:tcPr>
            <w:gridSpan w:val="6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FEF3C7" w:val="clea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RISKS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[Key adverse event]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[incidence]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[incidence]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[Δ or RR]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[95% CI]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[ISS]</w:t>
            </w:r>
          </w:p>
        </w:tc>
      </w:tr>
      <w:tr>
        <w:tc>
          <w:tcPr>
            <w:tcW w:type="dxa" w:w="18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i/>
                <w:iCs/>
                <w:color w:val="64748B"/>
                <w:sz w:val="18"/>
                <w:szCs w:val="18"/>
              </w:rPr>
              <w:t xml:space="preserve">[SAE of interest]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[incidence]</w:t>
            </w:r>
          </w:p>
        </w:tc>
        <w:tc>
          <w:tcPr>
            <w:tcW w:type="dxa" w:w="14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[incidence]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[Δ or RR]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[95% CI]</w:t>
            </w:r>
          </w:p>
        </w:tc>
        <w:tc>
          <w:tcPr>
            <w:tcW w:type="dxa" w:w="1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i/>
                <w:iCs/>
                <w:color w:val="64748B"/>
                <w:sz w:val="18"/>
                <w:szCs w:val="18"/>
              </w:rPr>
              <w:t xml:space="preserve">[ISS]</w:t>
            </w:r>
          </w:p>
        </w:tc>
      </w:tr>
    </w:tbl>
    <w:p>
      <w:pPr>
        <w:pStyle w:val="Heading1"/>
        <w:spacing w:before="300"/>
      </w:pPr>
      <w:r>
        <w:t xml:space="preserve">  KEY PRINCIPLES FOR SBRF APPLICATION</w:t>
      </w:r>
    </w:p>
    <w:p>
      <w:pPr>
        <w:pStyle w:val="ListParagraph"/>
        <w:numPr>
          <w:ilvl w:val="0"/>
          <w:numId w:val="2"/>
        </w:numPr>
        <w:spacing w:before="100"/>
      </w:pPr>
      <w:r>
        <w:rPr>
          <w:b/>
          <w:bCs/>
        </w:rPr>
        <w:t xml:space="preserve">Proportionality: </w:t>
      </w:r>
      <w:r>
        <w:t xml:space="preserve">Depth of analysis should be proportionate to the complexity of the decision and the significance of the risks and benefits.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 xml:space="preserve">All assumptions, data sources, and analytical choices should be explicitly stated and justified.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Consistency: </w:t>
      </w:r>
      <w:r>
        <w:t xml:space="preserve">Use the same framework structure across the product lifecycle to enable meaningful comparison over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Context Dependency: </w:t>
      </w:r>
      <w:r>
        <w:t xml:space="preserve">The B-R balance varies by indication, population, severity, alternatives, and patient values—capture this complexity.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Living Document: </w:t>
      </w:r>
      <w:r>
        <w:t xml:space="preserve">Update the SBRF as new data emerge; the approval-time assessment is the starting point, not the final word.</w:t>
      </w:r>
    </w:p>
    <w:p>
      <w:pPr>
        <w:spacing w:before="300" w:after="100"/>
      </w:pPr>
      <w:r>
        <w:rPr>
          <w:b/>
          <w:bCs/>
          <w:color w:val="D97706"/>
        </w:rPr>
        <w:t xml:space="preserve">⚠ FAILURE MODE IDENTIFIED: The Checkbox Trap</w:t>
      </w:r>
    </w:p>
    <w:p>
      <w:pPr>
        <w:spacing w:after="200"/>
      </w:pPr>
      <w:r>
        <w:t xml:space="preserve">The SBRF is not a form to fill out. Teams sometimes treat it as a compliance checklist—populating every field without genuine analytical synthesis. The framework's value lies in forcing structured </w:t>
      </w:r>
      <w:r>
        <w:rPr>
          <w:b/>
          <w:bCs/>
          <w:i/>
          <w:iCs/>
        </w:rPr>
        <w:t xml:space="preserve">thinking</w:t>
      </w:r>
      <w:r>
        <w:t xml:space="preserve">, not structured </w:t>
      </w:r>
      <w:r>
        <w:rPr>
          <w:b/>
          <w:bCs/>
          <w:i/>
          <w:iCs/>
        </w:rPr>
        <w:t xml:space="preserve">filing</w:t>
      </w:r>
      <w:r>
        <w:t xml:space="preserve">. Domain 5 (Conclusions) should reflect genuine integration of the preceding domains, not templated language.</w:t>
      </w:r>
    </w:p>
    <w:p>
      <w:pPr>
        <w:spacing w:before="300"/>
        <w:jc w:val="center"/>
      </w:pPr>
      <w:r>
        <w:rPr>
          <w:color w:val="64748B"/>
          <w:sz w:val="18"/>
          <w:szCs w:val="18"/>
        </w:rPr>
        <w:t xml:space="preserve">Foundation Module | NexVigilant Benefit-Risk Intelligence Toolkit</w:t>
      </w:r>
    </w:p>
    <w:p>
      <w:pPr>
        <w:jc w:val="center"/>
      </w:pPr>
      <w:r>
        <w:rPr>
          <w:color w:val="64748B"/>
          <w:sz w:val="18"/>
          <w:szCs w:val="18"/>
        </w:rPr>
        <w:t xml:space="preserve">Based on CIOMS Working Group XII Report (May 2025)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© 2025 NexVigilant LLC | www.nexvigilant.com |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NexVigilant Benefit-Risk Intelligence Toolkit | Foundation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hd w:fill="1A365D" w:val="clear"/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2025-12-18T04:02:01.429Z</dcterms:created>
  <dcterms:modified xsi:type="dcterms:W3CDTF">2025-12-18T04:02:01.430Z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