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Patient Preference Study Selector</w:t>
      </w:r>
    </w:p>
    <w:p>
      <w:pPr>
        <w:spacing w:after="300"/>
        <w:jc w:val="center"/>
      </w:pPr>
      <w:r>
        <w:rPr>
          <w:i/>
          <w:iCs/>
          <w:color w:val="64748B"/>
          <w:sz w:val="22"/>
          <w:szCs w:val="22"/>
        </w:rPr>
        <w:t xml:space="preserve">Decision Matrix for Selecting Patient Preference Elicitation Methods</w:t>
      </w:r>
    </w:p>
    <w:p>
      <w:pPr>
        <w:spacing w:after="300"/>
        <w:jc w:val="center"/>
      </w:pPr>
      <w:r>
        <w:rPr>
          <w:i/>
          <w:iCs/>
          <w:color w:val="64748B"/>
          <w:sz w:val="20"/>
          <w:szCs w:val="20"/>
        </w:rPr>
        <w:t xml:space="preserve">Based on CIOMS WG XII, IMI-PREFER &amp; ISPOR Guidance</w:t>
      </w:r>
    </w:p>
    <w:p>
      <w:pPr>
        <w:pStyle w:val="Heading1"/>
      </w:pPr>
      <w:r>
        <w:t xml:space="preserve">  WHEN PATIENT PREFERENCES ARE NEEDED</w:t>
      </w:r>
    </w:p>
    <w:p>
      <w:pPr>
        <w:spacing w:after="200"/>
      </w:pPr>
      <w:r>
        <w:t xml:space="preserve">Patient preference studies (PPS) are </w:t>
      </w:r>
      <w:r>
        <w:rPr>
          <w:b/>
          <w:bCs/>
        </w:rPr>
        <w:t xml:space="preserve">NOT routine requirements</w:t>
      </w:r>
      <w:r>
        <w:t xml:space="preserve">. Per CIOMS WG XII, patient preference information is most likely needed in </w:t>
      </w:r>
      <w:r>
        <w:rPr>
          <w:b/>
          <w:bCs/>
          <w:i/>
          <w:iCs/>
        </w:rPr>
        <w:t xml:space="preserve">preference-sensitive situations</w:t>
      </w:r>
      <w:r>
        <w:t xml:space="preserve">—where the optimal decision depends significantly on how individual patients value different outcomes. The PREFER framework identifies three primary triggers: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00"/>
        <w:gridCol w:w="3200"/>
        <w:gridCol w:w="3200"/>
      </w:tblGrid>
      <w:tr>
        <w:trPr>
          <w:tblHeader/>
        </w:trPr>
        <w:tc>
          <w:tcPr>
            <w:tcW w:type="dxa" w:w="1900"/>
            <w:tcBorders>
              <w:top w:val="single" w:color="64748B" w:sz="8"/>
              <w:left w:val="single" w:color="64748B" w:sz="8"/>
              <w:bottom w:val="single" w:color="64748B" w:sz="8"/>
              <w:right w:val="single" w:color="64748B" w:sz="8"/>
            </w:tcBorders>
            <w:shd w:fill="0D9488" w:val="clear"/>
          </w:tcPr>
          <w:p>
            <w:pPr>
              <w:jc w:val="center"/>
            </w:pPr>
            <w:r>
              <w:rPr>
                <w:b/>
                <w:bCs/>
                <w:color w:val="FFFFFF"/>
                <w:sz w:val="20"/>
                <w:szCs w:val="20"/>
              </w:rPr>
              <w:t xml:space="preserve">Trigger</w:t>
            </w:r>
          </w:p>
        </w:tc>
        <w:tc>
          <w:tcPr>
            <w:tcW w:type="dxa" w:w="3200"/>
            <w:tcBorders>
              <w:top w:val="single" w:color="64748B" w:sz="8"/>
              <w:left w:val="single" w:color="64748B" w:sz="8"/>
              <w:bottom w:val="single" w:color="64748B" w:sz="8"/>
              <w:right w:val="single" w:color="64748B" w:sz="8"/>
            </w:tcBorders>
            <w:shd w:fill="0D9488" w:val="clear"/>
          </w:tcPr>
          <w:p>
            <w:pPr>
              <w:jc w:val="center"/>
            </w:pPr>
            <w:r>
              <w:rPr>
                <w:b/>
                <w:bCs/>
                <w:color w:val="FFFFFF"/>
                <w:sz w:val="20"/>
                <w:szCs w:val="20"/>
              </w:rPr>
              <w:t xml:space="preserve">Description</w:t>
            </w:r>
          </w:p>
        </w:tc>
        <w:tc>
          <w:tcPr>
            <w:tcW w:type="dxa" w:w="3200"/>
            <w:tcBorders>
              <w:top w:val="single" w:color="64748B" w:sz="8"/>
              <w:left w:val="single" w:color="64748B" w:sz="8"/>
              <w:bottom w:val="single" w:color="64748B" w:sz="8"/>
              <w:right w:val="single" w:color="64748B" w:sz="8"/>
            </w:tcBorders>
            <w:shd w:fill="0D9488" w:val="clear"/>
          </w:tcPr>
          <w:p>
            <w:pPr>
              <w:jc w:val="center"/>
            </w:pPr>
            <w:r>
              <w:rPr>
                <w:b/>
                <w:bCs/>
                <w:color w:val="FFFFFF"/>
                <w:sz w:val="20"/>
                <w:szCs w:val="20"/>
              </w:rPr>
              <w:t xml:space="preserve">Example Scenario</w:t>
            </w:r>
          </w:p>
        </w:tc>
      </w:tr>
      <w:tr>
        <w:tc>
          <w:tcPr>
            <w:tcW w:type="dxa" w:w="1900"/>
            <w:tcBorders>
              <w:top w:val="single" w:color="64748B" w:sz="8"/>
              <w:left w:val="single" w:color="64748B" w:sz="8"/>
              <w:bottom w:val="single" w:color="64748B" w:sz="8"/>
              <w:right w:val="single" w:color="64748B" w:sz="8"/>
            </w:tcBorders>
          </w:tcPr>
          <w:p>
            <w:r>
              <w:rPr>
                <w:b/>
                <w:bCs/>
                <w:sz w:val="18"/>
                <w:szCs w:val="18"/>
              </w:rPr>
              <w:t xml:space="preserve">Benefits &amp; Risks Finely Balanced</w:t>
            </w:r>
          </w:p>
        </w:tc>
        <w:tc>
          <w:tcPr>
            <w:tcW w:type="dxa" w:w="3200"/>
            <w:tcBorders>
              <w:top w:val="single" w:color="64748B" w:sz="8"/>
              <w:left w:val="single" w:color="64748B" w:sz="8"/>
              <w:bottom w:val="single" w:color="64748B" w:sz="8"/>
              <w:right w:val="single" w:color="64748B" w:sz="8"/>
            </w:tcBorders>
          </w:tcPr>
          <w:p>
            <w:r>
              <w:rPr>
                <w:sz w:val="18"/>
                <w:szCs w:val="18"/>
              </w:rPr>
              <w:t xml:space="preserve">Both benefits and risks are high, or benefits approximately equal risks, or both are low</w:t>
            </w:r>
          </w:p>
        </w:tc>
        <w:tc>
          <w:tcPr>
            <w:tcW w:type="dxa" w:w="3200"/>
            <w:tcBorders>
              <w:top w:val="single" w:color="64748B" w:sz="8"/>
              <w:left w:val="single" w:color="64748B" w:sz="8"/>
              <w:bottom w:val="single" w:color="64748B" w:sz="8"/>
              <w:right w:val="single" w:color="64748B" w:sz="8"/>
            </w:tcBorders>
          </w:tcPr>
          <w:p>
            <w:r>
              <w:rPr>
                <w:sz w:val="18"/>
                <w:szCs w:val="18"/>
              </w:rPr>
              <w:t xml:space="preserve">Oncology drug with significant efficacy but also serious adverse events; decision depends on patient risk tolerance</w:t>
            </w:r>
          </w:p>
        </w:tc>
      </w:tr>
      <w:tr>
        <w:tc>
          <w:tcPr>
            <w:tcW w:type="dxa" w:w="1900"/>
            <w:tcBorders>
              <w:top w:val="single" w:color="64748B" w:sz="8"/>
              <w:left w:val="single" w:color="64748B" w:sz="8"/>
              <w:bottom w:val="single" w:color="64748B" w:sz="8"/>
              <w:right w:val="single" w:color="64748B" w:sz="8"/>
            </w:tcBorders>
            <w:shd w:fill="CCFBF1" w:val="clear"/>
          </w:tcPr>
          <w:p>
            <w:r>
              <w:rPr>
                <w:b/>
                <w:bCs/>
                <w:sz w:val="18"/>
                <w:szCs w:val="18"/>
              </w:rPr>
              <w:t xml:space="preserve">Significant Patient Heterogeneity</w:t>
            </w:r>
          </w:p>
        </w:tc>
        <w:tc>
          <w:tcPr>
            <w:tcW w:type="dxa" w:w="3200"/>
            <w:tcBorders>
              <w:top w:val="single" w:color="64748B" w:sz="8"/>
              <w:left w:val="single" w:color="64748B" w:sz="8"/>
              <w:bottom w:val="single" w:color="64748B" w:sz="8"/>
              <w:right w:val="single" w:color="64748B" w:sz="8"/>
            </w:tcBorders>
            <w:shd w:fill="CCFBF1" w:val="clear"/>
          </w:tcPr>
          <w:p>
            <w:r>
              <w:rPr>
                <w:sz w:val="18"/>
                <w:szCs w:val="18"/>
              </w:rPr>
              <w:t xml:space="preserve">Views within patient population vary considerably about important benefits and acceptable risks</w:t>
            </w:r>
          </w:p>
        </w:tc>
        <w:tc>
          <w:tcPr>
            <w:tcW w:type="dxa" w:w="3200"/>
            <w:tcBorders>
              <w:top w:val="single" w:color="64748B" w:sz="8"/>
              <w:left w:val="single" w:color="64748B" w:sz="8"/>
              <w:bottom w:val="single" w:color="64748B" w:sz="8"/>
              <w:right w:val="single" w:color="64748B" w:sz="8"/>
            </w:tcBorders>
            <w:shd w:fill="CCFBF1" w:val="clear"/>
          </w:tcPr>
          <w:p>
            <w:r>
              <w:rPr>
                <w:sz w:val="18"/>
                <w:szCs w:val="18"/>
              </w:rPr>
              <w:t xml:space="preserve">Chronic condition where some patients prioritize symptom relief while others prioritize avoiding side effects</w:t>
            </w:r>
          </w:p>
        </w:tc>
      </w:tr>
      <w:tr>
        <w:tc>
          <w:tcPr>
            <w:tcW w:type="dxa" w:w="1900"/>
            <w:tcBorders>
              <w:top w:val="single" w:color="64748B" w:sz="8"/>
              <w:left w:val="single" w:color="64748B" w:sz="8"/>
              <w:bottom w:val="single" w:color="64748B" w:sz="8"/>
              <w:right w:val="single" w:color="64748B" w:sz="8"/>
            </w:tcBorders>
          </w:tcPr>
          <w:p>
            <w:r>
              <w:rPr>
                <w:b/>
                <w:bCs/>
                <w:sz w:val="18"/>
                <w:szCs w:val="18"/>
              </w:rPr>
              <w:t xml:space="preserve">Patient-HCP View Divergence</w:t>
            </w:r>
          </w:p>
        </w:tc>
        <w:tc>
          <w:tcPr>
            <w:tcW w:type="dxa" w:w="3200"/>
            <w:tcBorders>
              <w:top w:val="single" w:color="64748B" w:sz="8"/>
              <w:left w:val="single" w:color="64748B" w:sz="8"/>
              <w:bottom w:val="single" w:color="64748B" w:sz="8"/>
              <w:right w:val="single" w:color="64748B" w:sz="8"/>
            </w:tcBorders>
          </w:tcPr>
          <w:p>
            <w:r>
              <w:rPr>
                <w:sz w:val="18"/>
                <w:szCs w:val="18"/>
              </w:rPr>
              <w:t xml:space="preserve">Patient views differ markedly from healthcare provider views on what matters most</w:t>
            </w:r>
          </w:p>
        </w:tc>
        <w:tc>
          <w:tcPr>
            <w:tcW w:type="dxa" w:w="3200"/>
            <w:tcBorders>
              <w:top w:val="single" w:color="64748B" w:sz="8"/>
              <w:left w:val="single" w:color="64748B" w:sz="8"/>
              <w:bottom w:val="single" w:color="64748B" w:sz="8"/>
              <w:right w:val="single" w:color="64748B" w:sz="8"/>
            </w:tcBorders>
          </w:tcPr>
          <w:p>
            <w:r>
              <w:rPr>
                <w:sz w:val="18"/>
                <w:szCs w:val="18"/>
              </w:rPr>
              <w:t xml:space="preserve">Convenience factors (dosing frequency) may matter more to patients than clinical parameters HCPs emphasize</w:t>
            </w:r>
          </w:p>
        </w:tc>
      </w:tr>
    </w:tbl>
    <w:p>
      <w:pPr>
        <w:pStyle w:val="Heading1"/>
        <w:spacing w:before="300"/>
      </w:pPr>
      <w:r>
        <w:t xml:space="preserve">  KEY QUESTIONS PPS CAN ANSWER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3400"/>
      </w:tblGrid>
      <w:tr>
        <w:trPr>
          <w:tblHeader/>
        </w:trPr>
        <w:tc>
          <w:tcPr>
            <w:tcW w:type="dxa" w:w="2000"/>
            <w:tcBorders>
              <w:top w:val="single" w:color="64748B" w:sz="8"/>
              <w:left w:val="single" w:color="64748B" w:sz="8"/>
              <w:bottom w:val="single" w:color="64748B" w:sz="8"/>
              <w:right w:val="single" w:color="64748B" w:sz="8"/>
            </w:tcBorders>
            <w:shd w:fill="D97706" w:val="clear"/>
          </w:tcPr>
          <w:p>
            <w:pPr>
              <w:jc w:val="center"/>
            </w:pPr>
            <w:r>
              <w:rPr>
                <w:b/>
                <w:bCs/>
                <w:color w:val="FFFFFF"/>
                <w:sz w:val="20"/>
                <w:szCs w:val="20"/>
              </w:rPr>
              <w:t xml:space="preserve">Question Type</w:t>
            </w:r>
          </w:p>
        </w:tc>
        <w:tc>
          <w:tcPr>
            <w:tcW w:type="dxa" w:w="3000"/>
            <w:tcBorders>
              <w:top w:val="single" w:color="64748B" w:sz="8"/>
              <w:left w:val="single" w:color="64748B" w:sz="8"/>
              <w:bottom w:val="single" w:color="64748B" w:sz="8"/>
              <w:right w:val="single" w:color="64748B" w:sz="8"/>
            </w:tcBorders>
            <w:shd w:fill="D97706" w:val="clear"/>
          </w:tcPr>
          <w:p>
            <w:pPr>
              <w:jc w:val="center"/>
            </w:pPr>
            <w:r>
              <w:rPr>
                <w:b/>
                <w:bCs/>
                <w:color w:val="FFFFFF"/>
                <w:sz w:val="20"/>
                <w:szCs w:val="20"/>
              </w:rPr>
              <w:t xml:space="preserve">What It Addresses</w:t>
            </w:r>
          </w:p>
        </w:tc>
        <w:tc>
          <w:tcPr>
            <w:tcW w:type="dxa" w:w="3400"/>
            <w:tcBorders>
              <w:top w:val="single" w:color="64748B" w:sz="8"/>
              <w:left w:val="single" w:color="64748B" w:sz="8"/>
              <w:bottom w:val="single" w:color="64748B" w:sz="8"/>
              <w:right w:val="single" w:color="64748B" w:sz="8"/>
            </w:tcBorders>
            <w:shd w:fill="D97706" w:val="clear"/>
          </w:tcPr>
          <w:p>
            <w:pPr>
              <w:jc w:val="center"/>
            </w:pPr>
            <w:r>
              <w:rPr>
                <w:b/>
                <w:bCs/>
                <w:color w:val="FFFFFF"/>
                <w:sz w:val="20"/>
                <w:szCs w:val="20"/>
              </w:rPr>
              <w:t xml:space="preserve">Primary Methods</w:t>
            </w:r>
          </w:p>
        </w:tc>
      </w:tr>
      <w:tr>
        <w:tc>
          <w:tcPr>
            <w:tcW w:type="dxa" w:w="2000"/>
            <w:tcBorders>
              <w:top w:val="single" w:color="64748B" w:sz="8"/>
              <w:left w:val="single" w:color="64748B" w:sz="8"/>
              <w:bottom w:val="single" w:color="64748B" w:sz="8"/>
              <w:right w:val="single" w:color="64748B" w:sz="8"/>
            </w:tcBorders>
          </w:tcPr>
          <w:p>
            <w:r>
              <w:rPr>
                <w:b/>
                <w:bCs/>
                <w:sz w:val="18"/>
                <w:szCs w:val="18"/>
              </w:rPr>
              <w:t xml:space="preserve">What matters to patients?</w:t>
            </w:r>
          </w:p>
        </w:tc>
        <w:tc>
          <w:tcPr>
            <w:tcW w:type="dxa" w:w="3000"/>
            <w:tcBorders>
              <w:top w:val="single" w:color="64748B" w:sz="8"/>
              <w:left w:val="single" w:color="64748B" w:sz="8"/>
              <w:bottom w:val="single" w:color="64748B" w:sz="8"/>
              <w:right w:val="single" w:color="64748B" w:sz="8"/>
            </w:tcBorders>
          </w:tcPr>
          <w:p>
            <w:r>
              <w:rPr>
                <w:sz w:val="18"/>
                <w:szCs w:val="18"/>
              </w:rPr>
              <w:t xml:space="preserve">Which decision criteria/endpoints are important to patients</w:t>
            </w:r>
          </w:p>
        </w:tc>
        <w:tc>
          <w:tcPr>
            <w:tcW w:type="dxa" w:w="3400"/>
            <w:tcBorders>
              <w:top w:val="single" w:color="64748B" w:sz="8"/>
              <w:left w:val="single" w:color="64748B" w:sz="8"/>
              <w:bottom w:val="single" w:color="64748B" w:sz="8"/>
              <w:right w:val="single" w:color="64748B" w:sz="8"/>
            </w:tcBorders>
          </w:tcPr>
          <w:p>
            <w:r>
              <w:rPr>
                <w:sz w:val="18"/>
                <w:szCs w:val="18"/>
              </w:rPr>
              <w:t xml:space="preserve">Qualitative: Focus groups, Interviews, Delphi method</w:t>
            </w:r>
          </w:p>
        </w:tc>
      </w:tr>
      <w:tr>
        <w:tc>
          <w:tcPr>
            <w:tcW w:type="dxa" w:w="2000"/>
            <w:tcBorders>
              <w:top w:val="single" w:color="64748B" w:sz="8"/>
              <w:left w:val="single" w:color="64748B" w:sz="8"/>
              <w:bottom w:val="single" w:color="64748B" w:sz="8"/>
              <w:right w:val="single" w:color="64748B" w:sz="8"/>
            </w:tcBorders>
            <w:shd w:fill="FEF3C7" w:val="clear"/>
          </w:tcPr>
          <w:p>
            <w:r>
              <w:rPr>
                <w:b/>
                <w:bCs/>
                <w:sz w:val="18"/>
                <w:szCs w:val="18"/>
              </w:rPr>
              <w:t xml:space="preserve">How much does it matter?</w:t>
            </w:r>
          </w:p>
        </w:tc>
        <w:tc>
          <w:tcPr>
            <w:tcW w:type="dxa" w:w="3000"/>
            <w:tcBorders>
              <w:top w:val="single" w:color="64748B" w:sz="8"/>
              <w:left w:val="single" w:color="64748B" w:sz="8"/>
              <w:bottom w:val="single" w:color="64748B" w:sz="8"/>
              <w:right w:val="single" w:color="64748B" w:sz="8"/>
            </w:tcBorders>
            <w:shd w:fill="FEF3C7" w:val="clear"/>
          </w:tcPr>
          <w:p>
            <w:r>
              <w:rPr>
                <w:sz w:val="18"/>
                <w:szCs w:val="18"/>
              </w:rPr>
              <w:t xml:space="preserve">Relative importance of criteria to patients (weight elicitation)</w:t>
            </w:r>
          </w:p>
        </w:tc>
        <w:tc>
          <w:tcPr>
            <w:tcW w:type="dxa" w:w="3400"/>
            <w:tcBorders>
              <w:top w:val="single" w:color="64748B" w:sz="8"/>
              <w:left w:val="single" w:color="64748B" w:sz="8"/>
              <w:bottom w:val="single" w:color="64748B" w:sz="8"/>
              <w:right w:val="single" w:color="64748B" w:sz="8"/>
            </w:tcBorders>
            <w:shd w:fill="FEF3C7" w:val="clear"/>
          </w:tcPr>
          <w:p>
            <w:r>
              <w:rPr>
                <w:sz w:val="18"/>
                <w:szCs w:val="18"/>
              </w:rPr>
              <w:t xml:space="preserve">Quantitative: Swing Weighting, Best-Worst Scaling</w:t>
            </w:r>
          </w:p>
        </w:tc>
      </w:tr>
      <w:tr>
        <w:tc>
          <w:tcPr>
            <w:tcW w:type="dxa" w:w="2000"/>
            <w:tcBorders>
              <w:top w:val="single" w:color="64748B" w:sz="8"/>
              <w:left w:val="single" w:color="64748B" w:sz="8"/>
              <w:bottom w:val="single" w:color="64748B" w:sz="8"/>
              <w:right w:val="single" w:color="64748B" w:sz="8"/>
            </w:tcBorders>
          </w:tcPr>
          <w:p>
            <w:r>
              <w:rPr>
                <w:b/>
                <w:bCs/>
                <w:sz w:val="18"/>
                <w:szCs w:val="18"/>
              </w:rPr>
              <w:t xml:space="preserve">What trade-offs will patients accept?</w:t>
            </w:r>
          </w:p>
        </w:tc>
        <w:tc>
          <w:tcPr>
            <w:tcW w:type="dxa" w:w="3000"/>
            <w:tcBorders>
              <w:top w:val="single" w:color="64748B" w:sz="8"/>
              <w:left w:val="single" w:color="64748B" w:sz="8"/>
              <w:bottom w:val="single" w:color="64748B" w:sz="8"/>
              <w:right w:val="single" w:color="64748B" w:sz="8"/>
            </w:tcBorders>
          </w:tcPr>
          <w:p>
            <w:r>
              <w:rPr>
                <w:sz w:val="18"/>
                <w:szCs w:val="18"/>
              </w:rPr>
              <w:t xml:space="preserve">How patients weigh benefits vs risks and burdens</w:t>
            </w:r>
          </w:p>
        </w:tc>
        <w:tc>
          <w:tcPr>
            <w:tcW w:type="dxa" w:w="3400"/>
            <w:tcBorders>
              <w:top w:val="single" w:color="64748B" w:sz="8"/>
              <w:left w:val="single" w:color="64748B" w:sz="8"/>
              <w:bottom w:val="single" w:color="64748B" w:sz="8"/>
              <w:right w:val="single" w:color="64748B" w:sz="8"/>
            </w:tcBorders>
          </w:tcPr>
          <w:p>
            <w:r>
              <w:rPr>
                <w:sz w:val="18"/>
                <w:szCs w:val="18"/>
              </w:rPr>
              <w:t xml:space="preserve">Quantitative: DCE, Threshold Technique</w:t>
            </w:r>
          </w:p>
        </w:tc>
      </w:tr>
    </w:tbl>
    <w:p>
      <w:pPr>
        <w:pStyle w:val="Heading1"/>
        <w:spacing w:before="300"/>
      </w:pPr>
      <w:r>
        <w:t xml:space="preserve">  METHOD CATEGORIES</w:t>
      </w:r>
    </w:p>
    <w:p>
      <w:pPr>
        <w:spacing w:after="200"/>
      </w:pPr>
      <w:r>
        <w:t xml:space="preserve">Patient preference methods fall into two broad categories: </w:t>
      </w:r>
      <w:r>
        <w:rPr>
          <w:b/>
          <w:bCs/>
        </w:rPr>
        <w:t xml:space="preserve">Exploration</w:t>
      </w:r>
      <w:r>
        <w:t xml:space="preserve"> (qualitative, identifying what matters) and </w:t>
      </w:r>
      <w:r>
        <w:rPr>
          <w:b/>
          <w:bCs/>
        </w:rPr>
        <w:t xml:space="preserve">Elicitation</w:t>
      </w:r>
      <w:r>
        <w:t xml:space="preserve"> (quantitative, measuring how much). Both may be needed at different stages.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800"/>
        <w:gridCol w:w="2400"/>
      </w:tblGrid>
      <w:tr>
        <w:trPr>
          <w:tblHeader/>
        </w:trPr>
        <w:tc>
          <w:tcPr>
            <w:tcW w:type="dxa" w:w="1500"/>
            <w:tcBorders>
              <w:top w:val="single" w:color="64748B" w:sz="8"/>
              <w:left w:val="single" w:color="64748B" w:sz="8"/>
              <w:bottom w:val="single" w:color="64748B" w:sz="8"/>
              <w:right w:val="single" w:color="64748B" w:sz="8"/>
            </w:tcBorders>
            <w:shd w:fill="1A365D" w:val="clear"/>
          </w:tcPr>
          <w:p>
            <w:pPr>
              <w:jc w:val="center"/>
            </w:pPr>
            <w:r>
              <w:rPr>
                <w:b/>
                <w:bCs/>
                <w:color w:val="FFFFFF"/>
                <w:sz w:val="18"/>
                <w:szCs w:val="18"/>
              </w:rPr>
              <w:t xml:space="preserve">Category</w:t>
            </w:r>
          </w:p>
        </w:tc>
        <w:tc>
          <w:tcPr>
            <w:tcW w:type="dxa" w:w="1500"/>
            <w:tcBorders>
              <w:top w:val="single" w:color="64748B" w:sz="8"/>
              <w:left w:val="single" w:color="64748B" w:sz="8"/>
              <w:bottom w:val="single" w:color="64748B" w:sz="8"/>
              <w:right w:val="single" w:color="64748B" w:sz="8"/>
            </w:tcBorders>
            <w:shd w:fill="1A365D" w:val="clear"/>
          </w:tcPr>
          <w:p>
            <w:pPr>
              <w:jc w:val="center"/>
            </w:pPr>
            <w:r>
              <w:rPr>
                <w:b/>
                <w:bCs/>
                <w:color w:val="FFFFFF"/>
                <w:sz w:val="18"/>
                <w:szCs w:val="18"/>
              </w:rPr>
              <w:t xml:space="preserve">Sub-type</w:t>
            </w:r>
          </w:p>
        </w:tc>
        <w:tc>
          <w:tcPr>
            <w:tcW w:type="dxa" w:w="2800"/>
            <w:tcBorders>
              <w:top w:val="single" w:color="64748B" w:sz="8"/>
              <w:left w:val="single" w:color="64748B" w:sz="8"/>
              <w:bottom w:val="single" w:color="64748B" w:sz="8"/>
              <w:right w:val="single" w:color="64748B" w:sz="8"/>
            </w:tcBorders>
            <w:shd w:fill="1A365D" w:val="clear"/>
          </w:tcPr>
          <w:p>
            <w:pPr>
              <w:jc w:val="center"/>
            </w:pPr>
            <w:r>
              <w:rPr>
                <w:b/>
                <w:bCs/>
                <w:color w:val="FFFFFF"/>
                <w:sz w:val="18"/>
                <w:szCs w:val="18"/>
              </w:rPr>
              <w:t xml:space="preserve">Example Methods</w:t>
            </w:r>
          </w:p>
        </w:tc>
        <w:tc>
          <w:tcPr>
            <w:tcW w:type="dxa" w:w="2400"/>
            <w:tcBorders>
              <w:top w:val="single" w:color="64748B" w:sz="8"/>
              <w:left w:val="single" w:color="64748B" w:sz="8"/>
              <w:bottom w:val="single" w:color="64748B" w:sz="8"/>
              <w:right w:val="single" w:color="64748B" w:sz="8"/>
            </w:tcBorders>
            <w:shd w:fill="1A365D" w:val="clear"/>
          </w:tcPr>
          <w:p>
            <w:pPr>
              <w:jc w:val="center"/>
            </w:pPr>
            <w:r>
              <w:rPr>
                <w:b/>
                <w:bCs/>
                <w:color w:val="FFFFFF"/>
                <w:sz w:val="18"/>
                <w:szCs w:val="18"/>
              </w:rPr>
              <w:t xml:space="preserve">Output Type</w:t>
            </w:r>
          </w:p>
        </w:tc>
      </w:tr>
      <w:tr>
        <w:tc>
          <w:tcPr>
            <w:tcW w:type="dxa" w:w="1500"/>
            <w:vMerge w:val="restart"/>
            <w:tcBorders>
              <w:top w:val="single" w:color="64748B" w:sz="8"/>
              <w:left w:val="single" w:color="64748B" w:sz="8"/>
              <w:bottom w:val="single" w:color="64748B" w:sz="8"/>
              <w:right w:val="single" w:color="64748B" w:sz="8"/>
            </w:tcBorders>
            <w:shd w:fill="DCFCE7" w:val="clear"/>
          </w:tcPr>
          <w:p>
            <w:r>
              <w:rPr>
                <w:b/>
                <w:bCs/>
                <w:sz w:val="16"/>
                <w:szCs w:val="16"/>
              </w:rPr>
              <w:t xml:space="preserve">EXPLORATION (Qualitative)</w:t>
            </w:r>
          </w:p>
        </w:tc>
        <w:tc>
          <w:tcPr>
            <w:tcW w:type="dxa" w:w="1500"/>
            <w:tcBorders>
              <w:top w:val="single" w:color="64748B" w:sz="8"/>
              <w:left w:val="single" w:color="64748B" w:sz="8"/>
              <w:bottom w:val="single" w:color="64748B" w:sz="8"/>
              <w:right w:val="single" w:color="64748B" w:sz="8"/>
            </w:tcBorders>
            <w:shd w:fill="DCFCE7" w:val="clear"/>
          </w:tcPr>
          <w:p>
            <w:r>
              <w:rPr>
                <w:sz w:val="18"/>
                <w:szCs w:val="18"/>
              </w:rPr>
              <w:t xml:space="preserve">Individual Methods</w:t>
            </w:r>
          </w:p>
        </w:tc>
        <w:tc>
          <w:tcPr>
            <w:tcW w:type="dxa" w:w="2800"/>
            <w:tcBorders>
              <w:top w:val="single" w:color="64748B" w:sz="8"/>
              <w:left w:val="single" w:color="64748B" w:sz="8"/>
              <w:bottom w:val="single" w:color="64748B" w:sz="8"/>
              <w:right w:val="single" w:color="64748B" w:sz="8"/>
            </w:tcBorders>
            <w:shd w:fill="DCFCE7" w:val="clear"/>
          </w:tcPr>
          <w:p>
            <w:r>
              <w:rPr>
                <w:sz w:val="18"/>
                <w:szCs w:val="18"/>
              </w:rPr>
              <w:t xml:space="preserve">Open-ended interviews, Semi-structured interviews, Concept mapping</w:t>
            </w:r>
          </w:p>
        </w:tc>
        <w:tc>
          <w:tcPr>
            <w:tcW w:type="dxa" w:w="2400"/>
            <w:tcBorders>
              <w:top w:val="single" w:color="64748B" w:sz="8"/>
              <w:left w:val="single" w:color="64748B" w:sz="8"/>
              <w:bottom w:val="single" w:color="64748B" w:sz="8"/>
              <w:right w:val="single" w:color="64748B" w:sz="8"/>
            </w:tcBorders>
            <w:shd w:fill="DCFCE7" w:val="clear"/>
          </w:tcPr>
          <w:p>
            <w:r>
              <w:rPr>
                <w:sz w:val="18"/>
                <w:szCs w:val="18"/>
              </w:rPr>
              <w:t xml:space="preserve">Themes, priorities, unmet needs</w:t>
            </w:r>
          </w:p>
        </w:tc>
      </w:tr>
      <w:tr>
        <w:tc>
          <w:tcPr>
            <w:vMerge w:val="continue"/>
            <w:tcBorders>
              <w:top w:val="single" w:color="64748B" w:sz="8"/>
              <w:left w:val="single" w:color="64748B" w:sz="8"/>
              <w:bottom w:val="single" w:color="64748B" w:sz="8"/>
              <w:right w:val="single" w:color="64748B" w:sz="8"/>
            </w:tcBorders>
          </w:tcPr>
          <w:p/>
        </w:tc>
        <w:tc>
          <w:tcPr>
            <w:tcW w:type="dxa" w:w="1500"/>
            <w:tcBorders>
              <w:top w:val="single" w:color="64748B" w:sz="8"/>
              <w:left w:val="single" w:color="64748B" w:sz="8"/>
              <w:bottom w:val="single" w:color="64748B" w:sz="8"/>
              <w:right w:val="single" w:color="64748B" w:sz="8"/>
            </w:tcBorders>
            <w:shd w:fill="DCFCE7" w:val="clear"/>
          </w:tcPr>
          <w:p>
            <w:r>
              <w:rPr>
                <w:sz w:val="18"/>
                <w:szCs w:val="18"/>
              </w:rPr>
              <w:t xml:space="preserve">Group Methods</w:t>
            </w:r>
          </w:p>
        </w:tc>
        <w:tc>
          <w:tcPr>
            <w:tcW w:type="dxa" w:w="2800"/>
            <w:tcBorders>
              <w:top w:val="single" w:color="64748B" w:sz="8"/>
              <w:left w:val="single" w:color="64748B" w:sz="8"/>
              <w:bottom w:val="single" w:color="64748B" w:sz="8"/>
              <w:right w:val="single" w:color="64748B" w:sz="8"/>
            </w:tcBorders>
            <w:shd w:fill="DCFCE7" w:val="clear"/>
          </w:tcPr>
          <w:p>
            <w:r>
              <w:rPr>
                <w:sz w:val="18"/>
                <w:szCs w:val="18"/>
              </w:rPr>
              <w:t xml:space="preserve">Focus groups, Delphi method, Dyadic interviews, Public meetings</w:t>
            </w:r>
          </w:p>
        </w:tc>
        <w:tc>
          <w:tcPr>
            <w:tcW w:type="dxa" w:w="2400"/>
            <w:tcBorders>
              <w:top w:val="single" w:color="64748B" w:sz="8"/>
              <w:left w:val="single" w:color="64748B" w:sz="8"/>
              <w:bottom w:val="single" w:color="64748B" w:sz="8"/>
              <w:right w:val="single" w:color="64748B" w:sz="8"/>
            </w:tcBorders>
            <w:shd w:fill="DCFCE7" w:val="clear"/>
          </w:tcPr>
          <w:p>
            <w:r>
              <w:rPr>
                <w:sz w:val="18"/>
                <w:szCs w:val="18"/>
              </w:rPr>
              <w:t xml:space="preserve">Consensus views, diversity of opinion</w:t>
            </w:r>
          </w:p>
        </w:tc>
      </w:tr>
      <w:tr>
        <w:tc>
          <w:tcPr>
            <w:tcW w:type="dxa" w:w="1500"/>
            <w:vMerge w:val="restart"/>
            <w:tcBorders>
              <w:top w:val="single" w:color="64748B" w:sz="8"/>
              <w:left w:val="single" w:color="64748B" w:sz="8"/>
              <w:bottom w:val="single" w:color="64748B" w:sz="8"/>
              <w:right w:val="single" w:color="64748B" w:sz="8"/>
            </w:tcBorders>
            <w:shd w:fill="EDE9FE" w:val="clear"/>
          </w:tcPr>
          <w:p>
            <w:r>
              <w:rPr>
                <w:b/>
                <w:bCs/>
                <w:sz w:val="16"/>
                <w:szCs w:val="16"/>
              </w:rPr>
              <w:t xml:space="preserve">ELICITATION (Quantitative)</w:t>
            </w:r>
          </w:p>
        </w:tc>
        <w:tc>
          <w:tcPr>
            <w:tcW w:type="dxa" w:w="1500"/>
            <w:tcBorders>
              <w:top w:val="single" w:color="64748B" w:sz="8"/>
              <w:left w:val="single" w:color="64748B" w:sz="8"/>
              <w:bottom w:val="single" w:color="64748B" w:sz="8"/>
              <w:right w:val="single" w:color="64748B" w:sz="8"/>
            </w:tcBorders>
            <w:shd w:fill="EDE9FE" w:val="clear"/>
          </w:tcPr>
          <w:p>
            <w:r>
              <w:rPr>
                <w:sz w:val="18"/>
                <w:szCs w:val="18"/>
              </w:rPr>
              <w:t xml:space="preserve">Discrete Choice-Based</w:t>
            </w:r>
          </w:p>
        </w:tc>
        <w:tc>
          <w:tcPr>
            <w:tcW w:type="dxa" w:w="2800"/>
            <w:tcBorders>
              <w:top w:val="single" w:color="64748B" w:sz="8"/>
              <w:left w:val="single" w:color="64748B" w:sz="8"/>
              <w:bottom w:val="single" w:color="64748B" w:sz="8"/>
              <w:right w:val="single" w:color="64748B" w:sz="8"/>
            </w:tcBorders>
            <w:shd w:fill="EDE9FE" w:val="clear"/>
          </w:tcPr>
          <w:p>
            <w:r>
              <w:rPr>
                <w:sz w:val="18"/>
                <w:szCs w:val="18"/>
              </w:rPr>
              <w:t xml:space="preserve">Discrete Choice Experiment (DCE)</w:t>
            </w:r>
          </w:p>
        </w:tc>
        <w:tc>
          <w:tcPr>
            <w:tcW w:type="dxa" w:w="2400"/>
            <w:tcBorders>
              <w:top w:val="single" w:color="64748B" w:sz="8"/>
              <w:left w:val="single" w:color="64748B" w:sz="8"/>
              <w:bottom w:val="single" w:color="64748B" w:sz="8"/>
              <w:right w:val="single" w:color="64748B" w:sz="8"/>
            </w:tcBorders>
            <w:shd w:fill="EDE9FE" w:val="clear"/>
          </w:tcPr>
          <w:p>
            <w:r>
              <w:rPr>
                <w:sz w:val="18"/>
                <w:szCs w:val="18"/>
              </w:rPr>
              <w:t xml:space="preserve">Trade-off weights, utility functions</w:t>
            </w:r>
          </w:p>
        </w:tc>
      </w:tr>
      <w:tr>
        <w:tc>
          <w:tcPr>
            <w:vMerge w:val="continue"/>
            <w:tcBorders>
              <w:top w:val="single" w:color="64748B" w:sz="8"/>
              <w:left w:val="single" w:color="64748B" w:sz="8"/>
              <w:bottom w:val="single" w:color="64748B" w:sz="8"/>
              <w:right w:val="single" w:color="64748B" w:sz="8"/>
            </w:tcBorders>
          </w:tcPr>
          <w:p/>
        </w:tc>
        <w:tc>
          <w:tcPr>
            <w:tcW w:type="dxa" w:w="1500"/>
            <w:tcBorders>
              <w:top w:val="single" w:color="64748B" w:sz="8"/>
              <w:left w:val="single" w:color="64748B" w:sz="8"/>
              <w:bottom w:val="single" w:color="64748B" w:sz="8"/>
              <w:right w:val="single" w:color="64748B" w:sz="8"/>
            </w:tcBorders>
            <w:shd w:fill="EDE9FE" w:val="clear"/>
          </w:tcPr>
          <w:p>
            <w:r>
              <w:rPr>
                <w:sz w:val="18"/>
                <w:szCs w:val="18"/>
              </w:rPr>
              <w:t xml:space="preserve">Ranking Methods</w:t>
            </w:r>
          </w:p>
        </w:tc>
        <w:tc>
          <w:tcPr>
            <w:tcW w:type="dxa" w:w="2800"/>
            <w:tcBorders>
              <w:top w:val="single" w:color="64748B" w:sz="8"/>
              <w:left w:val="single" w:color="64748B" w:sz="8"/>
              <w:bottom w:val="single" w:color="64748B" w:sz="8"/>
              <w:right w:val="single" w:color="64748B" w:sz="8"/>
            </w:tcBorders>
            <w:shd w:fill="EDE9FE" w:val="clear"/>
          </w:tcPr>
          <w:p>
            <w:r>
              <w:rPr>
                <w:sz w:val="18"/>
                <w:szCs w:val="18"/>
              </w:rPr>
              <w:t xml:space="preserve">Best-Worst Scaling (BWS), Paired comparison</w:t>
            </w:r>
          </w:p>
        </w:tc>
        <w:tc>
          <w:tcPr>
            <w:tcW w:type="dxa" w:w="2400"/>
            <w:tcBorders>
              <w:top w:val="single" w:color="64748B" w:sz="8"/>
              <w:left w:val="single" w:color="64748B" w:sz="8"/>
              <w:bottom w:val="single" w:color="64748B" w:sz="8"/>
              <w:right w:val="single" w:color="64748B" w:sz="8"/>
            </w:tcBorders>
            <w:shd w:fill="EDE9FE" w:val="clear"/>
          </w:tcPr>
          <w:p>
            <w:r>
              <w:rPr>
                <w:sz w:val="18"/>
                <w:szCs w:val="18"/>
              </w:rPr>
              <w:t xml:space="preserve">Relative importance ordering</w:t>
            </w:r>
          </w:p>
        </w:tc>
      </w:tr>
      <w:tr>
        <w:tc>
          <w:tcPr>
            <w:vMerge w:val="continue"/>
            <w:tcBorders>
              <w:top w:val="single" w:color="64748B" w:sz="8"/>
              <w:left w:val="single" w:color="64748B" w:sz="8"/>
              <w:bottom w:val="single" w:color="64748B" w:sz="8"/>
              <w:right w:val="single" w:color="64748B" w:sz="8"/>
            </w:tcBorders>
          </w:tcPr>
          <w:p/>
        </w:tc>
        <w:tc>
          <w:tcPr>
            <w:tcW w:type="dxa" w:w="1500"/>
            <w:tcBorders>
              <w:top w:val="single" w:color="64748B" w:sz="8"/>
              <w:left w:val="single" w:color="64748B" w:sz="8"/>
              <w:bottom w:val="single" w:color="64748B" w:sz="8"/>
              <w:right w:val="single" w:color="64748B" w:sz="8"/>
            </w:tcBorders>
            <w:shd w:fill="EDE9FE" w:val="clear"/>
          </w:tcPr>
          <w:p>
            <w:r>
              <w:rPr>
                <w:sz w:val="18"/>
                <w:szCs w:val="18"/>
              </w:rPr>
              <w:t xml:space="preserve">Indifference Methods</w:t>
            </w:r>
          </w:p>
        </w:tc>
        <w:tc>
          <w:tcPr>
            <w:tcW w:type="dxa" w:w="2800"/>
            <w:tcBorders>
              <w:top w:val="single" w:color="64748B" w:sz="8"/>
              <w:left w:val="single" w:color="64748B" w:sz="8"/>
              <w:bottom w:val="single" w:color="64748B" w:sz="8"/>
              <w:right w:val="single" w:color="64748B" w:sz="8"/>
            </w:tcBorders>
            <w:shd w:fill="EDE9FE" w:val="clear"/>
          </w:tcPr>
          <w:p>
            <w:r>
              <w:rPr>
                <w:sz w:val="18"/>
                <w:szCs w:val="18"/>
              </w:rPr>
              <w:t xml:space="preserve">Threshold Technique (TT), Standard Gamble</w:t>
            </w:r>
          </w:p>
        </w:tc>
        <w:tc>
          <w:tcPr>
            <w:tcW w:type="dxa" w:w="2400"/>
            <w:tcBorders>
              <w:top w:val="single" w:color="64748B" w:sz="8"/>
              <w:left w:val="single" w:color="64748B" w:sz="8"/>
              <w:bottom w:val="single" w:color="64748B" w:sz="8"/>
              <w:right w:val="single" w:color="64748B" w:sz="8"/>
            </w:tcBorders>
            <w:shd w:fill="EDE9FE" w:val="clear"/>
          </w:tcPr>
          <w:p>
            <w:r>
              <w:rPr>
                <w:sz w:val="18"/>
                <w:szCs w:val="18"/>
              </w:rPr>
              <w:t xml:space="preserve">Maximum acceptable risk values</w:t>
            </w:r>
          </w:p>
        </w:tc>
      </w:tr>
      <w:tr>
        <w:tc>
          <w:tcPr>
            <w:vMerge w:val="continue"/>
            <w:tcBorders>
              <w:top w:val="single" w:color="64748B" w:sz="8"/>
              <w:left w:val="single" w:color="64748B" w:sz="8"/>
              <w:bottom w:val="single" w:color="64748B" w:sz="8"/>
              <w:right w:val="single" w:color="64748B" w:sz="8"/>
            </w:tcBorders>
          </w:tcPr>
          <w:p/>
        </w:tc>
        <w:tc>
          <w:tcPr>
            <w:tcW w:type="dxa" w:w="1500"/>
            <w:tcBorders>
              <w:top w:val="single" w:color="64748B" w:sz="8"/>
              <w:left w:val="single" w:color="64748B" w:sz="8"/>
              <w:bottom w:val="single" w:color="64748B" w:sz="8"/>
              <w:right w:val="single" w:color="64748B" w:sz="8"/>
            </w:tcBorders>
            <w:shd w:fill="EDE9FE" w:val="clear"/>
          </w:tcPr>
          <w:p>
            <w:r>
              <w:rPr>
                <w:sz w:val="18"/>
                <w:szCs w:val="18"/>
              </w:rPr>
              <w:t xml:space="preserve">Rating Methods</w:t>
            </w:r>
          </w:p>
        </w:tc>
        <w:tc>
          <w:tcPr>
            <w:tcW w:type="dxa" w:w="2800"/>
            <w:tcBorders>
              <w:top w:val="single" w:color="64748B" w:sz="8"/>
              <w:left w:val="single" w:color="64748B" w:sz="8"/>
              <w:bottom w:val="single" w:color="64748B" w:sz="8"/>
              <w:right w:val="single" w:color="64748B" w:sz="8"/>
            </w:tcBorders>
            <w:shd w:fill="EDE9FE" w:val="clear"/>
          </w:tcPr>
          <w:p>
            <w:r>
              <w:rPr>
                <w:sz w:val="18"/>
                <w:szCs w:val="18"/>
              </w:rPr>
              <w:t xml:space="preserve">Swing Weighting (SW), Visual Analog Scale</w:t>
            </w:r>
          </w:p>
        </w:tc>
        <w:tc>
          <w:tcPr>
            <w:tcW w:type="dxa" w:w="2400"/>
            <w:tcBorders>
              <w:top w:val="single" w:color="64748B" w:sz="8"/>
              <w:left w:val="single" w:color="64748B" w:sz="8"/>
              <w:bottom w:val="single" w:color="64748B" w:sz="8"/>
              <w:right w:val="single" w:color="64748B" w:sz="8"/>
            </w:tcBorders>
            <w:shd w:fill="EDE9FE" w:val="clear"/>
          </w:tcPr>
          <w:p>
            <w:r>
              <w:rPr>
                <w:sz w:val="18"/>
                <w:szCs w:val="18"/>
              </w:rPr>
              <w:t xml:space="preserve">Numerical importance weights</w:t>
            </w:r>
          </w:p>
        </w:tc>
      </w:tr>
    </w:tbl>
    <w:p>
      <w:r>
        <w:br w:type="page"/>
      </w:r>
    </w:p>
    <w:p>
      <w:pPr>
        <w:pStyle w:val="Heading1"/>
      </w:pPr>
      <w:r>
        <w:t xml:space="preserve">  METHOD SELECTION DECISION MATRIX</w:t>
      </w:r>
    </w:p>
    <w:p>
      <w:pPr>
        <w:spacing w:after="200"/>
      </w:pPr>
      <w:r>
        <w:t xml:space="preserve">Use this matrix to select the appropriate method based on your primary objective, available resources, and lifecycle stage. The four PREFER-recommended quantitative methods are highlighted with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1000"/>
        <w:gridCol w:w="900"/>
        <w:gridCol w:w="1000"/>
        <w:gridCol w:w="1300"/>
      </w:tblGrid>
      <w:tr>
        <w:trPr>
          <w:tblHeader/>
        </w:trPr>
        <w:tc>
          <w:tcPr>
            <w:tcW w:type="dxa" w:w="1600"/>
            <w:tcBorders>
              <w:top w:val="single" w:color="64748B" w:sz="8"/>
              <w:left w:val="single" w:color="64748B" w:sz="8"/>
              <w:bottom w:val="single" w:color="64748B" w:sz="8"/>
              <w:right w:val="single" w:color="64748B" w:sz="8"/>
            </w:tcBorders>
            <w:shd w:fill="1A365D" w:val="clear"/>
          </w:tcPr>
          <w:p>
            <w:pPr>
              <w:jc w:val="center"/>
            </w:pPr>
            <w:r>
              <w:rPr>
                <w:b/>
                <w:bCs/>
                <w:color w:val="FFFFFF"/>
                <w:sz w:val="18"/>
                <w:szCs w:val="18"/>
              </w:rPr>
              <w:t xml:space="preserve">Method</w:t>
            </w:r>
          </w:p>
        </w:tc>
        <w:tc>
          <w:tcPr>
            <w:tcW w:type="dxa" w:w="2400"/>
            <w:tcBorders>
              <w:top w:val="single" w:color="64748B" w:sz="8"/>
              <w:left w:val="single" w:color="64748B" w:sz="8"/>
              <w:bottom w:val="single" w:color="64748B" w:sz="8"/>
              <w:right w:val="single" w:color="64748B" w:sz="8"/>
            </w:tcBorders>
            <w:shd w:fill="1A365D" w:val="clear"/>
          </w:tcPr>
          <w:p>
            <w:pPr>
              <w:jc w:val="center"/>
            </w:pPr>
            <w:r>
              <w:rPr>
                <w:b/>
                <w:bCs/>
                <w:color w:val="FFFFFF"/>
                <w:sz w:val="18"/>
                <w:szCs w:val="18"/>
              </w:rPr>
              <w:t xml:space="preserve">Primary Use</w:t>
            </w:r>
          </w:p>
        </w:tc>
        <w:tc>
          <w:tcPr>
            <w:tcW w:type="dxa" w:w="1000"/>
            <w:tcBorders>
              <w:top w:val="single" w:color="64748B" w:sz="8"/>
              <w:left w:val="single" w:color="64748B" w:sz="8"/>
              <w:bottom w:val="single" w:color="64748B" w:sz="8"/>
              <w:right w:val="single" w:color="64748B" w:sz="8"/>
            </w:tcBorders>
            <w:shd w:fill="1A365D" w:val="clear"/>
          </w:tcPr>
          <w:p>
            <w:pPr>
              <w:jc w:val="center"/>
            </w:pPr>
            <w:r>
              <w:rPr>
                <w:b/>
                <w:bCs/>
                <w:color w:val="FFFFFF"/>
                <w:sz w:val="18"/>
                <w:szCs w:val="18"/>
              </w:rPr>
              <w:t xml:space="preserve">Complexity</w:t>
            </w:r>
          </w:p>
        </w:tc>
        <w:tc>
          <w:tcPr>
            <w:tcW w:type="dxa" w:w="900"/>
            <w:tcBorders>
              <w:top w:val="single" w:color="64748B" w:sz="8"/>
              <w:left w:val="single" w:color="64748B" w:sz="8"/>
              <w:bottom w:val="single" w:color="64748B" w:sz="8"/>
              <w:right w:val="single" w:color="64748B" w:sz="8"/>
            </w:tcBorders>
            <w:shd w:fill="1A365D" w:val="clear"/>
          </w:tcPr>
          <w:p>
            <w:pPr>
              <w:jc w:val="center"/>
            </w:pPr>
            <w:r>
              <w:rPr>
                <w:b/>
                <w:bCs/>
                <w:color w:val="FFFFFF"/>
                <w:sz w:val="18"/>
                <w:szCs w:val="18"/>
              </w:rPr>
              <w:t xml:space="preserve">Sample</w:t>
            </w:r>
          </w:p>
        </w:tc>
        <w:tc>
          <w:tcPr>
            <w:tcW w:type="dxa" w:w="1000"/>
            <w:tcBorders>
              <w:top w:val="single" w:color="64748B" w:sz="8"/>
              <w:left w:val="single" w:color="64748B" w:sz="8"/>
              <w:bottom w:val="single" w:color="64748B" w:sz="8"/>
              <w:right w:val="single" w:color="64748B" w:sz="8"/>
            </w:tcBorders>
            <w:shd w:fill="1A365D" w:val="clear"/>
          </w:tcPr>
          <w:p>
            <w:pPr>
              <w:jc w:val="center"/>
            </w:pPr>
            <w:r>
              <w:rPr>
                <w:b/>
                <w:bCs/>
                <w:color w:val="FFFFFF"/>
                <w:sz w:val="18"/>
                <w:szCs w:val="18"/>
              </w:rPr>
              <w:t xml:space="preserve">Resources</w:t>
            </w:r>
          </w:p>
        </w:tc>
        <w:tc>
          <w:tcPr>
            <w:tcW w:type="dxa" w:w="1300"/>
            <w:tcBorders>
              <w:top w:val="single" w:color="64748B" w:sz="8"/>
              <w:left w:val="single" w:color="64748B" w:sz="8"/>
              <w:bottom w:val="single" w:color="64748B" w:sz="8"/>
              <w:right w:val="single" w:color="64748B" w:sz="8"/>
            </w:tcBorders>
            <w:shd w:fill="1A365D" w:val="clear"/>
          </w:tcPr>
          <w:p>
            <w:pPr>
              <w:jc w:val="center"/>
            </w:pPr>
            <w:r>
              <w:rPr>
                <w:b/>
                <w:bCs/>
                <w:color w:val="FFFFFF"/>
                <w:sz w:val="18"/>
                <w:szCs w:val="18"/>
              </w:rPr>
              <w:t xml:space="preserve">Best Stage</w:t>
            </w:r>
          </w:p>
        </w:tc>
      </w:tr>
      <w:tr>
        <w:tc>
          <w:tcPr>
            <w:tcW w:type="dxa" w:w="1600"/>
            <w:tcBorders>
              <w:top w:val="single" w:color="64748B" w:sz="8"/>
              <w:left w:val="single" w:color="64748B" w:sz="8"/>
              <w:bottom w:val="single" w:color="64748B" w:sz="8"/>
              <w:right w:val="single" w:color="64748B" w:sz="8"/>
            </w:tcBorders>
            <w:shd w:fill="DCFCE7" w:val="clear"/>
          </w:tcPr>
          <w:p>
            <w:r>
              <w:rPr>
                <w:b/>
                <w:bCs/>
                <w:sz w:val="18"/>
                <w:szCs w:val="18"/>
              </w:rPr>
              <w:t xml:space="preserve">Focus Groups</w:t>
            </w:r>
          </w:p>
        </w:tc>
        <w:tc>
          <w:tcPr>
            <w:tcW w:type="dxa" w:w="2400"/>
            <w:tcBorders>
              <w:top w:val="single" w:color="64748B" w:sz="8"/>
              <w:left w:val="single" w:color="64748B" w:sz="8"/>
              <w:bottom w:val="single" w:color="64748B" w:sz="8"/>
              <w:right w:val="single" w:color="64748B" w:sz="8"/>
            </w:tcBorders>
            <w:shd w:fill="DCFCE7" w:val="clear"/>
          </w:tcPr>
          <w:p>
            <w:r>
              <w:rPr>
                <w:sz w:val="18"/>
                <w:szCs w:val="18"/>
              </w:rPr>
              <w:t xml:space="preserve">Explore what matters; generate hypotheses</w:t>
            </w:r>
          </w:p>
        </w:tc>
        <w:tc>
          <w:tcPr>
            <w:tcW w:type="dxa" w:w="1000"/>
            <w:tcBorders>
              <w:top w:val="single" w:color="64748B" w:sz="8"/>
              <w:left w:val="single" w:color="64748B" w:sz="8"/>
              <w:bottom w:val="single" w:color="64748B" w:sz="8"/>
              <w:right w:val="single" w:color="64748B" w:sz="8"/>
            </w:tcBorders>
            <w:shd w:fill="DCFCE7" w:val="clear"/>
          </w:tcPr>
          <w:p>
            <w:pPr>
              <w:jc w:val="center"/>
            </w:pPr>
            <w:r>
              <w:rPr>
                <w:sz w:val="18"/>
                <w:szCs w:val="18"/>
              </w:rPr>
              <w:t xml:space="preserve">Low</w:t>
            </w:r>
          </w:p>
        </w:tc>
        <w:tc>
          <w:tcPr>
            <w:tcW w:type="dxa" w:w="900"/>
            <w:tcBorders>
              <w:top w:val="single" w:color="64748B" w:sz="8"/>
              <w:left w:val="single" w:color="64748B" w:sz="8"/>
              <w:bottom w:val="single" w:color="64748B" w:sz="8"/>
              <w:right w:val="single" w:color="64748B" w:sz="8"/>
            </w:tcBorders>
            <w:shd w:fill="DCFCE7" w:val="clear"/>
          </w:tcPr>
          <w:p>
            <w:pPr>
              <w:jc w:val="center"/>
            </w:pPr>
            <w:r>
              <w:rPr>
                <w:sz w:val="18"/>
                <w:szCs w:val="18"/>
              </w:rPr>
              <w:t xml:space="preserve">15-40</w:t>
            </w:r>
          </w:p>
        </w:tc>
        <w:tc>
          <w:tcPr>
            <w:tcW w:type="dxa" w:w="1000"/>
            <w:tcBorders>
              <w:top w:val="single" w:color="64748B" w:sz="8"/>
              <w:left w:val="single" w:color="64748B" w:sz="8"/>
              <w:bottom w:val="single" w:color="64748B" w:sz="8"/>
              <w:right w:val="single" w:color="64748B" w:sz="8"/>
            </w:tcBorders>
            <w:shd w:fill="DCFCE7" w:val="clear"/>
          </w:tcPr>
          <w:p>
            <w:pPr>
              <w:jc w:val="center"/>
            </w:pPr>
            <w:r>
              <w:rPr>
                <w:sz w:val="18"/>
                <w:szCs w:val="18"/>
              </w:rPr>
              <w:t xml:space="preserve">Low</w:t>
            </w:r>
          </w:p>
        </w:tc>
        <w:tc>
          <w:tcPr>
            <w:tcW w:type="dxa" w:w="1300"/>
            <w:tcBorders>
              <w:top w:val="single" w:color="64748B" w:sz="8"/>
              <w:left w:val="single" w:color="64748B" w:sz="8"/>
              <w:bottom w:val="single" w:color="64748B" w:sz="8"/>
              <w:right w:val="single" w:color="64748B" w:sz="8"/>
            </w:tcBorders>
            <w:shd w:fill="DCFCE7" w:val="clear"/>
          </w:tcPr>
          <w:p>
            <w:pPr>
              <w:jc w:val="center"/>
            </w:pPr>
            <w:r>
              <w:rPr>
                <w:sz w:val="18"/>
                <w:szCs w:val="18"/>
              </w:rPr>
              <w:t xml:space="preserve">Early dev</w:t>
            </w:r>
          </w:p>
        </w:tc>
      </w:tr>
      <w:tr>
        <w:tc>
          <w:tcPr>
            <w:tcW w:type="dxa" w:w="1600"/>
            <w:tcBorders>
              <w:top w:val="single" w:color="64748B" w:sz="8"/>
              <w:left w:val="single" w:color="64748B" w:sz="8"/>
              <w:bottom w:val="single" w:color="64748B" w:sz="8"/>
              <w:right w:val="single" w:color="64748B" w:sz="8"/>
            </w:tcBorders>
            <w:shd w:fill="DCFCE7" w:val="clear"/>
          </w:tcPr>
          <w:p>
            <w:r>
              <w:rPr>
                <w:b/>
                <w:bCs/>
                <w:sz w:val="18"/>
                <w:szCs w:val="18"/>
              </w:rPr>
              <w:t xml:space="preserve">Individual Interviews</w:t>
            </w:r>
          </w:p>
        </w:tc>
        <w:tc>
          <w:tcPr>
            <w:tcW w:type="dxa" w:w="2400"/>
            <w:tcBorders>
              <w:top w:val="single" w:color="64748B" w:sz="8"/>
              <w:left w:val="single" w:color="64748B" w:sz="8"/>
              <w:bottom w:val="single" w:color="64748B" w:sz="8"/>
              <w:right w:val="single" w:color="64748B" w:sz="8"/>
            </w:tcBorders>
            <w:shd w:fill="DCFCE7" w:val="clear"/>
          </w:tcPr>
          <w:p>
            <w:r>
              <w:rPr>
                <w:sz w:val="18"/>
                <w:szCs w:val="18"/>
              </w:rPr>
              <w:t xml:space="preserve">Deep individual insights; sensitive topics</w:t>
            </w:r>
          </w:p>
        </w:tc>
        <w:tc>
          <w:tcPr>
            <w:tcW w:type="dxa" w:w="1000"/>
            <w:tcBorders>
              <w:top w:val="single" w:color="64748B" w:sz="8"/>
              <w:left w:val="single" w:color="64748B" w:sz="8"/>
              <w:bottom w:val="single" w:color="64748B" w:sz="8"/>
              <w:right w:val="single" w:color="64748B" w:sz="8"/>
            </w:tcBorders>
            <w:shd w:fill="DCFCE7" w:val="clear"/>
          </w:tcPr>
          <w:p>
            <w:pPr>
              <w:jc w:val="center"/>
            </w:pPr>
            <w:r>
              <w:rPr>
                <w:sz w:val="18"/>
                <w:szCs w:val="18"/>
              </w:rPr>
              <w:t xml:space="preserve">Low</w:t>
            </w:r>
          </w:p>
        </w:tc>
        <w:tc>
          <w:tcPr>
            <w:tcW w:type="dxa" w:w="900"/>
            <w:tcBorders>
              <w:top w:val="single" w:color="64748B" w:sz="8"/>
              <w:left w:val="single" w:color="64748B" w:sz="8"/>
              <w:bottom w:val="single" w:color="64748B" w:sz="8"/>
              <w:right w:val="single" w:color="64748B" w:sz="8"/>
            </w:tcBorders>
            <w:shd w:fill="DCFCE7" w:val="clear"/>
          </w:tcPr>
          <w:p>
            <w:pPr>
              <w:jc w:val="center"/>
            </w:pPr>
            <w:r>
              <w:rPr>
                <w:sz w:val="18"/>
                <w:szCs w:val="18"/>
              </w:rPr>
              <w:t xml:space="preserve">10-30</w:t>
            </w:r>
          </w:p>
        </w:tc>
        <w:tc>
          <w:tcPr>
            <w:tcW w:type="dxa" w:w="1000"/>
            <w:tcBorders>
              <w:top w:val="single" w:color="64748B" w:sz="8"/>
              <w:left w:val="single" w:color="64748B" w:sz="8"/>
              <w:bottom w:val="single" w:color="64748B" w:sz="8"/>
              <w:right w:val="single" w:color="64748B" w:sz="8"/>
            </w:tcBorders>
            <w:shd w:fill="DCFCE7" w:val="clear"/>
          </w:tcPr>
          <w:p>
            <w:pPr>
              <w:jc w:val="center"/>
            </w:pPr>
            <w:r>
              <w:rPr>
                <w:sz w:val="18"/>
                <w:szCs w:val="18"/>
              </w:rPr>
              <w:t xml:space="preserve">Low</w:t>
            </w:r>
          </w:p>
        </w:tc>
        <w:tc>
          <w:tcPr>
            <w:tcW w:type="dxa" w:w="1300"/>
            <w:tcBorders>
              <w:top w:val="single" w:color="64748B" w:sz="8"/>
              <w:left w:val="single" w:color="64748B" w:sz="8"/>
              <w:bottom w:val="single" w:color="64748B" w:sz="8"/>
              <w:right w:val="single" w:color="64748B" w:sz="8"/>
            </w:tcBorders>
            <w:shd w:fill="DCFCE7" w:val="clear"/>
          </w:tcPr>
          <w:p>
            <w:pPr>
              <w:jc w:val="center"/>
            </w:pPr>
            <w:r>
              <w:rPr>
                <w:sz w:val="18"/>
                <w:szCs w:val="18"/>
              </w:rPr>
              <w:t xml:space="preserve">Any stage</w:t>
            </w:r>
          </w:p>
        </w:tc>
      </w:tr>
      <w:tr>
        <w:tc>
          <w:tcPr>
            <w:tcW w:type="dxa" w:w="1600"/>
            <w:tcBorders>
              <w:top w:val="single" w:color="64748B" w:sz="8"/>
              <w:left w:val="single" w:color="64748B" w:sz="8"/>
              <w:bottom w:val="single" w:color="64748B" w:sz="8"/>
              <w:right w:val="single" w:color="64748B" w:sz="8"/>
            </w:tcBorders>
            <w:shd w:fill="DCFCE7" w:val="clear"/>
          </w:tcPr>
          <w:p>
            <w:r>
              <w:rPr>
                <w:b/>
                <w:bCs/>
                <w:sz w:val="18"/>
                <w:szCs w:val="18"/>
              </w:rPr>
              <w:t xml:space="preserve">Delphi Method</w:t>
            </w:r>
          </w:p>
        </w:tc>
        <w:tc>
          <w:tcPr>
            <w:tcW w:type="dxa" w:w="2400"/>
            <w:tcBorders>
              <w:top w:val="single" w:color="64748B" w:sz="8"/>
              <w:left w:val="single" w:color="64748B" w:sz="8"/>
              <w:bottom w:val="single" w:color="64748B" w:sz="8"/>
              <w:right w:val="single" w:color="64748B" w:sz="8"/>
            </w:tcBorders>
            <w:shd w:fill="DCFCE7" w:val="clear"/>
          </w:tcPr>
          <w:p>
            <w:r>
              <w:rPr>
                <w:sz w:val="18"/>
                <w:szCs w:val="18"/>
              </w:rPr>
              <w:t xml:space="preserve">Build consensus among patient experts</w:t>
            </w:r>
          </w:p>
        </w:tc>
        <w:tc>
          <w:tcPr>
            <w:tcW w:type="dxa" w:w="1000"/>
            <w:tcBorders>
              <w:top w:val="single" w:color="64748B" w:sz="8"/>
              <w:left w:val="single" w:color="64748B" w:sz="8"/>
              <w:bottom w:val="single" w:color="64748B" w:sz="8"/>
              <w:right w:val="single" w:color="64748B" w:sz="8"/>
            </w:tcBorders>
            <w:shd w:fill="DCFCE7" w:val="clear"/>
          </w:tcPr>
          <w:p>
            <w:pPr>
              <w:jc w:val="center"/>
            </w:pPr>
            <w:r>
              <w:rPr>
                <w:sz w:val="18"/>
                <w:szCs w:val="18"/>
              </w:rPr>
              <w:t xml:space="preserve">Medium</w:t>
            </w:r>
          </w:p>
        </w:tc>
        <w:tc>
          <w:tcPr>
            <w:tcW w:type="dxa" w:w="900"/>
            <w:tcBorders>
              <w:top w:val="single" w:color="64748B" w:sz="8"/>
              <w:left w:val="single" w:color="64748B" w:sz="8"/>
              <w:bottom w:val="single" w:color="64748B" w:sz="8"/>
              <w:right w:val="single" w:color="64748B" w:sz="8"/>
            </w:tcBorders>
            <w:shd w:fill="DCFCE7" w:val="clear"/>
          </w:tcPr>
          <w:p>
            <w:pPr>
              <w:jc w:val="center"/>
            </w:pPr>
            <w:r>
              <w:rPr>
                <w:sz w:val="18"/>
                <w:szCs w:val="18"/>
              </w:rPr>
              <w:t xml:space="preserve">15-30</w:t>
            </w:r>
          </w:p>
        </w:tc>
        <w:tc>
          <w:tcPr>
            <w:tcW w:type="dxa" w:w="1000"/>
            <w:tcBorders>
              <w:top w:val="single" w:color="64748B" w:sz="8"/>
              <w:left w:val="single" w:color="64748B" w:sz="8"/>
              <w:bottom w:val="single" w:color="64748B" w:sz="8"/>
              <w:right w:val="single" w:color="64748B" w:sz="8"/>
            </w:tcBorders>
            <w:shd w:fill="DCFCE7" w:val="clear"/>
          </w:tcPr>
          <w:p>
            <w:pPr>
              <w:jc w:val="center"/>
            </w:pPr>
            <w:r>
              <w:rPr>
                <w:sz w:val="18"/>
                <w:szCs w:val="18"/>
              </w:rPr>
              <w:t xml:space="preserve">Medium</w:t>
            </w:r>
          </w:p>
        </w:tc>
        <w:tc>
          <w:tcPr>
            <w:tcW w:type="dxa" w:w="1300"/>
            <w:tcBorders>
              <w:top w:val="single" w:color="64748B" w:sz="8"/>
              <w:left w:val="single" w:color="64748B" w:sz="8"/>
              <w:bottom w:val="single" w:color="64748B" w:sz="8"/>
              <w:right w:val="single" w:color="64748B" w:sz="8"/>
            </w:tcBorders>
            <w:shd w:fill="DCFCE7" w:val="clear"/>
          </w:tcPr>
          <w:p>
            <w:pPr>
              <w:jc w:val="center"/>
            </w:pPr>
            <w:r>
              <w:rPr>
                <w:sz w:val="18"/>
                <w:szCs w:val="18"/>
              </w:rPr>
              <w:t xml:space="preserve">Early-Mid</w:t>
            </w:r>
          </w:p>
        </w:tc>
      </w:tr>
      <w:tr>
        <w:tc>
          <w:tcPr>
            <w:tcW w:type="dxa" w:w="1600"/>
            <w:tcBorders>
              <w:top w:val="single" w:color="64748B" w:sz="8"/>
              <w:left w:val="single" w:color="64748B" w:sz="8"/>
              <w:bottom w:val="single" w:color="64748B" w:sz="8"/>
              <w:right w:val="single" w:color="64748B" w:sz="8"/>
            </w:tcBorders>
            <w:shd w:fill="EDE9FE" w:val="clear"/>
          </w:tcPr>
          <w:p>
            <w:r>
              <w:rPr>
                <w:b/>
                <w:bCs/>
                <w:sz w:val="18"/>
                <w:szCs w:val="18"/>
              </w:rPr>
              <w:t xml:space="preserve">DCE ★</w:t>
            </w:r>
          </w:p>
        </w:tc>
        <w:tc>
          <w:tcPr>
            <w:tcW w:type="dxa" w:w="2400"/>
            <w:tcBorders>
              <w:top w:val="single" w:color="64748B" w:sz="8"/>
              <w:left w:val="single" w:color="64748B" w:sz="8"/>
              <w:bottom w:val="single" w:color="64748B" w:sz="8"/>
              <w:right w:val="single" w:color="64748B" w:sz="8"/>
            </w:tcBorders>
            <w:shd w:fill="EDE9FE" w:val="clear"/>
          </w:tcPr>
          <w:p>
            <w:r>
              <w:rPr>
                <w:sz w:val="18"/>
                <w:szCs w:val="18"/>
              </w:rPr>
              <w:t xml:space="preserve">Measure trade-offs between attributes</w:t>
            </w:r>
          </w:p>
        </w:tc>
        <w:tc>
          <w:tcPr>
            <w:tcW w:type="dxa" w:w="1000"/>
            <w:tcBorders>
              <w:top w:val="single" w:color="64748B" w:sz="8"/>
              <w:left w:val="single" w:color="64748B" w:sz="8"/>
              <w:bottom w:val="single" w:color="64748B" w:sz="8"/>
              <w:right w:val="single" w:color="64748B" w:sz="8"/>
            </w:tcBorders>
            <w:shd w:fill="EDE9FE" w:val="clear"/>
          </w:tcPr>
          <w:p>
            <w:pPr>
              <w:jc w:val="center"/>
            </w:pPr>
            <w:r>
              <w:rPr>
                <w:sz w:val="18"/>
                <w:szCs w:val="18"/>
              </w:rPr>
              <w:t xml:space="preserve">High</w:t>
            </w:r>
          </w:p>
        </w:tc>
        <w:tc>
          <w:tcPr>
            <w:tcW w:type="dxa" w:w="900"/>
            <w:tcBorders>
              <w:top w:val="single" w:color="64748B" w:sz="8"/>
              <w:left w:val="single" w:color="64748B" w:sz="8"/>
              <w:bottom w:val="single" w:color="64748B" w:sz="8"/>
              <w:right w:val="single" w:color="64748B" w:sz="8"/>
            </w:tcBorders>
            <w:shd w:fill="EDE9FE" w:val="clear"/>
          </w:tcPr>
          <w:p>
            <w:pPr>
              <w:jc w:val="center"/>
            </w:pPr>
            <w:r>
              <w:rPr>
                <w:sz w:val="18"/>
                <w:szCs w:val="18"/>
              </w:rPr>
              <w:t xml:space="preserve">200-1000+</w:t>
            </w:r>
          </w:p>
        </w:tc>
        <w:tc>
          <w:tcPr>
            <w:tcW w:type="dxa" w:w="1000"/>
            <w:tcBorders>
              <w:top w:val="single" w:color="64748B" w:sz="8"/>
              <w:left w:val="single" w:color="64748B" w:sz="8"/>
              <w:bottom w:val="single" w:color="64748B" w:sz="8"/>
              <w:right w:val="single" w:color="64748B" w:sz="8"/>
            </w:tcBorders>
            <w:shd w:fill="EDE9FE" w:val="clear"/>
          </w:tcPr>
          <w:p>
            <w:pPr>
              <w:jc w:val="center"/>
            </w:pPr>
            <w:r>
              <w:rPr>
                <w:sz w:val="18"/>
                <w:szCs w:val="18"/>
              </w:rPr>
              <w:t xml:space="preserve">High</w:t>
            </w:r>
          </w:p>
        </w:tc>
        <w:tc>
          <w:tcPr>
            <w:tcW w:type="dxa" w:w="1300"/>
            <w:tcBorders>
              <w:top w:val="single" w:color="64748B" w:sz="8"/>
              <w:left w:val="single" w:color="64748B" w:sz="8"/>
              <w:bottom w:val="single" w:color="64748B" w:sz="8"/>
              <w:right w:val="single" w:color="64748B" w:sz="8"/>
            </w:tcBorders>
            <w:shd w:fill="EDE9FE" w:val="clear"/>
          </w:tcPr>
          <w:p>
            <w:pPr>
              <w:jc w:val="center"/>
            </w:pPr>
            <w:r>
              <w:rPr>
                <w:sz w:val="18"/>
                <w:szCs w:val="18"/>
              </w:rPr>
              <w:t xml:space="preserve">Late dev, Reg</w:t>
            </w:r>
          </w:p>
        </w:tc>
      </w:tr>
      <w:tr>
        <w:tc>
          <w:tcPr>
            <w:tcW w:type="dxa" w:w="1600"/>
            <w:tcBorders>
              <w:top w:val="single" w:color="64748B" w:sz="8"/>
              <w:left w:val="single" w:color="64748B" w:sz="8"/>
              <w:bottom w:val="single" w:color="64748B" w:sz="8"/>
              <w:right w:val="single" w:color="64748B" w:sz="8"/>
            </w:tcBorders>
            <w:shd w:fill="EDE9FE" w:val="clear"/>
          </w:tcPr>
          <w:p>
            <w:r>
              <w:rPr>
                <w:b/>
                <w:bCs/>
                <w:sz w:val="18"/>
                <w:szCs w:val="18"/>
              </w:rPr>
              <w:t xml:space="preserve">BWS ★</w:t>
            </w:r>
          </w:p>
        </w:tc>
        <w:tc>
          <w:tcPr>
            <w:tcW w:type="dxa" w:w="2400"/>
            <w:tcBorders>
              <w:top w:val="single" w:color="64748B" w:sz="8"/>
              <w:left w:val="single" w:color="64748B" w:sz="8"/>
              <w:bottom w:val="single" w:color="64748B" w:sz="8"/>
              <w:right w:val="single" w:color="64748B" w:sz="8"/>
            </w:tcBorders>
            <w:shd w:fill="EDE9FE" w:val="clear"/>
          </w:tcPr>
          <w:p>
            <w:r>
              <w:rPr>
                <w:sz w:val="18"/>
                <w:szCs w:val="18"/>
              </w:rPr>
              <w:t xml:space="preserve">Rank importance of multiple attributes</w:t>
            </w:r>
          </w:p>
        </w:tc>
        <w:tc>
          <w:tcPr>
            <w:tcW w:type="dxa" w:w="1000"/>
            <w:tcBorders>
              <w:top w:val="single" w:color="64748B" w:sz="8"/>
              <w:left w:val="single" w:color="64748B" w:sz="8"/>
              <w:bottom w:val="single" w:color="64748B" w:sz="8"/>
              <w:right w:val="single" w:color="64748B" w:sz="8"/>
            </w:tcBorders>
            <w:shd w:fill="EDE9FE" w:val="clear"/>
          </w:tcPr>
          <w:p>
            <w:pPr>
              <w:jc w:val="center"/>
            </w:pPr>
            <w:r>
              <w:rPr>
                <w:sz w:val="18"/>
                <w:szCs w:val="18"/>
              </w:rPr>
              <w:t xml:space="preserve">Medium</w:t>
            </w:r>
          </w:p>
        </w:tc>
        <w:tc>
          <w:tcPr>
            <w:tcW w:type="dxa" w:w="900"/>
            <w:tcBorders>
              <w:top w:val="single" w:color="64748B" w:sz="8"/>
              <w:left w:val="single" w:color="64748B" w:sz="8"/>
              <w:bottom w:val="single" w:color="64748B" w:sz="8"/>
              <w:right w:val="single" w:color="64748B" w:sz="8"/>
            </w:tcBorders>
            <w:shd w:fill="EDE9FE" w:val="clear"/>
          </w:tcPr>
          <w:p>
            <w:pPr>
              <w:jc w:val="center"/>
            </w:pPr>
            <w:r>
              <w:rPr>
                <w:sz w:val="18"/>
                <w:szCs w:val="18"/>
              </w:rPr>
              <w:t xml:space="preserve">100-500</w:t>
            </w:r>
          </w:p>
        </w:tc>
        <w:tc>
          <w:tcPr>
            <w:tcW w:type="dxa" w:w="1000"/>
            <w:tcBorders>
              <w:top w:val="single" w:color="64748B" w:sz="8"/>
              <w:left w:val="single" w:color="64748B" w:sz="8"/>
              <w:bottom w:val="single" w:color="64748B" w:sz="8"/>
              <w:right w:val="single" w:color="64748B" w:sz="8"/>
            </w:tcBorders>
            <w:shd w:fill="EDE9FE" w:val="clear"/>
          </w:tcPr>
          <w:p>
            <w:pPr>
              <w:jc w:val="center"/>
            </w:pPr>
            <w:r>
              <w:rPr>
                <w:sz w:val="18"/>
                <w:szCs w:val="18"/>
              </w:rPr>
              <w:t xml:space="preserve">Medium</w:t>
            </w:r>
          </w:p>
        </w:tc>
        <w:tc>
          <w:tcPr>
            <w:tcW w:type="dxa" w:w="1300"/>
            <w:tcBorders>
              <w:top w:val="single" w:color="64748B" w:sz="8"/>
              <w:left w:val="single" w:color="64748B" w:sz="8"/>
              <w:bottom w:val="single" w:color="64748B" w:sz="8"/>
              <w:right w:val="single" w:color="64748B" w:sz="8"/>
            </w:tcBorders>
            <w:shd w:fill="EDE9FE" w:val="clear"/>
          </w:tcPr>
          <w:p>
            <w:pPr>
              <w:jc w:val="center"/>
            </w:pPr>
            <w:r>
              <w:rPr>
                <w:sz w:val="18"/>
                <w:szCs w:val="18"/>
              </w:rPr>
              <w:t xml:space="preserve">Mid-Late dev</w:t>
            </w:r>
          </w:p>
        </w:tc>
      </w:tr>
      <w:tr>
        <w:tc>
          <w:tcPr>
            <w:tcW w:type="dxa" w:w="1600"/>
            <w:tcBorders>
              <w:top w:val="single" w:color="64748B" w:sz="8"/>
              <w:left w:val="single" w:color="64748B" w:sz="8"/>
              <w:bottom w:val="single" w:color="64748B" w:sz="8"/>
              <w:right w:val="single" w:color="64748B" w:sz="8"/>
            </w:tcBorders>
            <w:shd w:fill="EDE9FE" w:val="clear"/>
          </w:tcPr>
          <w:p>
            <w:r>
              <w:rPr>
                <w:b/>
                <w:bCs/>
                <w:sz w:val="18"/>
                <w:szCs w:val="18"/>
              </w:rPr>
              <w:t xml:space="preserve">Threshold ★</w:t>
            </w:r>
          </w:p>
        </w:tc>
        <w:tc>
          <w:tcPr>
            <w:tcW w:type="dxa" w:w="2400"/>
            <w:tcBorders>
              <w:top w:val="single" w:color="64748B" w:sz="8"/>
              <w:left w:val="single" w:color="64748B" w:sz="8"/>
              <w:bottom w:val="single" w:color="64748B" w:sz="8"/>
              <w:right w:val="single" w:color="64748B" w:sz="8"/>
            </w:tcBorders>
            <w:shd w:fill="EDE9FE" w:val="clear"/>
          </w:tcPr>
          <w:p>
            <w:r>
              <w:rPr>
                <w:sz w:val="18"/>
                <w:szCs w:val="18"/>
              </w:rPr>
              <w:t xml:space="preserve">Find maximum acceptable risk for benefit</w:t>
            </w:r>
          </w:p>
        </w:tc>
        <w:tc>
          <w:tcPr>
            <w:tcW w:type="dxa" w:w="1000"/>
            <w:tcBorders>
              <w:top w:val="single" w:color="64748B" w:sz="8"/>
              <w:left w:val="single" w:color="64748B" w:sz="8"/>
              <w:bottom w:val="single" w:color="64748B" w:sz="8"/>
              <w:right w:val="single" w:color="64748B" w:sz="8"/>
            </w:tcBorders>
            <w:shd w:fill="EDE9FE" w:val="clear"/>
          </w:tcPr>
          <w:p>
            <w:pPr>
              <w:jc w:val="center"/>
            </w:pPr>
            <w:r>
              <w:rPr>
                <w:sz w:val="18"/>
                <w:szCs w:val="18"/>
              </w:rPr>
              <w:t xml:space="preserve">Medium</w:t>
            </w:r>
          </w:p>
        </w:tc>
        <w:tc>
          <w:tcPr>
            <w:tcW w:type="dxa" w:w="900"/>
            <w:tcBorders>
              <w:top w:val="single" w:color="64748B" w:sz="8"/>
              <w:left w:val="single" w:color="64748B" w:sz="8"/>
              <w:bottom w:val="single" w:color="64748B" w:sz="8"/>
              <w:right w:val="single" w:color="64748B" w:sz="8"/>
            </w:tcBorders>
            <w:shd w:fill="EDE9FE" w:val="clear"/>
          </w:tcPr>
          <w:p>
            <w:pPr>
              <w:jc w:val="center"/>
            </w:pPr>
            <w:r>
              <w:rPr>
                <w:sz w:val="18"/>
                <w:szCs w:val="18"/>
              </w:rPr>
              <w:t xml:space="preserve">50-200</w:t>
            </w:r>
          </w:p>
        </w:tc>
        <w:tc>
          <w:tcPr>
            <w:tcW w:type="dxa" w:w="1000"/>
            <w:tcBorders>
              <w:top w:val="single" w:color="64748B" w:sz="8"/>
              <w:left w:val="single" w:color="64748B" w:sz="8"/>
              <w:bottom w:val="single" w:color="64748B" w:sz="8"/>
              <w:right w:val="single" w:color="64748B" w:sz="8"/>
            </w:tcBorders>
            <w:shd w:fill="EDE9FE" w:val="clear"/>
          </w:tcPr>
          <w:p>
            <w:pPr>
              <w:jc w:val="center"/>
            </w:pPr>
            <w:r>
              <w:rPr>
                <w:sz w:val="18"/>
                <w:szCs w:val="18"/>
              </w:rPr>
              <w:t xml:space="preserve">Medium</w:t>
            </w:r>
          </w:p>
        </w:tc>
        <w:tc>
          <w:tcPr>
            <w:tcW w:type="dxa" w:w="1300"/>
            <w:tcBorders>
              <w:top w:val="single" w:color="64748B" w:sz="8"/>
              <w:left w:val="single" w:color="64748B" w:sz="8"/>
              <w:bottom w:val="single" w:color="64748B" w:sz="8"/>
              <w:right w:val="single" w:color="64748B" w:sz="8"/>
            </w:tcBorders>
            <w:shd w:fill="EDE9FE" w:val="clear"/>
          </w:tcPr>
          <w:p>
            <w:pPr>
              <w:jc w:val="center"/>
            </w:pPr>
            <w:r>
              <w:rPr>
                <w:sz w:val="18"/>
                <w:szCs w:val="18"/>
              </w:rPr>
              <w:t xml:space="preserve">Late dev</w:t>
            </w:r>
          </w:p>
        </w:tc>
      </w:tr>
      <w:tr>
        <w:tc>
          <w:tcPr>
            <w:tcW w:type="dxa" w:w="1600"/>
            <w:tcBorders>
              <w:top w:val="single" w:color="64748B" w:sz="8"/>
              <w:left w:val="single" w:color="64748B" w:sz="8"/>
              <w:bottom w:val="single" w:color="64748B" w:sz="8"/>
              <w:right w:val="single" w:color="64748B" w:sz="8"/>
            </w:tcBorders>
            <w:shd w:fill="EDE9FE" w:val="clear"/>
          </w:tcPr>
          <w:p>
            <w:r>
              <w:rPr>
                <w:b/>
                <w:bCs/>
                <w:sz w:val="18"/>
                <w:szCs w:val="18"/>
              </w:rPr>
              <w:t xml:space="preserve">Swing Weighting ★</w:t>
            </w:r>
          </w:p>
        </w:tc>
        <w:tc>
          <w:tcPr>
            <w:tcW w:type="dxa" w:w="2400"/>
            <w:tcBorders>
              <w:top w:val="single" w:color="64748B" w:sz="8"/>
              <w:left w:val="single" w:color="64748B" w:sz="8"/>
              <w:bottom w:val="single" w:color="64748B" w:sz="8"/>
              <w:right w:val="single" w:color="64748B" w:sz="8"/>
            </w:tcBorders>
            <w:shd w:fill="EDE9FE" w:val="clear"/>
          </w:tcPr>
          <w:p>
            <w:r>
              <w:rPr>
                <w:sz w:val="18"/>
                <w:szCs w:val="18"/>
              </w:rPr>
              <w:t xml:space="preserve">Elicit numerical weights for MCDA</w:t>
            </w:r>
          </w:p>
        </w:tc>
        <w:tc>
          <w:tcPr>
            <w:tcW w:type="dxa" w:w="1000"/>
            <w:tcBorders>
              <w:top w:val="single" w:color="64748B" w:sz="8"/>
              <w:left w:val="single" w:color="64748B" w:sz="8"/>
              <w:bottom w:val="single" w:color="64748B" w:sz="8"/>
              <w:right w:val="single" w:color="64748B" w:sz="8"/>
            </w:tcBorders>
            <w:shd w:fill="EDE9FE" w:val="clear"/>
          </w:tcPr>
          <w:p>
            <w:pPr>
              <w:jc w:val="center"/>
            </w:pPr>
            <w:r>
              <w:rPr>
                <w:sz w:val="18"/>
                <w:szCs w:val="18"/>
              </w:rPr>
              <w:t xml:space="preserve">Medium</w:t>
            </w:r>
          </w:p>
        </w:tc>
        <w:tc>
          <w:tcPr>
            <w:tcW w:type="dxa" w:w="900"/>
            <w:tcBorders>
              <w:top w:val="single" w:color="64748B" w:sz="8"/>
              <w:left w:val="single" w:color="64748B" w:sz="8"/>
              <w:bottom w:val="single" w:color="64748B" w:sz="8"/>
              <w:right w:val="single" w:color="64748B" w:sz="8"/>
            </w:tcBorders>
            <w:shd w:fill="EDE9FE" w:val="clear"/>
          </w:tcPr>
          <w:p>
            <w:pPr>
              <w:jc w:val="center"/>
            </w:pPr>
            <w:r>
              <w:rPr>
                <w:sz w:val="18"/>
                <w:szCs w:val="18"/>
              </w:rPr>
              <w:t xml:space="preserve">50-200</w:t>
            </w:r>
          </w:p>
        </w:tc>
        <w:tc>
          <w:tcPr>
            <w:tcW w:type="dxa" w:w="1000"/>
            <w:tcBorders>
              <w:top w:val="single" w:color="64748B" w:sz="8"/>
              <w:left w:val="single" w:color="64748B" w:sz="8"/>
              <w:bottom w:val="single" w:color="64748B" w:sz="8"/>
              <w:right w:val="single" w:color="64748B" w:sz="8"/>
            </w:tcBorders>
            <w:shd w:fill="EDE9FE" w:val="clear"/>
          </w:tcPr>
          <w:p>
            <w:pPr>
              <w:jc w:val="center"/>
            </w:pPr>
            <w:r>
              <w:rPr>
                <w:sz w:val="18"/>
                <w:szCs w:val="18"/>
              </w:rPr>
              <w:t xml:space="preserve">Medium</w:t>
            </w:r>
          </w:p>
        </w:tc>
        <w:tc>
          <w:tcPr>
            <w:tcW w:type="dxa" w:w="1300"/>
            <w:tcBorders>
              <w:top w:val="single" w:color="64748B" w:sz="8"/>
              <w:left w:val="single" w:color="64748B" w:sz="8"/>
              <w:bottom w:val="single" w:color="64748B" w:sz="8"/>
              <w:right w:val="single" w:color="64748B" w:sz="8"/>
            </w:tcBorders>
            <w:shd w:fill="EDE9FE" w:val="clear"/>
          </w:tcPr>
          <w:p>
            <w:pPr>
              <w:jc w:val="center"/>
            </w:pPr>
            <w:r>
              <w:rPr>
                <w:sz w:val="18"/>
                <w:szCs w:val="18"/>
              </w:rPr>
              <w:t xml:space="preserve">Late dev, MCDA</w:t>
            </w:r>
          </w:p>
        </w:tc>
      </w:tr>
    </w:tbl>
    <w:p>
      <w:pPr>
        <w:spacing w:before="100" w:after="200"/>
      </w:pPr>
      <w:r>
        <w:rPr>
          <w:b/>
          <w:bCs/>
          <w:color w:val="7C3AED"/>
          <w:sz w:val="18"/>
          <w:szCs w:val="18"/>
        </w:rPr>
        <w:t xml:space="preserve">★ = PREFER-recommended methods for regulatory and HTA decision support</w:t>
      </w:r>
    </w:p>
    <w:p>
      <w:pPr>
        <w:pStyle w:val="Heading2"/>
      </w:pPr>
      <w:r>
        <w:t xml:space="preserve">Discrete Choice Experiment (DCE) — The Gold Standard for Trade-off Quantification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6800"/>
      </w:tblGrid>
      <w:tr>
        <w:tc>
          <w:tcPr>
            <w:tcW w:type="dxa" w:w="1500"/>
            <w:tcBorders>
              <w:top w:val="single" w:color="64748B" w:sz="8"/>
              <w:left w:val="single" w:color="64748B" w:sz="8"/>
              <w:bottom w:val="single" w:color="64748B" w:sz="8"/>
              <w:right w:val="single" w:color="64748B" w:sz="8"/>
            </w:tcBorders>
            <w:shd w:fill="EDE9FE" w:val="clear"/>
          </w:tcPr>
          <w:p>
            <w:r>
              <w:rPr>
                <w:b/>
                <w:bCs/>
                <w:sz w:val="18"/>
                <w:szCs w:val="18"/>
              </w:rPr>
              <w:t xml:space="preserve">What it does</w:t>
            </w:r>
          </w:p>
        </w:tc>
        <w:tc>
          <w:tcPr>
            <w:tcW w:type="dxa" w:w="6800"/>
            <w:tcBorders>
              <w:top w:val="single" w:color="64748B" w:sz="8"/>
              <w:left w:val="single" w:color="64748B" w:sz="8"/>
              <w:bottom w:val="single" w:color="64748B" w:sz="8"/>
              <w:right w:val="single" w:color="64748B" w:sz="8"/>
            </w:tcBorders>
          </w:tcPr>
          <w:p>
            <w:r>
              <w:rPr>
                <w:sz w:val="18"/>
                <w:szCs w:val="18"/>
              </w:rPr>
              <w:t xml:space="preserve">Presents hypothetical choice scenarios with varying attribute levels; participants choose preferred option from each set</w:t>
            </w:r>
          </w:p>
        </w:tc>
      </w:tr>
      <w:tr>
        <w:tc>
          <w:tcPr>
            <w:tcW w:type="dxa" w:w="1500"/>
            <w:tcBorders>
              <w:top w:val="single" w:color="64748B" w:sz="8"/>
              <w:left w:val="single" w:color="64748B" w:sz="8"/>
              <w:bottom w:val="single" w:color="64748B" w:sz="8"/>
              <w:right w:val="single" w:color="64748B" w:sz="8"/>
            </w:tcBorders>
            <w:shd w:fill="EDE9FE" w:val="clear"/>
          </w:tcPr>
          <w:p>
            <w:r>
              <w:rPr>
                <w:b/>
                <w:bCs/>
                <w:sz w:val="18"/>
                <w:szCs w:val="18"/>
              </w:rPr>
              <w:t xml:space="preserve">Output</w:t>
            </w:r>
          </w:p>
        </w:tc>
        <w:tc>
          <w:tcPr>
            <w:tcW w:type="dxa" w:w="6800"/>
            <w:tcBorders>
              <w:top w:val="single" w:color="64748B" w:sz="8"/>
              <w:left w:val="single" w:color="64748B" w:sz="8"/>
              <w:bottom w:val="single" w:color="64748B" w:sz="8"/>
              <w:right w:val="single" w:color="64748B" w:sz="8"/>
            </w:tcBorders>
          </w:tcPr>
          <w:p>
            <w:r>
              <w:rPr>
                <w:sz w:val="18"/>
                <w:szCs w:val="18"/>
              </w:rPr>
              <w:t xml:space="preserve">Part-worth utilities (preference weights) for each attribute level; enables trade-off calculations</w:t>
            </w:r>
          </w:p>
        </w:tc>
      </w:tr>
      <w:tr>
        <w:tc>
          <w:tcPr>
            <w:tcW w:type="dxa" w:w="1500"/>
            <w:tcBorders>
              <w:top w:val="single" w:color="64748B" w:sz="8"/>
              <w:left w:val="single" w:color="64748B" w:sz="8"/>
              <w:bottom w:val="single" w:color="64748B" w:sz="8"/>
              <w:right w:val="single" w:color="64748B" w:sz="8"/>
            </w:tcBorders>
            <w:shd w:fill="EDE9FE" w:val="clear"/>
          </w:tcPr>
          <w:p>
            <w:r>
              <w:rPr>
                <w:b/>
                <w:bCs/>
                <w:sz w:val="18"/>
                <w:szCs w:val="18"/>
              </w:rPr>
              <w:t xml:space="preserve">Strengths</w:t>
            </w:r>
          </w:p>
        </w:tc>
        <w:tc>
          <w:tcPr>
            <w:tcW w:type="dxa" w:w="6800"/>
            <w:tcBorders>
              <w:top w:val="single" w:color="64748B" w:sz="8"/>
              <w:left w:val="single" w:color="64748B" w:sz="8"/>
              <w:bottom w:val="single" w:color="64748B" w:sz="8"/>
              <w:right w:val="single" w:color="64748B" w:sz="8"/>
            </w:tcBorders>
          </w:tcPr>
          <w:p>
            <w:pPr>
              <w:pStyle w:val="ListParagraph"/>
              <w:numPr>
                <w:ilvl w:val="0"/>
                <w:numId w:val="2"/>
              </w:numPr>
            </w:pPr>
            <w:r>
              <w:rPr>
                <w:sz w:val="18"/>
                <w:szCs w:val="18"/>
              </w:rPr>
              <w:t xml:space="preserve">Simultaneous assessment of multiple attributes</w:t>
            </w:r>
          </w:p>
          <w:p>
            <w:pPr>
              <w:pStyle w:val="ListParagraph"/>
              <w:numPr>
                <w:ilvl w:val="0"/>
                <w:numId w:val="2"/>
              </w:numPr>
            </w:pPr>
            <w:r>
              <w:rPr>
                <w:sz w:val="18"/>
                <w:szCs w:val="18"/>
              </w:rPr>
              <w:t xml:space="preserve">Mimics real-world decision making</w:t>
            </w:r>
          </w:p>
          <w:p>
            <w:pPr>
              <w:pStyle w:val="ListParagraph"/>
              <w:numPr>
                <w:ilvl w:val="0"/>
                <w:numId w:val="2"/>
              </w:numPr>
            </w:pPr>
            <w:r>
              <w:rPr>
                <w:sz w:val="18"/>
                <w:szCs w:val="18"/>
              </w:rPr>
              <w:t xml:space="preserve">Strong theoretical foundation (random utility theory)</w:t>
            </w:r>
          </w:p>
          <w:p>
            <w:pPr>
              <w:pStyle w:val="ListParagraph"/>
              <w:numPr>
                <w:ilvl w:val="0"/>
                <w:numId w:val="2"/>
              </w:numPr>
            </w:pPr>
            <w:r>
              <w:rPr>
                <w:sz w:val="18"/>
                <w:szCs w:val="18"/>
              </w:rPr>
              <w:t xml:space="preserve">Accepted by FDA and EMA for regulatory submissions</w:t>
            </w:r>
          </w:p>
        </w:tc>
      </w:tr>
      <w:tr>
        <w:tc>
          <w:tcPr>
            <w:tcW w:type="dxa" w:w="1500"/>
            <w:tcBorders>
              <w:top w:val="single" w:color="64748B" w:sz="8"/>
              <w:left w:val="single" w:color="64748B" w:sz="8"/>
              <w:bottom w:val="single" w:color="64748B" w:sz="8"/>
              <w:right w:val="single" w:color="64748B" w:sz="8"/>
            </w:tcBorders>
            <w:shd w:fill="EDE9FE" w:val="clear"/>
          </w:tcPr>
          <w:p>
            <w:r>
              <w:rPr>
                <w:b/>
                <w:bCs/>
                <w:sz w:val="18"/>
                <w:szCs w:val="18"/>
              </w:rPr>
              <w:t xml:space="preserve">Limitations</w:t>
            </w:r>
          </w:p>
        </w:tc>
        <w:tc>
          <w:tcPr>
            <w:tcW w:type="dxa" w:w="6800"/>
            <w:tcBorders>
              <w:top w:val="single" w:color="64748B" w:sz="8"/>
              <w:left w:val="single" w:color="64748B" w:sz="8"/>
              <w:bottom w:val="single" w:color="64748B" w:sz="8"/>
              <w:right w:val="single" w:color="64748B" w:sz="8"/>
            </w:tcBorders>
          </w:tcPr>
          <w:p>
            <w:pPr>
              <w:pStyle w:val="ListParagraph"/>
              <w:numPr>
                <w:ilvl w:val="0"/>
                <w:numId w:val="2"/>
              </w:numPr>
            </w:pPr>
            <w:r>
              <w:rPr>
                <w:sz w:val="18"/>
                <w:szCs w:val="18"/>
              </w:rPr>
              <w:t xml:space="preserve">Complex design and analysis requiring specialist expertise</w:t>
            </w:r>
          </w:p>
          <w:p>
            <w:pPr>
              <w:pStyle w:val="ListParagraph"/>
              <w:numPr>
                <w:ilvl w:val="0"/>
                <w:numId w:val="2"/>
              </w:numPr>
            </w:pPr>
            <w:r>
              <w:rPr>
                <w:sz w:val="18"/>
                <w:szCs w:val="18"/>
              </w:rPr>
              <w:t xml:space="preserve">Cognitively demanding for participants</w:t>
            </w:r>
          </w:p>
          <w:p>
            <w:pPr>
              <w:pStyle w:val="ListParagraph"/>
              <w:numPr>
                <w:ilvl w:val="0"/>
                <w:numId w:val="2"/>
              </w:numPr>
            </w:pPr>
            <w:r>
              <w:rPr>
                <w:sz w:val="18"/>
                <w:szCs w:val="18"/>
              </w:rPr>
              <w:t xml:space="preserve">Large sample sizes needed for subgroup analysis</w:t>
            </w:r>
          </w:p>
        </w:tc>
      </w:tr>
      <w:tr>
        <w:tc>
          <w:tcPr>
            <w:tcW w:type="dxa" w:w="1500"/>
            <w:tcBorders>
              <w:top w:val="single" w:color="64748B" w:sz="8"/>
              <w:left w:val="single" w:color="64748B" w:sz="8"/>
              <w:bottom w:val="single" w:color="64748B" w:sz="8"/>
              <w:right w:val="single" w:color="64748B" w:sz="8"/>
            </w:tcBorders>
            <w:shd w:fill="EDE9FE" w:val="clear"/>
          </w:tcPr>
          <w:p>
            <w:r>
              <w:rPr>
                <w:b/>
                <w:bCs/>
                <w:sz w:val="18"/>
                <w:szCs w:val="18"/>
              </w:rPr>
              <w:t xml:space="preserve">When to use</w:t>
            </w:r>
          </w:p>
        </w:tc>
        <w:tc>
          <w:tcPr>
            <w:tcW w:type="dxa" w:w="6800"/>
            <w:tcBorders>
              <w:top w:val="single" w:color="64748B" w:sz="8"/>
              <w:left w:val="single" w:color="64748B" w:sz="8"/>
              <w:bottom w:val="single" w:color="64748B" w:sz="8"/>
              <w:right w:val="single" w:color="64748B" w:sz="8"/>
            </w:tcBorders>
          </w:tcPr>
          <w:p>
            <w:r>
              <w:rPr>
                <w:sz w:val="18"/>
                <w:szCs w:val="18"/>
              </w:rPr>
              <w:t xml:space="preserve">Need to quantify benefit-risk trade-offs for regulatory submission; multiple attributes to evaluate simultaneously; sufficient resources for proper design</w:t>
            </w:r>
          </w:p>
        </w:tc>
      </w:tr>
      <w:tr>
        <w:tc>
          <w:tcPr>
            <w:tcW w:type="dxa" w:w="1500"/>
            <w:tcBorders>
              <w:top w:val="single" w:color="64748B" w:sz="8"/>
              <w:left w:val="single" w:color="64748B" w:sz="8"/>
              <w:bottom w:val="single" w:color="64748B" w:sz="8"/>
              <w:right w:val="single" w:color="64748B" w:sz="8"/>
            </w:tcBorders>
            <w:shd w:fill="EDE9FE" w:val="clear"/>
          </w:tcPr>
          <w:p>
            <w:r>
              <w:rPr>
                <w:b/>
                <w:bCs/>
                <w:sz w:val="18"/>
                <w:szCs w:val="18"/>
              </w:rPr>
              <w:t xml:space="preserve">When NOT to use</w:t>
            </w:r>
          </w:p>
        </w:tc>
        <w:tc>
          <w:tcPr>
            <w:tcW w:type="dxa" w:w="6800"/>
            <w:tcBorders>
              <w:top w:val="single" w:color="64748B" w:sz="8"/>
              <w:left w:val="single" w:color="64748B" w:sz="8"/>
              <w:bottom w:val="single" w:color="64748B" w:sz="8"/>
              <w:right w:val="single" w:color="64748B" w:sz="8"/>
            </w:tcBorders>
          </w:tcPr>
          <w:p>
            <w:r>
              <w:rPr>
                <w:sz w:val="18"/>
                <w:szCs w:val="18"/>
              </w:rPr>
              <w:t xml:space="preserve">Early exploration phase (use qualitative first); very small patient population (&lt;50 recruitable); time/budget constraints prevent proper design</w:t>
            </w:r>
          </w:p>
        </w:tc>
      </w:tr>
    </w:tbl>
    <w:p>
      <w:r>
        <w:br w:type="page"/>
      </w:r>
    </w:p>
    <w:p>
      <w:pPr>
        <w:pStyle w:val="Heading1"/>
      </w:pPr>
      <w:r>
        <w:t xml:space="preserve">  LIFECYCLE STAGE MAPPING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400"/>
        <w:gridCol w:w="2300"/>
      </w:tblGrid>
      <w:tr>
        <w:trPr>
          <w:tblHeader/>
        </w:trPr>
        <w:tc>
          <w:tcPr>
            <w:tcW w:type="dxa" w:w="1600"/>
            <w:tcBorders>
              <w:top w:val="single" w:color="64748B" w:sz="8"/>
              <w:left w:val="single" w:color="64748B" w:sz="8"/>
              <w:bottom w:val="single" w:color="64748B" w:sz="8"/>
              <w:right w:val="single" w:color="64748B" w:sz="8"/>
            </w:tcBorders>
            <w:shd w:fill="1A365D" w:val="clear"/>
          </w:tcPr>
          <w:p>
            <w:pPr>
              <w:jc w:val="center"/>
            </w:pPr>
            <w:r>
              <w:rPr>
                <w:b/>
                <w:bCs/>
                <w:color w:val="FFFFFF"/>
                <w:sz w:val="18"/>
                <w:szCs w:val="18"/>
              </w:rPr>
              <w:t xml:space="preserve">Lifecycle Stage</w:t>
            </w:r>
          </w:p>
        </w:tc>
        <w:tc>
          <w:tcPr>
            <w:tcW w:type="dxa" w:w="2000"/>
            <w:tcBorders>
              <w:top w:val="single" w:color="64748B" w:sz="8"/>
              <w:left w:val="single" w:color="64748B" w:sz="8"/>
              <w:bottom w:val="single" w:color="64748B" w:sz="8"/>
              <w:right w:val="single" w:color="64748B" w:sz="8"/>
            </w:tcBorders>
            <w:shd w:fill="1A365D" w:val="clear"/>
          </w:tcPr>
          <w:p>
            <w:pPr>
              <w:jc w:val="center"/>
            </w:pPr>
            <w:r>
              <w:rPr>
                <w:b/>
                <w:bCs/>
                <w:color w:val="FFFFFF"/>
                <w:sz w:val="18"/>
                <w:szCs w:val="18"/>
              </w:rPr>
              <w:t xml:space="preserve">Primary Objective</w:t>
            </w:r>
          </w:p>
        </w:tc>
        <w:tc>
          <w:tcPr>
            <w:tcW w:type="dxa" w:w="2400"/>
            <w:tcBorders>
              <w:top w:val="single" w:color="64748B" w:sz="8"/>
              <w:left w:val="single" w:color="64748B" w:sz="8"/>
              <w:bottom w:val="single" w:color="64748B" w:sz="8"/>
              <w:right w:val="single" w:color="64748B" w:sz="8"/>
            </w:tcBorders>
            <w:shd w:fill="1A365D" w:val="clear"/>
          </w:tcPr>
          <w:p>
            <w:pPr>
              <w:jc w:val="center"/>
            </w:pPr>
            <w:r>
              <w:rPr>
                <w:b/>
                <w:bCs/>
                <w:color w:val="FFFFFF"/>
                <w:sz w:val="18"/>
                <w:szCs w:val="18"/>
              </w:rPr>
              <w:t xml:space="preserve">Recommended Methods</w:t>
            </w:r>
          </w:p>
        </w:tc>
        <w:tc>
          <w:tcPr>
            <w:tcW w:type="dxa" w:w="2300"/>
            <w:tcBorders>
              <w:top w:val="single" w:color="64748B" w:sz="8"/>
              <w:left w:val="single" w:color="64748B" w:sz="8"/>
              <w:bottom w:val="single" w:color="64748B" w:sz="8"/>
              <w:right w:val="single" w:color="64748B" w:sz="8"/>
            </w:tcBorders>
            <w:shd w:fill="1A365D" w:val="clear"/>
          </w:tcPr>
          <w:p>
            <w:pPr>
              <w:jc w:val="center"/>
            </w:pPr>
            <w:r>
              <w:rPr>
                <w:b/>
                <w:bCs/>
                <w:color w:val="FFFFFF"/>
                <w:sz w:val="18"/>
                <w:szCs w:val="18"/>
              </w:rPr>
              <w:t xml:space="preserve">Integration Point</w:t>
            </w:r>
          </w:p>
        </w:tc>
      </w:tr>
      <w:tr>
        <w:tc>
          <w:tcPr>
            <w:tcW w:type="dxa" w:w="1600"/>
            <w:tcBorders>
              <w:top w:val="single" w:color="64748B" w:sz="8"/>
              <w:left w:val="single" w:color="64748B" w:sz="8"/>
              <w:bottom w:val="single" w:color="64748B" w:sz="8"/>
              <w:right w:val="single" w:color="64748B" w:sz="8"/>
            </w:tcBorders>
          </w:tcPr>
          <w:p>
            <w:r>
              <w:rPr>
                <w:b/>
                <w:bCs/>
                <w:sz w:val="18"/>
                <w:szCs w:val="18"/>
              </w:rPr>
              <w:t xml:space="preserve">Early Development (Phase 1-2)</w:t>
            </w:r>
          </w:p>
        </w:tc>
        <w:tc>
          <w:tcPr>
            <w:tcW w:type="dxa" w:w="2000"/>
            <w:tcBorders>
              <w:top w:val="single" w:color="64748B" w:sz="8"/>
              <w:left w:val="single" w:color="64748B" w:sz="8"/>
              <w:bottom w:val="single" w:color="64748B" w:sz="8"/>
              <w:right w:val="single" w:color="64748B" w:sz="8"/>
            </w:tcBorders>
          </w:tcPr>
          <w:p>
            <w:r>
              <w:rPr>
                <w:sz w:val="18"/>
                <w:szCs w:val="18"/>
              </w:rPr>
              <w:t xml:space="preserve">Identify what matters to patients; inform endpoint selection</w:t>
            </w:r>
          </w:p>
        </w:tc>
        <w:tc>
          <w:tcPr>
            <w:tcW w:type="dxa" w:w="2400"/>
            <w:tcBorders>
              <w:top w:val="single" w:color="64748B" w:sz="8"/>
              <w:left w:val="single" w:color="64748B" w:sz="8"/>
              <w:bottom w:val="single" w:color="64748B" w:sz="8"/>
              <w:right w:val="single" w:color="64748B" w:sz="8"/>
            </w:tcBorders>
          </w:tcPr>
          <w:p>
            <w:r>
              <w:rPr>
                <w:sz w:val="18"/>
                <w:szCs w:val="18"/>
              </w:rPr>
              <w:t xml:space="preserve">Focus groups, Individual interviews, Concept mapping</w:t>
            </w:r>
          </w:p>
        </w:tc>
        <w:tc>
          <w:tcPr>
            <w:tcW w:type="dxa" w:w="2300"/>
            <w:tcBorders>
              <w:top w:val="single" w:color="64748B" w:sz="8"/>
              <w:left w:val="single" w:color="64748B" w:sz="8"/>
              <w:bottom w:val="single" w:color="64748B" w:sz="8"/>
              <w:right w:val="single" w:color="64748B" w:sz="8"/>
            </w:tcBorders>
          </w:tcPr>
          <w:p>
            <w:r>
              <w:rPr>
                <w:sz w:val="18"/>
                <w:szCs w:val="18"/>
              </w:rPr>
              <w:t xml:space="preserve">Clinical trial design; endpoint prioritization</w:t>
            </w:r>
          </w:p>
        </w:tc>
      </w:tr>
      <w:tr>
        <w:tc>
          <w:tcPr>
            <w:tcW w:type="dxa" w:w="1600"/>
            <w:tcBorders>
              <w:top w:val="single" w:color="64748B" w:sz="8"/>
              <w:left w:val="single" w:color="64748B" w:sz="8"/>
              <w:bottom w:val="single" w:color="64748B" w:sz="8"/>
              <w:right w:val="single" w:color="64748B" w:sz="8"/>
            </w:tcBorders>
            <w:shd w:fill="F1F5F9" w:val="clear"/>
          </w:tcPr>
          <w:p>
            <w:r>
              <w:rPr>
                <w:b/>
                <w:bCs/>
                <w:sz w:val="18"/>
                <w:szCs w:val="18"/>
              </w:rPr>
              <w:t xml:space="preserve">Mid Development (Phase 2-3)</w:t>
            </w:r>
          </w:p>
        </w:tc>
        <w:tc>
          <w:tcPr>
            <w:tcW w:type="dxa" w:w="2000"/>
            <w:tcBorders>
              <w:top w:val="single" w:color="64748B" w:sz="8"/>
              <w:left w:val="single" w:color="64748B" w:sz="8"/>
              <w:bottom w:val="single" w:color="64748B" w:sz="8"/>
              <w:right w:val="single" w:color="64748B" w:sz="8"/>
            </w:tcBorders>
            <w:shd w:fill="F1F5F9" w:val="clear"/>
          </w:tcPr>
          <w:p>
            <w:r>
              <w:rPr>
                <w:sz w:val="18"/>
                <w:szCs w:val="18"/>
              </w:rPr>
              <w:t xml:space="preserve">Rank attribute importance; refine understanding</w:t>
            </w:r>
          </w:p>
        </w:tc>
        <w:tc>
          <w:tcPr>
            <w:tcW w:type="dxa" w:w="2400"/>
            <w:tcBorders>
              <w:top w:val="single" w:color="64748B" w:sz="8"/>
              <w:left w:val="single" w:color="64748B" w:sz="8"/>
              <w:bottom w:val="single" w:color="64748B" w:sz="8"/>
              <w:right w:val="single" w:color="64748B" w:sz="8"/>
            </w:tcBorders>
            <w:shd w:fill="F1F5F9" w:val="clear"/>
          </w:tcPr>
          <w:p>
            <w:r>
              <w:rPr>
                <w:sz w:val="18"/>
                <w:szCs w:val="18"/>
              </w:rPr>
              <w:t xml:space="preserve">Best-Worst Scaling, Focus groups, Delphi</w:t>
            </w:r>
          </w:p>
        </w:tc>
        <w:tc>
          <w:tcPr>
            <w:tcW w:type="dxa" w:w="2300"/>
            <w:tcBorders>
              <w:top w:val="single" w:color="64748B" w:sz="8"/>
              <w:left w:val="single" w:color="64748B" w:sz="8"/>
              <w:bottom w:val="single" w:color="64748B" w:sz="8"/>
              <w:right w:val="single" w:color="64748B" w:sz="8"/>
            </w:tcBorders>
            <w:shd w:fill="F1F5F9" w:val="clear"/>
          </w:tcPr>
          <w:p>
            <w:r>
              <w:rPr>
                <w:sz w:val="18"/>
                <w:szCs w:val="18"/>
              </w:rPr>
              <w:t xml:space="preserve">Protocol refinement; PRO selection</w:t>
            </w:r>
          </w:p>
        </w:tc>
      </w:tr>
      <w:tr>
        <w:tc>
          <w:tcPr>
            <w:tcW w:type="dxa" w:w="1600"/>
            <w:tcBorders>
              <w:top w:val="single" w:color="64748B" w:sz="8"/>
              <w:left w:val="single" w:color="64748B" w:sz="8"/>
              <w:bottom w:val="single" w:color="64748B" w:sz="8"/>
              <w:right w:val="single" w:color="64748B" w:sz="8"/>
            </w:tcBorders>
          </w:tcPr>
          <w:p>
            <w:r>
              <w:rPr>
                <w:b/>
                <w:bCs/>
                <w:sz w:val="18"/>
                <w:szCs w:val="18"/>
              </w:rPr>
              <w:t xml:space="preserve">Late Development (Phase 3)</w:t>
            </w:r>
          </w:p>
        </w:tc>
        <w:tc>
          <w:tcPr>
            <w:tcW w:type="dxa" w:w="2000"/>
            <w:tcBorders>
              <w:top w:val="single" w:color="64748B" w:sz="8"/>
              <w:left w:val="single" w:color="64748B" w:sz="8"/>
              <w:bottom w:val="single" w:color="64748B" w:sz="8"/>
              <w:right w:val="single" w:color="64748B" w:sz="8"/>
            </w:tcBorders>
          </w:tcPr>
          <w:p>
            <w:r>
              <w:rPr>
                <w:sz w:val="18"/>
                <w:szCs w:val="18"/>
              </w:rPr>
              <w:t xml:space="preserve">Quantify trade-offs; generate regulatory evidence</w:t>
            </w:r>
          </w:p>
        </w:tc>
        <w:tc>
          <w:tcPr>
            <w:tcW w:type="dxa" w:w="2400"/>
            <w:tcBorders>
              <w:top w:val="single" w:color="64748B" w:sz="8"/>
              <w:left w:val="single" w:color="64748B" w:sz="8"/>
              <w:bottom w:val="single" w:color="64748B" w:sz="8"/>
              <w:right w:val="single" w:color="64748B" w:sz="8"/>
            </w:tcBorders>
          </w:tcPr>
          <w:p>
            <w:r>
              <w:rPr>
                <w:sz w:val="18"/>
                <w:szCs w:val="18"/>
              </w:rPr>
              <w:t xml:space="preserve">DCE, Swing Weighting, Threshold Technique</w:t>
            </w:r>
          </w:p>
        </w:tc>
        <w:tc>
          <w:tcPr>
            <w:tcW w:type="dxa" w:w="2300"/>
            <w:tcBorders>
              <w:top w:val="single" w:color="64748B" w:sz="8"/>
              <w:left w:val="single" w:color="64748B" w:sz="8"/>
              <w:bottom w:val="single" w:color="64748B" w:sz="8"/>
              <w:right w:val="single" w:color="64748B" w:sz="8"/>
            </w:tcBorders>
          </w:tcPr>
          <w:p>
            <w:r>
              <w:rPr>
                <w:sz w:val="18"/>
                <w:szCs w:val="18"/>
              </w:rPr>
              <w:t xml:space="preserve">BRA for submission; MCDA weights</w:t>
            </w:r>
          </w:p>
        </w:tc>
      </w:tr>
      <w:tr>
        <w:tc>
          <w:tcPr>
            <w:tcW w:type="dxa" w:w="1600"/>
            <w:tcBorders>
              <w:top w:val="single" w:color="64748B" w:sz="8"/>
              <w:left w:val="single" w:color="64748B" w:sz="8"/>
              <w:bottom w:val="single" w:color="64748B" w:sz="8"/>
              <w:right w:val="single" w:color="64748B" w:sz="8"/>
            </w:tcBorders>
            <w:shd w:fill="F1F5F9" w:val="clear"/>
          </w:tcPr>
          <w:p>
            <w:r>
              <w:rPr>
                <w:b/>
                <w:bCs/>
                <w:sz w:val="18"/>
                <w:szCs w:val="18"/>
              </w:rPr>
              <w:t xml:space="preserve">Regulatory Review</w:t>
            </w:r>
          </w:p>
        </w:tc>
        <w:tc>
          <w:tcPr>
            <w:tcW w:type="dxa" w:w="2000"/>
            <w:tcBorders>
              <w:top w:val="single" w:color="64748B" w:sz="8"/>
              <w:left w:val="single" w:color="64748B" w:sz="8"/>
              <w:bottom w:val="single" w:color="64748B" w:sz="8"/>
              <w:right w:val="single" w:color="64748B" w:sz="8"/>
            </w:tcBorders>
            <w:shd w:fill="F1F5F9" w:val="clear"/>
          </w:tcPr>
          <w:p>
            <w:r>
              <w:rPr>
                <w:sz w:val="18"/>
                <w:szCs w:val="18"/>
              </w:rPr>
              <w:t xml:space="preserve">Support B-R assessment; address agency questions</w:t>
            </w:r>
          </w:p>
        </w:tc>
        <w:tc>
          <w:tcPr>
            <w:tcW w:type="dxa" w:w="2400"/>
            <w:tcBorders>
              <w:top w:val="single" w:color="64748B" w:sz="8"/>
              <w:left w:val="single" w:color="64748B" w:sz="8"/>
              <w:bottom w:val="single" w:color="64748B" w:sz="8"/>
              <w:right w:val="single" w:color="64748B" w:sz="8"/>
            </w:tcBorders>
            <w:shd w:fill="F1F5F9" w:val="clear"/>
          </w:tcPr>
          <w:p>
            <w:r>
              <w:rPr>
                <w:sz w:val="18"/>
                <w:szCs w:val="18"/>
              </w:rPr>
              <w:t xml:space="preserve">DCE (if not done), Supplemental analyses</w:t>
            </w:r>
          </w:p>
        </w:tc>
        <w:tc>
          <w:tcPr>
            <w:tcW w:type="dxa" w:w="2300"/>
            <w:tcBorders>
              <w:top w:val="single" w:color="64748B" w:sz="8"/>
              <w:left w:val="single" w:color="64748B" w:sz="8"/>
              <w:bottom w:val="single" w:color="64748B" w:sz="8"/>
              <w:right w:val="single" w:color="64748B" w:sz="8"/>
            </w:tcBorders>
            <w:shd w:fill="F1F5F9" w:val="clear"/>
          </w:tcPr>
          <w:p>
            <w:r>
              <w:rPr>
                <w:sz w:val="18"/>
                <w:szCs w:val="18"/>
              </w:rPr>
              <w:t xml:space="preserve">Advisory committee; labeling discussions</w:t>
            </w:r>
          </w:p>
        </w:tc>
      </w:tr>
      <w:tr>
        <w:tc>
          <w:tcPr>
            <w:tcW w:type="dxa" w:w="1600"/>
            <w:tcBorders>
              <w:top w:val="single" w:color="64748B" w:sz="8"/>
              <w:left w:val="single" w:color="64748B" w:sz="8"/>
              <w:bottom w:val="single" w:color="64748B" w:sz="8"/>
              <w:right w:val="single" w:color="64748B" w:sz="8"/>
            </w:tcBorders>
          </w:tcPr>
          <w:p>
            <w:r>
              <w:rPr>
                <w:b/>
                <w:bCs/>
                <w:sz w:val="18"/>
                <w:szCs w:val="18"/>
              </w:rPr>
              <w:t xml:space="preserve">Post-Marketing</w:t>
            </w:r>
          </w:p>
        </w:tc>
        <w:tc>
          <w:tcPr>
            <w:tcW w:type="dxa" w:w="2000"/>
            <w:tcBorders>
              <w:top w:val="single" w:color="64748B" w:sz="8"/>
              <w:left w:val="single" w:color="64748B" w:sz="8"/>
              <w:bottom w:val="single" w:color="64748B" w:sz="8"/>
              <w:right w:val="single" w:color="64748B" w:sz="8"/>
            </w:tcBorders>
          </w:tcPr>
          <w:p>
            <w:r>
              <w:rPr>
                <w:sz w:val="18"/>
                <w:szCs w:val="18"/>
              </w:rPr>
              <w:t xml:space="preserve">Monitor real-world preferences; support lifecycle management</w:t>
            </w:r>
          </w:p>
        </w:tc>
        <w:tc>
          <w:tcPr>
            <w:tcW w:type="dxa" w:w="2400"/>
            <w:tcBorders>
              <w:top w:val="single" w:color="64748B" w:sz="8"/>
              <w:left w:val="single" w:color="64748B" w:sz="8"/>
              <w:bottom w:val="single" w:color="64748B" w:sz="8"/>
              <w:right w:val="single" w:color="64748B" w:sz="8"/>
            </w:tcBorders>
          </w:tcPr>
          <w:p>
            <w:r>
              <w:rPr>
                <w:sz w:val="18"/>
                <w:szCs w:val="18"/>
              </w:rPr>
              <w:t xml:space="preserve">Registry data, PROs, Targeted surveys</w:t>
            </w:r>
          </w:p>
        </w:tc>
        <w:tc>
          <w:tcPr>
            <w:tcW w:type="dxa" w:w="2300"/>
            <w:tcBorders>
              <w:top w:val="single" w:color="64748B" w:sz="8"/>
              <w:left w:val="single" w:color="64748B" w:sz="8"/>
              <w:bottom w:val="single" w:color="64748B" w:sz="8"/>
              <w:right w:val="single" w:color="64748B" w:sz="8"/>
            </w:tcBorders>
          </w:tcPr>
          <w:p>
            <w:r>
              <w:rPr>
                <w:sz w:val="18"/>
                <w:szCs w:val="18"/>
              </w:rPr>
              <w:t xml:space="preserve">Label updates; RMM assessment</w:t>
            </w:r>
          </w:p>
        </w:tc>
      </w:tr>
    </w:tbl>
    <w:p>
      <w:pPr>
        <w:spacing w:before="300" w:after="100"/>
      </w:pPr>
      <w:r>
        <w:rPr>
          <w:b/>
          <w:bCs/>
          <w:color w:val="0D9488"/>
        </w:rPr>
        <w:t xml:space="preserve">◎ LOAD-BEARING CONCEPT: Sequential Methodology</w:t>
      </w:r>
    </w:p>
    <w:p>
      <w:pPr>
        <w:spacing w:after="200"/>
      </w:pPr>
      <w:r>
        <w:t xml:space="preserve">Best practice employs </w:t>
      </w:r>
      <w:r>
        <w:rPr>
          <w:b/>
          <w:bCs/>
        </w:rPr>
        <w:t xml:space="preserve">qualitative methods first</w:t>
      </w:r>
      <w:r>
        <w:t xml:space="preserve"> (to identify what matters) followed by </w:t>
      </w:r>
      <w:r>
        <w:rPr>
          <w:b/>
          <w:bCs/>
        </w:rPr>
        <w:t xml:space="preserve">quantitative methods</w:t>
      </w:r>
      <w:r>
        <w:t xml:space="preserve"> (to measure how much). DCE attributes should emerge from prior qualitative work—not assumed by researchers. The PREFER project emphasized that 'nearly all patient preference methodologies have a role to play' and method selection should be driven by the specific decision question, not methodological preference.</w:t>
      </w:r>
    </w:p>
    <w:p>
      <w:pPr>
        <w:spacing w:before="200" w:after="100"/>
      </w:pPr>
      <w:r>
        <w:rPr>
          <w:b/>
          <w:bCs/>
          <w:color w:val="0D9488"/>
        </w:rPr>
        <w:t xml:space="preserve">◆ SIGNAL DETECTED: Preference Heterogeneity</w:t>
      </w:r>
    </w:p>
    <w:p>
      <w:pPr>
        <w:spacing w:after="200"/>
      </w:pPr>
      <w:r>
        <w:t xml:space="preserve">Patient populations are not monolithic. Latent class analysis within DCE or BWS can identify subgroups with different preference patterns (e.g., 'risk averse' vs 'risk tolerant' patients). This heterogeneity is often decision-relevant and should be captured and reported, not averaged away.</w:t>
      </w:r>
    </w:p>
    <w:p>
      <w:pPr>
        <w:spacing w:before="300"/>
        <w:jc w:val="center"/>
      </w:pPr>
      <w:r>
        <w:rPr>
          <w:color w:val="64748B"/>
          <w:sz w:val="18"/>
          <w:szCs w:val="18"/>
        </w:rPr>
        <w:t xml:space="preserve">Decision Support Module | NexVigilant Benefit-Risk Intelligence Toolkit</w:t>
      </w:r>
    </w:p>
    <w:p>
      <w:pPr>
        <w:jc w:val="center"/>
      </w:pPr>
      <w:r>
        <w:rPr>
          <w:color w:val="64748B"/>
          <w:sz w:val="18"/>
          <w:szCs w:val="18"/>
        </w:rPr>
        <w:t xml:space="preserve">Based on CIOMS WG XII (May 2025), IMI-PREFER, and ISPOR Good Practice Guidance</w:t>
      </w:r>
    </w:p>
    <w:sectPr>
      <w:headerReference w:type="default" r:id="rId6"/>
      <w:footerReference w:type="default" r:id="rId7"/>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6"/>
        <w:szCs w:val="16"/>
      </w:rPr>
      <w:t xml:space="preserve">© 2025 NexVigilant LLC | www.nexvigilant.com | Page </w:t>
    </w:r>
    <w:r>
      <w:rPr>
        <w:color w:val="64748B"/>
        <w:sz w:val="16"/>
        <w:szCs w:val="16"/>
      </w:rPr>
      <w:fldChar w:fldCharType="begin"/>
      <w:instrText xml:space="preserve">PAGE</w:instrText>
      <w:fldChar w:fldCharType="separate"/>
      <w:fldChar w:fldCharType="end"/>
    </w:r>
    <w:r>
      <w:rPr>
        <w:color w:val="64748B"/>
        <w:sz w:val="16"/>
        <w:szCs w:val="16"/>
      </w:rPr>
      <w:t xml:space="preserve"> of </w:t>
    </w:r>
    <w:r>
      <w:rPr>
        <w:color w:val="64748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4748B"/>
        <w:sz w:val="18"/>
        <w:szCs w:val="18"/>
      </w:rPr>
      <w:t xml:space="preserve">NexVigilant Benefit-Risk Intelligence Toolkit | Decision Support Module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after="120"/>
      <w:jc w:val="center"/>
    </w:pPr>
    <w:rPr>
      <w:rFonts w:ascii="Arial" w:cs="Arial" w:eastAsia="Arial" w:hAnsi="Arial"/>
      <w:b/>
      <w:bCs/>
      <w:color w:val="1A365D"/>
      <w:sz w:val="44"/>
      <w:szCs w:val="44"/>
    </w:rPr>
  </w:style>
  <w:style w:type="paragraph" w:styleId="Heading1">
    <w:name w:val="Heading 1"/>
    <w:basedOn w:val="Normal"/>
    <w:next w:val="Normal"/>
    <w:qFormat/>
    <w:pPr>
      <w:shd w:fill="1A365D" w:val="clear"/>
      <w:spacing w:before="240" w:after="120"/>
    </w:pPr>
    <w:rPr>
      <w:rFonts w:ascii="Arial" w:cs="Arial" w:eastAsia="Arial" w:hAnsi="Arial"/>
      <w:b/>
      <w:bCs/>
      <w:color w:val="FFFFFF"/>
      <w:sz w:val="26"/>
      <w:szCs w:val="26"/>
    </w:rPr>
  </w:style>
  <w:style w:type="paragraph" w:styleId="Heading2">
    <w:name w:val="Heading 2"/>
    <w:basedOn w:val="Normal"/>
    <w:next w:val="Normal"/>
    <w:qFormat/>
    <w:pPr>
      <w:spacing w:before="200" w:after="80"/>
    </w:pPr>
    <w:rPr>
      <w:rFonts w:ascii="Arial" w:cs="Arial" w:eastAsia="Arial" w:hAnsi="Arial"/>
      <w:b/>
      <w:bCs/>
      <w:color w:val="1A365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2025-12-18T03:40:21.935Z</dcterms:created>
  <dcterms:modified xsi:type="dcterms:W3CDTF">2025-12-18T03:40:21.936Z</dcterms:modified>
</cp:coreProperties>
</file>

<file path=docProps/custom.xml><?xml version="1.0" encoding="utf-8"?>
<Properties xmlns="http://schemas.openxmlformats.org/officeDocument/2006/custom-properties" xmlns:vt="http://schemas.openxmlformats.org/officeDocument/2006/docPropsVTypes"/>
</file>