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Quantitative Analysis Decision Tree</w:t>
      </w:r>
    </w:p>
    <w:p>
      <w:pPr>
        <w:spacing w:after="300"/>
        <w:jc w:val="center"/>
      </w:pPr>
      <w:r>
        <w:rPr>
          <w:i/>
          <w:iCs/>
          <w:color w:val="64748B"/>
          <w:sz w:val="22"/>
          <w:szCs w:val="22"/>
        </w:rPr>
        <w:t xml:space="preserve">When to Apply MCDA, DOOR, Simulation &amp; Other Quantitative Methods in Benefit-Risk Assessment</w:t>
      </w:r>
    </w:p>
    <w:p>
      <w:pPr>
        <w:pStyle w:val="Heading1"/>
      </w:pPr>
      <w:r>
        <w:t xml:space="preserve">  PURPOSE &amp; SCOPE</w:t>
      </w:r>
    </w:p>
    <w:p>
      <w:pPr>
        <w:spacing w:after="200"/>
      </w:pPr>
      <w:r>
        <w:t xml:space="preserve">This decision support tool guides practitioners through the systematic evaluation of whether additional quantitative analysis is warranted for a benefit-risk assessment, and if so, which methodology is most appropriate. Based on CIOMS Working Group XII (May 2025) guidance and the IMI-PROTECT framework.</w:t>
      </w:r>
    </w:p>
    <w:p>
      <w:pPr>
        <w:spacing w:before="200" w:after="100"/>
      </w:pPr>
      <w:r>
        <w:rPr>
          <w:b/>
          <w:bCs/>
          <w:color w:val="0D9488"/>
        </w:rPr>
        <w:t xml:space="preserve">◎ LOAD-BEARING CONCEPT: The Quantitative Analysis Trigger</w:t>
      </w:r>
    </w:p>
    <w:p>
      <w:pPr>
        <w:spacing w:after="200"/>
      </w:pPr>
      <w:r>
        <w:rPr>
          <w:b/>
          <w:bCs/>
        </w:rPr>
        <w:t xml:space="preserve">Quantitative methods are NOT routine requirements.</w:t>
      </w:r>
      <w:r>
        <w:t xml:space="preserve"> They add value in specific circumstances where qualitative assessment alone is insufficient. The decision to employ quantitative methods should be driven by genuine analytical need, not by desire for sophistication. Per CIOMS WG XII: "Such additional analyses are not warranted on a routine basis but are nonetheless an important tool in the science of BRA."</w:t>
      </w:r>
    </w:p>
    <w:p>
      <w:pPr>
        <w:pStyle w:val="Heading1"/>
      </w:pPr>
      <w:r>
        <w:t xml:space="preserve">  PRIMARY DECISION TRIGGERS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800"/>
      </w:tblGrid>
      <w:tr>
        <w:trPr>
          <w:tblHeader/>
        </w:trPr>
        <w:tc>
          <w:tcPr>
            <w:tcW w:type="dxa" w:w="1800"/>
            <w:tcBorders>
              <w:top w:val="single" w:color="64748B" w:sz="8"/>
              <w:left w:val="single" w:color="64748B" w:sz="8"/>
              <w:bottom w:val="single" w:color="64748B" w:sz="8"/>
              <w:right w:val="single" w:color="64748B" w:sz="8"/>
            </w:tcBorders>
            <w:shd w:fill="1A365D" w:val="clear"/>
          </w:tcPr>
          <w:p>
            <w:pPr>
              <w:jc w:val="center"/>
            </w:pPr>
            <w:r>
              <w:rPr>
                <w:b/>
                <w:bCs/>
                <w:color w:val="FFFFFF"/>
                <w:sz w:val="20"/>
                <w:szCs w:val="20"/>
              </w:rPr>
              <w:t xml:space="preserve">Trigger</w:t>
            </w:r>
          </w:p>
        </w:tc>
        <w:tc>
          <w:tcPr>
            <w:tcW w:type="dxa" w:w="3800"/>
            <w:tcBorders>
              <w:top w:val="single" w:color="64748B" w:sz="8"/>
              <w:left w:val="single" w:color="64748B" w:sz="8"/>
              <w:bottom w:val="single" w:color="64748B" w:sz="8"/>
              <w:right w:val="single" w:color="64748B" w:sz="8"/>
            </w:tcBorders>
            <w:shd w:fill="1A365D" w:val="clear"/>
          </w:tcPr>
          <w:p>
            <w:pPr>
              <w:jc w:val="center"/>
            </w:pPr>
            <w:r>
              <w:rPr>
                <w:b/>
                <w:bCs/>
                <w:color w:val="FFFFFF"/>
                <w:sz w:val="20"/>
                <w:szCs w:val="20"/>
              </w:rPr>
              <w:t xml:space="preserve">Description</w:t>
            </w:r>
          </w:p>
        </w:tc>
        <w:tc>
          <w:tcPr>
            <w:tcW w:type="dxa" w:w="2800"/>
            <w:tcBorders>
              <w:top w:val="single" w:color="64748B" w:sz="8"/>
              <w:left w:val="single" w:color="64748B" w:sz="8"/>
              <w:bottom w:val="single" w:color="64748B" w:sz="8"/>
              <w:right w:val="single" w:color="64748B" w:sz="8"/>
            </w:tcBorders>
            <w:shd w:fill="1A365D" w:val="clear"/>
          </w:tcPr>
          <w:p>
            <w:pPr>
              <w:jc w:val="center"/>
            </w:pPr>
            <w:r>
              <w:rPr>
                <w:b/>
                <w:bCs/>
                <w:color w:val="FFFFFF"/>
                <w:sz w:val="20"/>
                <w:szCs w:val="20"/>
              </w:rPr>
              <w:t xml:space="preserve">Signal</w:t>
            </w:r>
          </w:p>
        </w:tc>
      </w:tr>
      <w:tr>
        <w:tc>
          <w:tcPr>
            <w:tcW w:type="dxa" w:w="1800"/>
            <w:tcBorders>
              <w:top w:val="single" w:color="64748B" w:sz="8"/>
              <w:left w:val="single" w:color="64748B" w:sz="8"/>
              <w:bottom w:val="single" w:color="64748B" w:sz="8"/>
              <w:right w:val="single" w:color="64748B" w:sz="8"/>
            </w:tcBorders>
          </w:tcPr>
          <w:p>
            <w:r>
              <w:rPr>
                <w:b/>
                <w:bCs/>
                <w:sz w:val="20"/>
                <w:szCs w:val="20"/>
              </w:rPr>
              <w:t xml:space="preserve">Marginal Trade-off</w:t>
            </w:r>
          </w:p>
        </w:tc>
        <w:tc>
          <w:tcPr>
            <w:tcW w:type="dxa" w:w="3800"/>
            <w:tcBorders>
              <w:top w:val="single" w:color="64748B" w:sz="8"/>
              <w:left w:val="single" w:color="64748B" w:sz="8"/>
              <w:bottom w:val="single" w:color="64748B" w:sz="8"/>
              <w:right w:val="single" w:color="64748B" w:sz="8"/>
            </w:tcBorders>
          </w:tcPr>
          <w:p>
            <w:r>
              <w:rPr>
                <w:sz w:val="20"/>
                <w:szCs w:val="20"/>
              </w:rPr>
              <w:t xml:space="preserve">Benefits and risks are approximately balanced; the decision is a close call</w:t>
            </w:r>
          </w:p>
        </w:tc>
        <w:tc>
          <w:tcPr>
            <w:tcW w:type="dxa" w:w="2800"/>
            <w:tcBorders>
              <w:top w:val="single" w:color="64748B" w:sz="8"/>
              <w:left w:val="single" w:color="64748B" w:sz="8"/>
              <w:bottom w:val="single" w:color="64748B" w:sz="8"/>
              <w:right w:val="single" w:color="64748B" w:sz="8"/>
            </w:tcBorders>
          </w:tcPr>
          <w:p>
            <w:r>
              <w:rPr>
                <w:sz w:val="20"/>
                <w:szCs w:val="20"/>
              </w:rPr>
              <w:t xml:space="preserve">When small changes in weighting could flip the conclusion</w:t>
            </w:r>
          </w:p>
        </w:tc>
      </w:tr>
      <w:tr>
        <w:tc>
          <w:tcPr>
            <w:tcW w:type="dxa" w:w="1800"/>
            <w:tcBorders>
              <w:top w:val="single" w:color="64748B" w:sz="8"/>
              <w:left w:val="single" w:color="64748B" w:sz="8"/>
              <w:bottom w:val="single" w:color="64748B" w:sz="8"/>
              <w:right w:val="single" w:color="64748B" w:sz="8"/>
            </w:tcBorders>
            <w:shd w:fill="F1F5F9" w:val="clear"/>
          </w:tcPr>
          <w:p>
            <w:r>
              <w:rPr>
                <w:b/>
                <w:bCs/>
                <w:sz w:val="20"/>
                <w:szCs w:val="20"/>
              </w:rPr>
              <w:t xml:space="preserve">Divergent Views</w:t>
            </w:r>
          </w:p>
        </w:tc>
        <w:tc>
          <w:tcPr>
            <w:tcW w:type="dxa" w:w="3800"/>
            <w:tcBorders>
              <w:top w:val="single" w:color="64748B" w:sz="8"/>
              <w:left w:val="single" w:color="64748B" w:sz="8"/>
              <w:bottom w:val="single" w:color="64748B" w:sz="8"/>
              <w:right w:val="single" w:color="64748B" w:sz="8"/>
            </w:tcBorders>
            <w:shd w:fill="F1F5F9" w:val="clear"/>
          </w:tcPr>
          <w:p>
            <w:r>
              <w:rPr>
                <w:sz w:val="20"/>
                <w:szCs w:val="20"/>
              </w:rPr>
              <w:t xml:space="preserve">BRMT members disagree on the B-R conclusion despite reviewing the same evidence</w:t>
            </w:r>
          </w:p>
        </w:tc>
        <w:tc>
          <w:tcPr>
            <w:tcW w:type="dxa" w:w="2800"/>
            <w:tcBorders>
              <w:top w:val="single" w:color="64748B" w:sz="8"/>
              <w:left w:val="single" w:color="64748B" w:sz="8"/>
              <w:bottom w:val="single" w:color="64748B" w:sz="8"/>
              <w:right w:val="single" w:color="64748B" w:sz="8"/>
            </w:tcBorders>
            <w:shd w:fill="F1F5F9" w:val="clear"/>
          </w:tcPr>
          <w:p>
            <w:r>
              <w:rPr>
                <w:sz w:val="20"/>
                <w:szCs w:val="20"/>
              </w:rPr>
              <w:t xml:space="preserve">When discussion reveals different implicit value judgments</w:t>
            </w:r>
          </w:p>
        </w:tc>
      </w:tr>
      <w:tr>
        <w:tc>
          <w:tcPr>
            <w:tcW w:type="dxa" w:w="1800"/>
            <w:tcBorders>
              <w:top w:val="single" w:color="64748B" w:sz="8"/>
              <w:left w:val="single" w:color="64748B" w:sz="8"/>
              <w:bottom w:val="single" w:color="64748B" w:sz="8"/>
              <w:right w:val="single" w:color="64748B" w:sz="8"/>
            </w:tcBorders>
          </w:tcPr>
          <w:p>
            <w:r>
              <w:rPr>
                <w:b/>
                <w:bCs/>
                <w:sz w:val="20"/>
                <w:szCs w:val="20"/>
              </w:rPr>
              <w:t xml:space="preserve">High Uncertainty</w:t>
            </w:r>
          </w:p>
        </w:tc>
        <w:tc>
          <w:tcPr>
            <w:tcW w:type="dxa" w:w="3800"/>
            <w:tcBorders>
              <w:top w:val="single" w:color="64748B" w:sz="8"/>
              <w:left w:val="single" w:color="64748B" w:sz="8"/>
              <w:bottom w:val="single" w:color="64748B" w:sz="8"/>
              <w:right w:val="single" w:color="64748B" w:sz="8"/>
            </w:tcBorders>
          </w:tcPr>
          <w:p>
            <w:r>
              <w:rPr>
                <w:sz w:val="20"/>
                <w:szCs w:val="20"/>
              </w:rPr>
              <w:t xml:space="preserve">Key benefit or risk estimates have wide confidence intervals or limited data</w:t>
            </w:r>
          </w:p>
        </w:tc>
        <w:tc>
          <w:tcPr>
            <w:tcW w:type="dxa" w:w="2800"/>
            <w:tcBorders>
              <w:top w:val="single" w:color="64748B" w:sz="8"/>
              <w:left w:val="single" w:color="64748B" w:sz="8"/>
              <w:bottom w:val="single" w:color="64748B" w:sz="8"/>
              <w:right w:val="single" w:color="64748B" w:sz="8"/>
            </w:tcBorders>
          </w:tcPr>
          <w:p>
            <w:r>
              <w:rPr>
                <w:sz w:val="20"/>
                <w:szCs w:val="20"/>
              </w:rPr>
              <w:t xml:space="preserve">When "what if" questions dominate the discussion</w:t>
            </w:r>
          </w:p>
        </w:tc>
      </w:tr>
      <w:tr>
        <w:tc>
          <w:tcPr>
            <w:tcW w:type="dxa" w:w="1800"/>
            <w:tcBorders>
              <w:top w:val="single" w:color="64748B" w:sz="8"/>
              <w:left w:val="single" w:color="64748B" w:sz="8"/>
              <w:bottom w:val="single" w:color="64748B" w:sz="8"/>
              <w:right w:val="single" w:color="64748B" w:sz="8"/>
            </w:tcBorders>
            <w:shd w:fill="F1F5F9" w:val="clear"/>
          </w:tcPr>
          <w:p>
            <w:r>
              <w:rPr>
                <w:b/>
                <w:bCs/>
                <w:sz w:val="20"/>
                <w:szCs w:val="20"/>
              </w:rPr>
              <w:t xml:space="preserve">Complex Trade-offs</w:t>
            </w:r>
          </w:p>
        </w:tc>
        <w:tc>
          <w:tcPr>
            <w:tcW w:type="dxa" w:w="3800"/>
            <w:tcBorders>
              <w:top w:val="single" w:color="64748B" w:sz="8"/>
              <w:left w:val="single" w:color="64748B" w:sz="8"/>
              <w:bottom w:val="single" w:color="64748B" w:sz="8"/>
              <w:right w:val="single" w:color="64748B" w:sz="8"/>
            </w:tcBorders>
            <w:shd w:fill="F1F5F9" w:val="clear"/>
          </w:tcPr>
          <w:p>
            <w:r>
              <w:rPr>
                <w:sz w:val="20"/>
                <w:szCs w:val="20"/>
              </w:rPr>
              <w:t xml:space="preserve">Multiple benefits and multiple risks with no obviously dominant option</w:t>
            </w:r>
          </w:p>
        </w:tc>
        <w:tc>
          <w:tcPr>
            <w:tcW w:type="dxa" w:w="2800"/>
            <w:tcBorders>
              <w:top w:val="single" w:color="64748B" w:sz="8"/>
              <w:left w:val="single" w:color="64748B" w:sz="8"/>
              <w:bottom w:val="single" w:color="64748B" w:sz="8"/>
              <w:right w:val="single" w:color="64748B" w:sz="8"/>
            </w:tcBorders>
            <w:shd w:fill="F1F5F9" w:val="clear"/>
          </w:tcPr>
          <w:p>
            <w:r>
              <w:rPr>
                <w:sz w:val="20"/>
                <w:szCs w:val="20"/>
              </w:rPr>
              <w:t xml:space="preserve">When simple comparison tables fail to clarify the decision</w:t>
            </w:r>
          </w:p>
        </w:tc>
      </w:tr>
      <w:tr>
        <w:tc>
          <w:tcPr>
            <w:tcW w:type="dxa" w:w="1800"/>
            <w:tcBorders>
              <w:top w:val="single" w:color="64748B" w:sz="8"/>
              <w:left w:val="single" w:color="64748B" w:sz="8"/>
              <w:bottom w:val="single" w:color="64748B" w:sz="8"/>
              <w:right w:val="single" w:color="64748B" w:sz="8"/>
            </w:tcBorders>
          </w:tcPr>
          <w:p>
            <w:r>
              <w:rPr>
                <w:b/>
                <w:bCs/>
                <w:sz w:val="20"/>
                <w:szCs w:val="20"/>
              </w:rPr>
              <w:t xml:space="preserve">Stakeholder Transparency</w:t>
            </w:r>
          </w:p>
        </w:tc>
        <w:tc>
          <w:tcPr>
            <w:tcW w:type="dxa" w:w="3800"/>
            <w:tcBorders>
              <w:top w:val="single" w:color="64748B" w:sz="8"/>
              <w:left w:val="single" w:color="64748B" w:sz="8"/>
              <w:bottom w:val="single" w:color="64748B" w:sz="8"/>
              <w:right w:val="single" w:color="64748B" w:sz="8"/>
            </w:tcBorders>
          </w:tcPr>
          <w:p>
            <w:r>
              <w:rPr>
                <w:sz w:val="20"/>
                <w:szCs w:val="20"/>
              </w:rPr>
              <w:t xml:space="preserve">Regulatory agencies or other stakeholders request explicit B-R quantification</w:t>
            </w:r>
          </w:p>
        </w:tc>
        <w:tc>
          <w:tcPr>
            <w:tcW w:type="dxa" w:w="2800"/>
            <w:tcBorders>
              <w:top w:val="single" w:color="64748B" w:sz="8"/>
              <w:left w:val="single" w:color="64748B" w:sz="8"/>
              <w:bottom w:val="single" w:color="64748B" w:sz="8"/>
              <w:right w:val="single" w:color="64748B" w:sz="8"/>
            </w:tcBorders>
          </w:tcPr>
          <w:p>
            <w:r>
              <w:rPr>
                <w:sz w:val="20"/>
                <w:szCs w:val="20"/>
              </w:rPr>
              <w:t xml:space="preserve">When documentation of reasoning process is paramount</w:t>
            </w:r>
          </w:p>
        </w:tc>
      </w:tr>
      <w:tr>
        <w:tc>
          <w:tcPr>
            <w:tcW w:type="dxa" w:w="1800"/>
            <w:tcBorders>
              <w:top w:val="single" w:color="64748B" w:sz="8"/>
              <w:left w:val="single" w:color="64748B" w:sz="8"/>
              <w:bottom w:val="single" w:color="64748B" w:sz="8"/>
              <w:right w:val="single" w:color="64748B" w:sz="8"/>
            </w:tcBorders>
            <w:shd w:fill="F1F5F9" w:val="clear"/>
          </w:tcPr>
          <w:p>
            <w:r>
              <w:rPr>
                <w:b/>
                <w:bCs/>
                <w:sz w:val="20"/>
                <w:szCs w:val="20"/>
              </w:rPr>
              <w:t xml:space="preserve">Patient Preference Integration</w:t>
            </w:r>
          </w:p>
        </w:tc>
        <w:tc>
          <w:tcPr>
            <w:tcW w:type="dxa" w:w="3800"/>
            <w:tcBorders>
              <w:top w:val="single" w:color="64748B" w:sz="8"/>
              <w:left w:val="single" w:color="64748B" w:sz="8"/>
              <w:bottom w:val="single" w:color="64748B" w:sz="8"/>
              <w:right w:val="single" w:color="64748B" w:sz="8"/>
            </w:tcBorders>
            <w:shd w:fill="F1F5F9" w:val="clear"/>
          </w:tcPr>
          <w:p>
            <w:r>
              <w:rPr>
                <w:sz w:val="20"/>
                <w:szCs w:val="20"/>
              </w:rPr>
              <w:t xml:space="preserve">Need to incorporate formal patient trade-off data into the decision</w:t>
            </w:r>
          </w:p>
        </w:tc>
        <w:tc>
          <w:tcPr>
            <w:tcW w:type="dxa" w:w="2800"/>
            <w:tcBorders>
              <w:top w:val="single" w:color="64748B" w:sz="8"/>
              <w:left w:val="single" w:color="64748B" w:sz="8"/>
              <w:bottom w:val="single" w:color="64748B" w:sz="8"/>
              <w:right w:val="single" w:color="64748B" w:sz="8"/>
            </w:tcBorders>
            <w:shd w:fill="F1F5F9" w:val="clear"/>
          </w:tcPr>
          <w:p>
            <w:r>
              <w:rPr>
                <w:sz w:val="20"/>
                <w:szCs w:val="20"/>
              </w:rPr>
              <w:t xml:space="preserve">When patient preference studies have been conducted</w:t>
            </w:r>
          </w:p>
        </w:tc>
      </w:tr>
    </w:tbl>
    <w:p>
      <w:pPr>
        <w:spacing w:before="200" w:after="100"/>
      </w:pPr>
      <w:r>
        <w:rPr>
          <w:b/>
          <w:bCs/>
          <w:color w:val="D97706"/>
        </w:rPr>
        <w:t xml:space="preserve">⚠ FAILURE MODE IDENTIFIED</w:t>
      </w:r>
    </w:p>
    <w:p>
      <w:pPr>
        <w:spacing w:after="200"/>
      </w:pPr>
      <w:r>
        <w:rPr>
          <w:b/>
          <w:bCs/>
        </w:rPr>
        <w:t xml:space="preserve">Over-engineering simple decisions: </w:t>
      </w:r>
      <w:r>
        <w:t xml:space="preserve">Applying sophisticated quantitative methods to decisions where benefits clearly dominate (or risks clearly dominate) adds complexity without value and may obscure rather than clarify the reasoning. Reserve quantitative analysis for genuinely challenging trade-offs.</w:t>
      </w:r>
    </w:p>
    <w:p>
      <w:r>
        <w:br w:type="page"/>
      </w:r>
    </w:p>
    <w:p>
      <w:pPr>
        <w:pStyle w:val="Heading1"/>
      </w:pPr>
      <w:r>
        <w:t xml:space="preserve">  DECISION FLOWCHART</w:t>
      </w:r>
    </w:p>
    <w:p>
      <w:pPr>
        <w:spacing w:after="200"/>
      </w:pPr>
      <w:r>
        <w:t xml:space="preserve">Navigate through the following decision nodes to determine whether quantitative analysis is warranted and, if so, which method(s) to employ. Start at Node 1.</w:t>
      </w:r>
    </w:p>
    <w:p>
      <w:pPr>
        <w:shd w:fill="DBEAFE" w:val="clear"/>
        <w:spacing w:before="200"/>
      </w:pPr>
      <w:r>
        <w:rPr>
          <w:b/>
          <w:bCs/>
          <w:color w:val="1A365D"/>
          <w:sz w:val="24"/>
          <w:szCs w:val="24"/>
        </w:rPr>
        <w:t xml:space="preserve">NODE 1: IS THE B-R TRADE-OFF CLEAR?</w:t>
      </w:r>
    </w:p>
    <w:p>
      <w:pPr>
        <w:shd w:fill="DBEAFE" w:val="clear"/>
      </w:pPr>
      <w:r>
        <w:t xml:space="preserve">After completing qualitative SBRF assessment, evaluate:</w:t>
      </w:r>
    </w:p>
    <w:p>
      <w:pPr>
        <w:pStyle w:val="ListParagraph"/>
        <w:numPr>
          <w:ilvl w:val="0"/>
          <w:numId w:val="2"/>
        </w:numPr>
        <w:shd w:fill="DBEAFE" w:val="clear"/>
      </w:pPr>
      <w:r>
        <w:t xml:space="preserve">Do benefits CLEARLY outweigh risks? → </w:t>
      </w:r>
      <w:r>
        <w:rPr>
          <w:b/>
          <w:bCs/>
        </w:rPr>
        <w:t xml:space="preserve">STOP.</w:t>
      </w:r>
      <w:r>
        <w:t xml:space="preserve"> Document conclusion. No quantitative analysis needed.</w:t>
      </w:r>
    </w:p>
    <w:p>
      <w:pPr>
        <w:pStyle w:val="ListParagraph"/>
        <w:numPr>
          <w:ilvl w:val="0"/>
          <w:numId w:val="2"/>
        </w:numPr>
        <w:shd w:fill="DBEAFE" w:val="clear"/>
      </w:pPr>
      <w:r>
        <w:t xml:space="preserve">Do risks CLEARLY outweigh benefits? → </w:t>
      </w:r>
      <w:r>
        <w:rPr>
          <w:b/>
          <w:bCs/>
        </w:rPr>
        <w:t xml:space="preserve">STOP.</w:t>
      </w:r>
      <w:r>
        <w:t xml:space="preserve"> Document conclusion. No quantitative analysis needed.</w:t>
      </w:r>
    </w:p>
    <w:p>
      <w:pPr>
        <w:pStyle w:val="ListParagraph"/>
        <w:numPr>
          <w:ilvl w:val="0"/>
          <w:numId w:val="2"/>
        </w:numPr>
        <w:shd w:fill="DBEAFE" w:val="clear"/>
        <w:spacing w:after="200"/>
      </w:pPr>
      <w:r>
        <w:t xml:space="preserve">Is the trade-off MARGINAL or UNCERTAIN? → Proceed to Node 2.</w:t>
      </w:r>
    </w:p>
    <w:p>
      <w:pPr>
        <w:shd w:fill="FEF3C7" w:val="clear"/>
      </w:pPr>
      <w:r>
        <w:rPr>
          <w:b/>
          <w:bCs/>
          <w:color w:val="1A365D"/>
          <w:sz w:val="24"/>
          <w:szCs w:val="24"/>
        </w:rPr>
        <w:t xml:space="preserve">NODE 2: IS THERE STAKEHOLDER DIVERGENCE?</w:t>
      </w:r>
    </w:p>
    <w:p>
      <w:pPr>
        <w:shd w:fill="FEF3C7" w:val="clear"/>
      </w:pPr>
      <w:r>
        <w:t xml:space="preserve">Assess BRMT and stakeholder alignment:</w:t>
      </w:r>
    </w:p>
    <w:p>
      <w:pPr>
        <w:pStyle w:val="ListParagraph"/>
        <w:numPr>
          <w:ilvl w:val="0"/>
          <w:numId w:val="2"/>
        </w:numPr>
        <w:shd w:fill="FEF3C7" w:val="clear"/>
      </w:pPr>
      <w:r>
        <w:t xml:space="preserve">Do all team members reach the same conclusion? → Proceed to Node 3.</w:t>
      </w:r>
    </w:p>
    <w:p>
      <w:pPr>
        <w:pStyle w:val="ListParagraph"/>
        <w:numPr>
          <w:ilvl w:val="0"/>
          <w:numId w:val="2"/>
        </w:numPr>
        <w:shd w:fill="FEF3C7" w:val="clear"/>
      </w:pPr>
      <w:r>
        <w:t xml:space="preserve">Do team members disagree on the B-R conclusion? → </w:t>
      </w:r>
      <w:r>
        <w:rPr>
          <w:b/>
          <w:bCs/>
          <w:color w:val="0D9488"/>
        </w:rPr>
        <w:t xml:space="preserve">QUANTITATIVE ANALYSIS WARRANTED.</w:t>
      </w:r>
      <w:r>
        <w:t xml:space="preserve"> Proceed to Node 4.</w:t>
      </w:r>
    </w:p>
    <w:p>
      <w:pPr>
        <w:pStyle w:val="ListParagraph"/>
        <w:numPr>
          <w:ilvl w:val="0"/>
          <w:numId w:val="2"/>
        </w:numPr>
        <w:shd w:fill="FEF3C7" w:val="clear"/>
        <w:spacing w:after="200"/>
      </w:pPr>
      <w:r>
        <w:t xml:space="preserve">Do patient views differ significantly from HCP views? → </w:t>
      </w:r>
      <w:r>
        <w:rPr>
          <w:b/>
          <w:bCs/>
          <w:color w:val="0D9488"/>
        </w:rPr>
        <w:t xml:space="preserve">QUANTITATIVE ANALYSIS WARRANTED.</w:t>
      </w:r>
      <w:r>
        <w:t xml:space="preserve"> Proceed to Node 4.</w:t>
      </w:r>
    </w:p>
    <w:p>
      <w:pPr>
        <w:shd w:fill="DCFCE7" w:val="clear"/>
      </w:pPr>
      <w:r>
        <w:rPr>
          <w:b/>
          <w:bCs/>
          <w:color w:val="1A365D"/>
          <w:sz w:val="24"/>
          <w:szCs w:val="24"/>
        </w:rPr>
        <w:t xml:space="preserve">NODE 3: ARE THERE SIGNIFICANT UNCERTAINTIES?</w:t>
      </w:r>
    </w:p>
    <w:p>
      <w:pPr>
        <w:shd w:fill="DCFCE7" w:val="clear"/>
      </w:pPr>
      <w:r>
        <w:t xml:space="preserve">Evaluate data quality and completeness:</w:t>
      </w:r>
    </w:p>
    <w:p>
      <w:pPr>
        <w:pStyle w:val="ListParagraph"/>
        <w:numPr>
          <w:ilvl w:val="0"/>
          <w:numId w:val="2"/>
        </w:numPr>
        <w:shd w:fill="DCFCE7" w:val="clear"/>
      </w:pPr>
      <w:r>
        <w:t xml:space="preserve">Are benefit/risk estimates precise with narrow CIs? → Consider if documentation needs require quantification. May not need formal methods.</w:t>
      </w:r>
    </w:p>
    <w:p>
      <w:pPr>
        <w:pStyle w:val="ListParagraph"/>
        <w:numPr>
          <w:ilvl w:val="0"/>
          <w:numId w:val="2"/>
        </w:numPr>
        <w:shd w:fill="DCFCE7" w:val="clear"/>
      </w:pPr>
      <w:r>
        <w:t xml:space="preserve">Are there wide confidence intervals or sparse data? → </w:t>
      </w:r>
      <w:r>
        <w:rPr>
          <w:b/>
          <w:bCs/>
          <w:color w:val="0D9488"/>
        </w:rPr>
        <w:t xml:space="preserve">QUANTITATIVE ANALYSIS MAY ADD VALUE.</w:t>
      </w:r>
      <w:r>
        <w:t xml:space="preserve"> Proceed to Node 4.</w:t>
      </w:r>
    </w:p>
    <w:p>
      <w:pPr>
        <w:pStyle w:val="ListParagraph"/>
        <w:numPr>
          <w:ilvl w:val="0"/>
          <w:numId w:val="2"/>
        </w:numPr>
        <w:shd w:fill="DCFCE7" w:val="clear"/>
        <w:spacing w:after="200"/>
      </w:pPr>
      <w:r>
        <w:t xml:space="preserve">Are there critical knowledge gaps affecting the decision? → </w:t>
      </w:r>
      <w:r>
        <w:rPr>
          <w:b/>
          <w:bCs/>
          <w:color w:val="0D9488"/>
        </w:rPr>
        <w:t xml:space="preserve">QUANTITATIVE ANALYSIS WARRANTED.</w:t>
      </w:r>
      <w:r>
        <w:t xml:space="preserve"> Proceed to Node 4.</w:t>
      </w:r>
    </w:p>
    <w:p>
      <w:pPr>
        <w:shd w:fill="EDE9FE" w:val="clear"/>
      </w:pPr>
      <w:r>
        <w:rPr>
          <w:b/>
          <w:bCs/>
          <w:color w:val="1A365D"/>
          <w:sz w:val="24"/>
          <w:szCs w:val="24"/>
        </w:rPr>
        <w:t xml:space="preserve">NODE 4: WHAT IS THE PRIMARY ANALYTICAL NEED?</w:t>
      </w:r>
    </w:p>
    <w:p>
      <w:pPr>
        <w:shd w:fill="EDE9FE" w:val="clear"/>
      </w:pPr>
      <w:r>
        <w:t xml:space="preserve">Identify the dominant requirement:</w:t>
      </w:r>
    </w:p>
    <w:p>
      <w:pPr>
        <w:pStyle w:val="ListParagraph"/>
        <w:numPr>
          <w:ilvl w:val="0"/>
          <w:numId w:val="2"/>
        </w:numPr>
        <w:shd w:fill="EDE9FE" w:val="clear"/>
      </w:pPr>
      <w:r>
        <w:t xml:space="preserve">Need to INTEGRATE multiple criteria with explicit weights → Use </w:t>
      </w:r>
      <w:r>
        <w:rPr>
          <w:b/>
          <w:bCs/>
        </w:rPr>
        <w:t xml:space="preserve">MCDA</w:t>
      </w:r>
      <w:r>
        <w:t xml:space="preserve"> (Node 5A)</w:t>
      </w:r>
    </w:p>
    <w:p>
      <w:pPr>
        <w:pStyle w:val="ListParagraph"/>
        <w:numPr>
          <w:ilvl w:val="0"/>
          <w:numId w:val="2"/>
        </w:numPr>
        <w:shd w:fill="EDE9FE" w:val="clear"/>
      </w:pPr>
      <w:r>
        <w:t xml:space="preserve">Need to RANK outcomes by desirability → Use </w:t>
      </w:r>
      <w:r>
        <w:rPr>
          <w:b/>
          <w:bCs/>
        </w:rPr>
        <w:t xml:space="preserve">DOOR</w:t>
      </w:r>
      <w:r>
        <w:t xml:space="preserve"> (Node 5B)</w:t>
      </w:r>
    </w:p>
    <w:p>
      <w:pPr>
        <w:pStyle w:val="ListParagraph"/>
        <w:numPr>
          <w:ilvl w:val="0"/>
          <w:numId w:val="2"/>
        </w:numPr>
        <w:shd w:fill="EDE9FE" w:val="clear"/>
      </w:pPr>
      <w:r>
        <w:t xml:space="preserve">Need to MODEL population-level impact → Use </w:t>
      </w:r>
      <w:r>
        <w:rPr>
          <w:b/>
          <w:bCs/>
        </w:rPr>
        <w:t xml:space="preserve">SIMULATION</w:t>
      </w:r>
      <w:r>
        <w:t xml:space="preserve"> (Node 5C)</w:t>
      </w:r>
    </w:p>
    <w:p>
      <w:pPr>
        <w:pStyle w:val="ListParagraph"/>
        <w:numPr>
          <w:ilvl w:val="0"/>
          <w:numId w:val="2"/>
        </w:numPr>
        <w:shd w:fill="EDE9FE" w:val="clear"/>
      </w:pPr>
      <w:r>
        <w:t xml:space="preserve">Need to CHARACTERIZE uncertainty range → Use </w:t>
      </w:r>
      <w:r>
        <w:rPr>
          <w:b/>
          <w:bCs/>
        </w:rPr>
        <w:t xml:space="preserve">SENSITIVITY ANALYSIS</w:t>
      </w:r>
      <w:r>
        <w:t xml:space="preserve"> (Node 5D)</w:t>
      </w:r>
    </w:p>
    <w:p>
      <w:pPr>
        <w:pStyle w:val="ListParagraph"/>
        <w:numPr>
          <w:ilvl w:val="0"/>
          <w:numId w:val="2"/>
        </w:numPr>
        <w:shd w:fill="EDE9FE" w:val="clear"/>
        <w:spacing w:after="200"/>
      </w:pPr>
      <w:r>
        <w:t xml:space="preserve">Need SIMPLE comparative metrics → Use </w:t>
      </w:r>
      <w:r>
        <w:rPr>
          <w:b/>
          <w:bCs/>
        </w:rPr>
        <w:t xml:space="preserve">NNT/NNH/METRICS</w:t>
      </w:r>
      <w:r>
        <w:t xml:space="preserve"> (Node 5E)</w:t>
      </w:r>
    </w:p>
    <w:p>
      <w:r>
        <w:br w:type="page"/>
      </w:r>
    </w:p>
    <w:p>
      <w:pPr>
        <w:pStyle w:val="Heading1"/>
      </w:pPr>
      <w:r>
        <w:t xml:space="preserve">  METHOD SELECTION GUIDE</w:t>
      </w:r>
    </w:p>
    <w:p>
      <w:pPr>
        <w:pStyle w:val="Heading2"/>
      </w:pPr>
      <w:r>
        <w:t xml:space="preserve">NODE 5A: MULTI-CRITERIA DECISION ANALYSIS (MCDA)</w:t>
      </w:r>
    </w:p>
    <w:p>
      <w:pPr>
        <w:spacing w:after="100"/>
      </w:pPr>
      <w:r>
        <w:rPr>
          <w:b/>
          <w:bCs/>
        </w:rPr>
        <w:t xml:space="preserve">Purpose: </w:t>
      </w:r>
      <w:r>
        <w:t xml:space="preserve">Integrate multiple benefit and risk criteria with explicit preference weights to calculate an overall B-R score enabling direct comparison between treatment options.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800"/>
      </w:tblGrid>
      <w:tr>
        <w:trPr>
          <w:tblHeader/>
        </w:trPr>
        <w:tc>
          <w:tcPr>
            <w:tcW w:type="dxa" w:w="2800"/>
            <w:tcBorders>
              <w:top w:val="single" w:color="64748B" w:sz="8"/>
              <w:left w:val="single" w:color="64748B" w:sz="8"/>
              <w:bottom w:val="single" w:color="64748B" w:sz="8"/>
              <w:right w:val="single" w:color="64748B" w:sz="8"/>
            </w:tcBorders>
            <w:shd w:fill="0D9488" w:val="clear"/>
          </w:tcPr>
          <w:p>
            <w:pPr>
              <w:jc w:val="center"/>
            </w:pPr>
            <w:r>
              <w:rPr>
                <w:b/>
                <w:bCs/>
                <w:color w:val="FFFFFF"/>
                <w:sz w:val="20"/>
                <w:szCs w:val="20"/>
              </w:rPr>
              <w:t xml:space="preserve">Use When</w:t>
            </w:r>
          </w:p>
        </w:tc>
        <w:tc>
          <w:tcPr>
            <w:tcW w:type="dxa" w:w="2600"/>
            <w:tcBorders>
              <w:top w:val="single" w:color="64748B" w:sz="8"/>
              <w:left w:val="single" w:color="64748B" w:sz="8"/>
              <w:bottom w:val="single" w:color="64748B" w:sz="8"/>
              <w:right w:val="single" w:color="64748B" w:sz="8"/>
            </w:tcBorders>
            <w:shd w:fill="0D9488" w:val="clear"/>
          </w:tcPr>
          <w:p>
            <w:pPr>
              <w:jc w:val="center"/>
            </w:pPr>
            <w:r>
              <w:rPr>
                <w:b/>
                <w:bCs/>
                <w:color w:val="FFFFFF"/>
                <w:sz w:val="20"/>
                <w:szCs w:val="20"/>
              </w:rPr>
              <w:t xml:space="preserve">Don't Use When</w:t>
            </w:r>
          </w:p>
        </w:tc>
        <w:tc>
          <w:tcPr>
            <w:tcW w:type="dxa" w:w="2800"/>
            <w:tcBorders>
              <w:top w:val="single" w:color="64748B" w:sz="8"/>
              <w:left w:val="single" w:color="64748B" w:sz="8"/>
              <w:bottom w:val="single" w:color="64748B" w:sz="8"/>
              <w:right w:val="single" w:color="64748B" w:sz="8"/>
            </w:tcBorders>
            <w:shd w:fill="0D9488" w:val="clear"/>
          </w:tcPr>
          <w:p>
            <w:pPr>
              <w:jc w:val="center"/>
            </w:pPr>
            <w:r>
              <w:rPr>
                <w:b/>
                <w:bCs/>
                <w:color w:val="FFFFFF"/>
                <w:sz w:val="20"/>
                <w:szCs w:val="20"/>
              </w:rPr>
              <w:t xml:space="preserve">Key Requirements</w:t>
            </w:r>
          </w:p>
        </w:tc>
      </w:tr>
      <w:tr>
        <w:tc>
          <w:tcPr>
            <w:tcW w:type="dxa" w:w="2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Multiple benefits and risks with different units</w:t>
            </w:r>
          </w:p>
          <w:p>
            <w:pPr>
              <w:pStyle w:val="ListParagraph"/>
              <w:numPr>
                <w:ilvl w:val="0"/>
                <w:numId w:val="2"/>
              </w:numPr>
            </w:pPr>
            <w:r>
              <w:rPr>
                <w:sz w:val="18"/>
                <w:szCs w:val="18"/>
              </w:rPr>
              <w:t xml:space="preserve">Need to incorporate stakeholder weights</w:t>
            </w:r>
          </w:p>
          <w:p>
            <w:pPr>
              <w:pStyle w:val="ListParagraph"/>
              <w:numPr>
                <w:ilvl w:val="0"/>
                <w:numId w:val="2"/>
              </w:numPr>
            </w:pPr>
            <w:r>
              <w:rPr>
                <w:sz w:val="18"/>
                <w:szCs w:val="18"/>
              </w:rPr>
              <w:t xml:space="preserve">Trade-offs require explicit quantification</w:t>
            </w:r>
          </w:p>
          <w:p>
            <w:pPr>
              <w:pStyle w:val="ListParagraph"/>
              <w:numPr>
                <w:ilvl w:val="0"/>
                <w:numId w:val="2"/>
              </w:numPr>
            </w:pPr>
            <w:r>
              <w:rPr>
                <w:sz w:val="18"/>
                <w:szCs w:val="18"/>
              </w:rPr>
              <w:t xml:space="preserve">Comparing multiple treatment options</w:t>
            </w:r>
          </w:p>
          <w:p>
            <w:pPr>
              <w:pStyle w:val="ListParagraph"/>
              <w:numPr>
                <w:ilvl w:val="0"/>
                <w:numId w:val="2"/>
              </w:numPr>
            </w:pPr>
            <w:r>
              <w:rPr>
                <w:sz w:val="18"/>
                <w:szCs w:val="18"/>
              </w:rPr>
              <w:t xml:space="preserve">Patient preference data available</w:t>
            </w:r>
          </w:p>
        </w:tc>
        <w:tc>
          <w:tcPr>
            <w:tcW w:type="dxa" w:w="26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Single benefit vs single risk</w:t>
            </w:r>
          </w:p>
          <w:p>
            <w:pPr>
              <w:pStyle w:val="ListParagraph"/>
              <w:numPr>
                <w:ilvl w:val="0"/>
                <w:numId w:val="2"/>
              </w:numPr>
            </w:pPr>
            <w:r>
              <w:rPr>
                <w:sz w:val="18"/>
                <w:szCs w:val="18"/>
              </w:rPr>
              <w:t xml:space="preserve">B-R conclusion is obvious</w:t>
            </w:r>
          </w:p>
          <w:p>
            <w:pPr>
              <w:pStyle w:val="ListParagraph"/>
              <w:numPr>
                <w:ilvl w:val="0"/>
                <w:numId w:val="2"/>
              </w:numPr>
            </w:pPr>
            <w:r>
              <w:rPr>
                <w:sz w:val="18"/>
                <w:szCs w:val="18"/>
              </w:rPr>
              <w:t xml:space="preserve">Criteria are not preference-independent</w:t>
            </w:r>
          </w:p>
          <w:p>
            <w:pPr>
              <w:pStyle w:val="ListParagraph"/>
              <w:numPr>
                <w:ilvl w:val="0"/>
                <w:numId w:val="2"/>
              </w:numPr>
            </w:pPr>
            <w:r>
              <w:rPr>
                <w:sz w:val="18"/>
                <w:szCs w:val="18"/>
              </w:rPr>
              <w:t xml:space="preserve">Data quality insufficient for scoring</w:t>
            </w:r>
          </w:p>
        </w:tc>
        <w:tc>
          <w:tcPr>
            <w:tcW w:type="dxa" w:w="2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Defined criteria (value tree)</w:t>
            </w:r>
          </w:p>
          <w:p>
            <w:pPr>
              <w:pStyle w:val="ListParagraph"/>
              <w:numPr>
                <w:ilvl w:val="0"/>
                <w:numId w:val="2"/>
              </w:numPr>
            </w:pPr>
            <w:r>
              <w:rPr>
                <w:sz w:val="18"/>
                <w:szCs w:val="18"/>
              </w:rPr>
              <w:t xml:space="preserve">Performance data for each criterion</w:t>
            </w:r>
          </w:p>
          <w:p>
            <w:pPr>
              <w:pStyle w:val="ListParagraph"/>
              <w:numPr>
                <w:ilvl w:val="0"/>
                <w:numId w:val="2"/>
              </w:numPr>
            </w:pPr>
            <w:r>
              <w:rPr>
                <w:sz w:val="18"/>
                <w:szCs w:val="18"/>
              </w:rPr>
              <w:t xml:space="preserve">Preference weights from stakeholders</w:t>
            </w:r>
          </w:p>
          <w:p>
            <w:pPr>
              <w:pStyle w:val="ListParagraph"/>
              <w:numPr>
                <w:ilvl w:val="0"/>
                <w:numId w:val="2"/>
              </w:numPr>
            </w:pPr>
            <w:r>
              <w:rPr>
                <w:sz w:val="18"/>
                <w:szCs w:val="18"/>
              </w:rPr>
              <w:t xml:space="preserve">Best/worst reference values</w:t>
            </w:r>
          </w:p>
          <w:p>
            <w:pPr>
              <w:pStyle w:val="ListParagraph"/>
              <w:numPr>
                <w:ilvl w:val="0"/>
                <w:numId w:val="2"/>
              </w:numPr>
            </w:pPr>
            <w:r>
              <w:rPr>
                <w:sz w:val="18"/>
                <w:szCs w:val="18"/>
              </w:rPr>
              <w:t xml:space="preserve">Cross-functional team agreement</w:t>
            </w:r>
          </w:p>
        </w:tc>
      </w:tr>
    </w:tbl>
    <w:p>
      <w:pPr>
        <w:pStyle w:val="Heading2"/>
        <w:spacing w:before="300"/>
      </w:pPr>
      <w:r>
        <w:t xml:space="preserve">NODE 5B: DESIRABILITY OF OUTCOME RANKING (DOOR)</w:t>
      </w:r>
    </w:p>
    <w:p>
      <w:pPr>
        <w:spacing w:after="100"/>
      </w:pPr>
      <w:r>
        <w:rPr>
          <w:b/>
          <w:bCs/>
        </w:rPr>
        <w:t xml:space="preserve">Purpose: </w:t>
      </w:r>
      <w:r>
        <w:t xml:space="preserve">Rank all possible patient outcomes by clinical desirability, creating an ordinal hierarchy that integrates both efficacy and safety into a single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800"/>
      </w:tblGrid>
      <w:tr>
        <w:trPr>
          <w:tblHeader/>
        </w:trPr>
        <w:tc>
          <w:tcPr>
            <w:tcW w:type="dxa" w:w="2800"/>
            <w:tcBorders>
              <w:top w:val="single" w:color="64748B" w:sz="8"/>
              <w:left w:val="single" w:color="64748B" w:sz="8"/>
              <w:bottom w:val="single" w:color="64748B" w:sz="8"/>
              <w:right w:val="single" w:color="64748B" w:sz="8"/>
            </w:tcBorders>
            <w:shd w:fill="D97706" w:val="clear"/>
          </w:tcPr>
          <w:p>
            <w:pPr>
              <w:jc w:val="center"/>
            </w:pPr>
            <w:r>
              <w:rPr>
                <w:b/>
                <w:bCs/>
                <w:color w:val="FFFFFF"/>
                <w:sz w:val="20"/>
                <w:szCs w:val="20"/>
              </w:rPr>
              <w:t xml:space="preserve">Use When</w:t>
            </w:r>
          </w:p>
        </w:tc>
        <w:tc>
          <w:tcPr>
            <w:tcW w:type="dxa" w:w="2600"/>
            <w:tcBorders>
              <w:top w:val="single" w:color="64748B" w:sz="8"/>
              <w:left w:val="single" w:color="64748B" w:sz="8"/>
              <w:bottom w:val="single" w:color="64748B" w:sz="8"/>
              <w:right w:val="single" w:color="64748B" w:sz="8"/>
            </w:tcBorders>
            <w:shd w:fill="D97706" w:val="clear"/>
          </w:tcPr>
          <w:p>
            <w:pPr>
              <w:jc w:val="center"/>
            </w:pPr>
            <w:r>
              <w:rPr>
                <w:b/>
                <w:bCs/>
                <w:color w:val="FFFFFF"/>
                <w:sz w:val="20"/>
                <w:szCs w:val="20"/>
              </w:rPr>
              <w:t xml:space="preserve">Don't Use When</w:t>
            </w:r>
          </w:p>
        </w:tc>
        <w:tc>
          <w:tcPr>
            <w:tcW w:type="dxa" w:w="2800"/>
            <w:tcBorders>
              <w:top w:val="single" w:color="64748B" w:sz="8"/>
              <w:left w:val="single" w:color="64748B" w:sz="8"/>
              <w:bottom w:val="single" w:color="64748B" w:sz="8"/>
              <w:right w:val="single" w:color="64748B" w:sz="8"/>
            </w:tcBorders>
            <w:shd w:fill="D97706" w:val="clear"/>
          </w:tcPr>
          <w:p>
            <w:pPr>
              <w:jc w:val="center"/>
            </w:pPr>
            <w:r>
              <w:rPr>
                <w:b/>
                <w:bCs/>
                <w:color w:val="FFFFFF"/>
                <w:sz w:val="20"/>
                <w:szCs w:val="20"/>
              </w:rPr>
              <w:t xml:space="preserve">Key Requirements</w:t>
            </w:r>
          </w:p>
        </w:tc>
      </w:tr>
      <w:tr>
        <w:tc>
          <w:tcPr>
            <w:tcW w:type="dxa" w:w="2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Outcomes can be meaningfully ranked</w:t>
            </w:r>
          </w:p>
          <w:p>
            <w:pPr>
              <w:pStyle w:val="ListParagraph"/>
              <w:numPr>
                <w:ilvl w:val="0"/>
                <w:numId w:val="2"/>
              </w:numPr>
            </w:pPr>
            <w:r>
              <w:rPr>
                <w:sz w:val="18"/>
                <w:szCs w:val="18"/>
              </w:rPr>
              <w:t xml:space="preserve">Need to capture partial responses</w:t>
            </w:r>
          </w:p>
          <w:p>
            <w:pPr>
              <w:pStyle w:val="ListParagraph"/>
              <w:numPr>
                <w:ilvl w:val="0"/>
                <w:numId w:val="2"/>
              </w:numPr>
            </w:pPr>
            <w:r>
              <w:rPr>
                <w:sz w:val="18"/>
                <w:szCs w:val="18"/>
              </w:rPr>
              <w:t xml:space="preserve">Efficacy and safety interact</w:t>
            </w:r>
          </w:p>
          <w:p>
            <w:pPr>
              <w:pStyle w:val="ListParagraph"/>
              <w:numPr>
                <w:ilvl w:val="0"/>
                <w:numId w:val="2"/>
              </w:numPr>
            </w:pPr>
            <w:r>
              <w:rPr>
                <w:sz w:val="18"/>
                <w:szCs w:val="18"/>
              </w:rPr>
              <w:t xml:space="preserve">Binary endpoints oversimplify</w:t>
            </w:r>
          </w:p>
        </w:tc>
        <w:tc>
          <w:tcPr>
            <w:tcW w:type="dxa" w:w="26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Outcomes are incommensurable</w:t>
            </w:r>
          </w:p>
          <w:p>
            <w:pPr>
              <w:pStyle w:val="ListParagraph"/>
              <w:numPr>
                <w:ilvl w:val="0"/>
                <w:numId w:val="2"/>
              </w:numPr>
            </w:pPr>
            <w:r>
              <w:rPr>
                <w:sz w:val="18"/>
                <w:szCs w:val="18"/>
              </w:rPr>
              <w:t xml:space="preserve">Ranking is highly subjective</w:t>
            </w:r>
          </w:p>
          <w:p>
            <w:pPr>
              <w:pStyle w:val="ListParagraph"/>
              <w:numPr>
                <w:ilvl w:val="0"/>
                <w:numId w:val="2"/>
              </w:numPr>
            </w:pPr>
            <w:r>
              <w:rPr>
                <w:sz w:val="18"/>
                <w:szCs w:val="18"/>
              </w:rPr>
              <w:t xml:space="preserve">Time-to-event dominates</w:t>
            </w:r>
          </w:p>
          <w:p>
            <w:pPr>
              <w:pStyle w:val="ListParagraph"/>
              <w:numPr>
                <w:ilvl w:val="0"/>
                <w:numId w:val="2"/>
              </w:numPr>
            </w:pPr>
            <w:r>
              <w:rPr>
                <w:sz w:val="18"/>
                <w:szCs w:val="18"/>
              </w:rPr>
              <w:t xml:space="preserve">Simple response rates suffice</w:t>
            </w:r>
          </w:p>
        </w:tc>
        <w:tc>
          <w:tcPr>
            <w:tcW w:type="dxa" w:w="2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Clear outcome categories</w:t>
            </w:r>
          </w:p>
          <w:p>
            <w:pPr>
              <w:pStyle w:val="ListParagraph"/>
              <w:numPr>
                <w:ilvl w:val="0"/>
                <w:numId w:val="2"/>
              </w:numPr>
            </w:pPr>
            <w:r>
              <w:rPr>
                <w:sz w:val="18"/>
                <w:szCs w:val="18"/>
              </w:rPr>
              <w:t xml:space="preserve">Clinical consensus on ranking</w:t>
            </w:r>
          </w:p>
          <w:p>
            <w:pPr>
              <w:pStyle w:val="ListParagraph"/>
              <w:numPr>
                <w:ilvl w:val="0"/>
                <w:numId w:val="2"/>
              </w:numPr>
            </w:pPr>
            <w:r>
              <w:rPr>
                <w:sz w:val="18"/>
                <w:szCs w:val="18"/>
              </w:rPr>
              <w:t xml:space="preserve">Patient-level data available</w:t>
            </w:r>
          </w:p>
          <w:p>
            <w:pPr>
              <w:pStyle w:val="ListParagraph"/>
              <w:numPr>
                <w:ilvl w:val="0"/>
                <w:numId w:val="2"/>
              </w:numPr>
            </w:pPr>
            <w:r>
              <w:rPr>
                <w:sz w:val="18"/>
                <w:szCs w:val="18"/>
              </w:rPr>
              <w:t xml:space="preserve">Statistical expertise</w:t>
            </w:r>
          </w:p>
        </w:tc>
      </w:tr>
    </w:tbl>
    <w:p>
      <w:pPr>
        <w:pStyle w:val="Heading2"/>
        <w:spacing w:before="300"/>
      </w:pPr>
      <w:r>
        <w:t xml:space="preserve">NODE 5C: SIMULATION METHODS (Monte Carlo / Probabilistic)</w:t>
      </w:r>
    </w:p>
    <w:p>
      <w:pPr>
        <w:spacing w:after="100"/>
      </w:pPr>
      <w:r>
        <w:rPr>
          <w:b/>
          <w:bCs/>
        </w:rPr>
        <w:t xml:space="preserve">Purpose: </w:t>
      </w:r>
      <w:r>
        <w:t xml:space="preserve">Model population-level benefits and risks under various assumptions, incorporating parameter uncertainty to generate probability distributions of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800"/>
      </w:tblGrid>
      <w:tr>
        <w:trPr>
          <w:tblHeader/>
        </w:trPr>
        <w:tc>
          <w:tcPr>
            <w:tcW w:type="dxa" w:w="2800"/>
            <w:tcBorders>
              <w:top w:val="single" w:color="64748B" w:sz="8"/>
              <w:left w:val="single" w:color="64748B" w:sz="8"/>
              <w:bottom w:val="single" w:color="64748B" w:sz="8"/>
              <w:right w:val="single" w:color="64748B" w:sz="8"/>
            </w:tcBorders>
            <w:shd w:fill="16A34A" w:val="clear"/>
          </w:tcPr>
          <w:p>
            <w:pPr>
              <w:jc w:val="center"/>
            </w:pPr>
            <w:r>
              <w:rPr>
                <w:b/>
                <w:bCs/>
                <w:color w:val="FFFFFF"/>
                <w:sz w:val="20"/>
                <w:szCs w:val="20"/>
              </w:rPr>
              <w:t xml:space="preserve">Use When</w:t>
            </w:r>
          </w:p>
        </w:tc>
        <w:tc>
          <w:tcPr>
            <w:tcW w:type="dxa" w:w="2600"/>
            <w:tcBorders>
              <w:top w:val="single" w:color="64748B" w:sz="8"/>
              <w:left w:val="single" w:color="64748B" w:sz="8"/>
              <w:bottom w:val="single" w:color="64748B" w:sz="8"/>
              <w:right w:val="single" w:color="64748B" w:sz="8"/>
            </w:tcBorders>
            <w:shd w:fill="16A34A" w:val="clear"/>
          </w:tcPr>
          <w:p>
            <w:pPr>
              <w:jc w:val="center"/>
            </w:pPr>
            <w:r>
              <w:rPr>
                <w:b/>
                <w:bCs/>
                <w:color w:val="FFFFFF"/>
                <w:sz w:val="20"/>
                <w:szCs w:val="20"/>
              </w:rPr>
              <w:t xml:space="preserve">Don't Use When</w:t>
            </w:r>
          </w:p>
        </w:tc>
        <w:tc>
          <w:tcPr>
            <w:tcW w:type="dxa" w:w="2800"/>
            <w:tcBorders>
              <w:top w:val="single" w:color="64748B" w:sz="8"/>
              <w:left w:val="single" w:color="64748B" w:sz="8"/>
              <w:bottom w:val="single" w:color="64748B" w:sz="8"/>
              <w:right w:val="single" w:color="64748B" w:sz="8"/>
            </w:tcBorders>
            <w:shd w:fill="16A34A" w:val="clear"/>
          </w:tcPr>
          <w:p>
            <w:pPr>
              <w:jc w:val="center"/>
            </w:pPr>
            <w:r>
              <w:rPr>
                <w:b/>
                <w:bCs/>
                <w:color w:val="FFFFFF"/>
                <w:sz w:val="20"/>
                <w:szCs w:val="20"/>
              </w:rPr>
              <w:t xml:space="preserve">Key Requirements</w:t>
            </w:r>
          </w:p>
        </w:tc>
      </w:tr>
      <w:tr>
        <w:tc>
          <w:tcPr>
            <w:tcW w:type="dxa" w:w="2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Need population-level projections</w:t>
            </w:r>
          </w:p>
          <w:p>
            <w:pPr>
              <w:pStyle w:val="ListParagraph"/>
              <w:numPr>
                <w:ilvl w:val="0"/>
                <w:numId w:val="2"/>
              </w:numPr>
            </w:pPr>
            <w:r>
              <w:rPr>
                <w:sz w:val="18"/>
                <w:szCs w:val="18"/>
              </w:rPr>
              <w:t xml:space="preserve">Multiple uncertain parameters</w:t>
            </w:r>
          </w:p>
          <w:p>
            <w:pPr>
              <w:pStyle w:val="ListParagraph"/>
              <w:numPr>
                <w:ilvl w:val="0"/>
                <w:numId w:val="2"/>
              </w:numPr>
            </w:pPr>
            <w:r>
              <w:rPr>
                <w:sz w:val="18"/>
                <w:szCs w:val="18"/>
              </w:rPr>
              <w:t xml:space="preserve">Disease incidence varies by scenario</w:t>
            </w:r>
          </w:p>
          <w:p>
            <w:pPr>
              <w:pStyle w:val="ListParagraph"/>
              <w:numPr>
                <w:ilvl w:val="0"/>
                <w:numId w:val="2"/>
              </w:numPr>
            </w:pPr>
            <w:r>
              <w:rPr>
                <w:sz w:val="18"/>
                <w:szCs w:val="18"/>
              </w:rPr>
              <w:t xml:space="preserve">Vaccine or public health decisions</w:t>
            </w:r>
          </w:p>
        </w:tc>
        <w:tc>
          <w:tcPr>
            <w:tcW w:type="dxa" w:w="26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Individual patient decisions</w:t>
            </w:r>
          </w:p>
          <w:p>
            <w:pPr>
              <w:pStyle w:val="ListParagraph"/>
              <w:numPr>
                <w:ilvl w:val="0"/>
                <w:numId w:val="2"/>
              </w:numPr>
            </w:pPr>
            <w:r>
              <w:rPr>
                <w:sz w:val="18"/>
                <w:szCs w:val="18"/>
              </w:rPr>
              <w:t xml:space="preserve">Parameters are well-characterized</w:t>
            </w:r>
          </w:p>
          <w:p>
            <w:pPr>
              <w:pStyle w:val="ListParagraph"/>
              <w:numPr>
                <w:ilvl w:val="0"/>
                <w:numId w:val="2"/>
              </w:numPr>
            </w:pPr>
            <w:r>
              <w:rPr>
                <w:sz w:val="18"/>
                <w:szCs w:val="18"/>
              </w:rPr>
              <w:t xml:space="preserve">Simple direct comparison suffices</w:t>
            </w:r>
          </w:p>
          <w:p>
            <w:pPr>
              <w:pStyle w:val="ListParagraph"/>
              <w:numPr>
                <w:ilvl w:val="0"/>
                <w:numId w:val="2"/>
              </w:numPr>
            </w:pPr>
            <w:r>
              <w:rPr>
                <w:sz w:val="18"/>
                <w:szCs w:val="18"/>
              </w:rPr>
              <w:t xml:space="preserve">Resources for modeling limited</w:t>
            </w:r>
          </w:p>
        </w:tc>
        <w:tc>
          <w:tcPr>
            <w:tcW w:type="dxa" w:w="2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Parameter distributions defined</w:t>
            </w:r>
          </w:p>
          <w:p>
            <w:pPr>
              <w:pStyle w:val="ListParagraph"/>
              <w:numPr>
                <w:ilvl w:val="0"/>
                <w:numId w:val="2"/>
              </w:numPr>
            </w:pPr>
            <w:r>
              <w:rPr>
                <w:sz w:val="18"/>
                <w:szCs w:val="18"/>
              </w:rPr>
              <w:t xml:space="preserve">Model structure validated</w:t>
            </w:r>
          </w:p>
          <w:p>
            <w:pPr>
              <w:pStyle w:val="ListParagraph"/>
              <w:numPr>
                <w:ilvl w:val="0"/>
                <w:numId w:val="2"/>
              </w:numPr>
            </w:pPr>
            <w:r>
              <w:rPr>
                <w:sz w:val="18"/>
                <w:szCs w:val="18"/>
              </w:rPr>
              <w:t xml:space="preserve">Technical modeling expertise</w:t>
            </w:r>
          </w:p>
          <w:p>
            <w:pPr>
              <w:pStyle w:val="ListParagraph"/>
              <w:numPr>
                <w:ilvl w:val="0"/>
                <w:numId w:val="2"/>
              </w:numPr>
            </w:pPr>
            <w:r>
              <w:rPr>
                <w:sz w:val="18"/>
                <w:szCs w:val="18"/>
              </w:rPr>
              <w:t xml:space="preserve">Computational resources</w:t>
            </w:r>
          </w:p>
        </w:tc>
      </w:tr>
    </w:tbl>
    <w:p>
      <w:r>
        <w:br w:type="page"/>
      </w:r>
    </w:p>
    <w:p>
      <w:pPr>
        <w:pStyle w:val="Heading2"/>
      </w:pPr>
      <w:r>
        <w:t xml:space="preserve">NODE 5D: SENSITIVITY ANALYSIS</w:t>
      </w:r>
    </w:p>
    <w:p>
      <w:pPr>
        <w:spacing w:after="100"/>
      </w:pPr>
      <w:r>
        <w:rPr>
          <w:b/>
          <w:bCs/>
        </w:rPr>
        <w:t xml:space="preserve">Purpose: </w:t>
      </w:r>
      <w:r>
        <w:t xml:space="preserve">Systematically vary key inputs to determine how conclusions change under different assumptions. Essential companion to any quantitative method.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800"/>
      </w:tblGrid>
      <w:tr>
        <w:trPr>
          <w:tblHeader/>
        </w:trPr>
        <w:tc>
          <w:tcPr>
            <w:tcW w:type="dxa" w:w="2800"/>
            <w:tcBorders>
              <w:top w:val="single" w:color="64748B" w:sz="8"/>
              <w:left w:val="single" w:color="64748B" w:sz="8"/>
              <w:bottom w:val="single" w:color="64748B" w:sz="8"/>
              <w:right w:val="single" w:color="64748B" w:sz="8"/>
            </w:tcBorders>
            <w:shd w:fill="7C3AED" w:val="clear"/>
          </w:tcPr>
          <w:p>
            <w:pPr>
              <w:jc w:val="center"/>
            </w:pPr>
            <w:r>
              <w:rPr>
                <w:b/>
                <w:bCs/>
                <w:color w:val="FFFFFF"/>
                <w:sz w:val="20"/>
                <w:szCs w:val="20"/>
              </w:rPr>
              <w:t xml:space="preserve">Use When</w:t>
            </w:r>
          </w:p>
        </w:tc>
        <w:tc>
          <w:tcPr>
            <w:tcW w:type="dxa" w:w="2600"/>
            <w:tcBorders>
              <w:top w:val="single" w:color="64748B" w:sz="8"/>
              <w:left w:val="single" w:color="64748B" w:sz="8"/>
              <w:bottom w:val="single" w:color="64748B" w:sz="8"/>
              <w:right w:val="single" w:color="64748B" w:sz="8"/>
            </w:tcBorders>
            <w:shd w:fill="7C3AED" w:val="clear"/>
          </w:tcPr>
          <w:p>
            <w:pPr>
              <w:jc w:val="center"/>
            </w:pPr>
            <w:r>
              <w:rPr>
                <w:b/>
                <w:bCs/>
                <w:color w:val="FFFFFF"/>
                <w:sz w:val="20"/>
                <w:szCs w:val="20"/>
              </w:rPr>
              <w:t xml:space="preserve">Don't Use When</w:t>
            </w:r>
          </w:p>
        </w:tc>
        <w:tc>
          <w:tcPr>
            <w:tcW w:type="dxa" w:w="2800"/>
            <w:tcBorders>
              <w:top w:val="single" w:color="64748B" w:sz="8"/>
              <w:left w:val="single" w:color="64748B" w:sz="8"/>
              <w:bottom w:val="single" w:color="64748B" w:sz="8"/>
              <w:right w:val="single" w:color="64748B" w:sz="8"/>
            </w:tcBorders>
            <w:shd w:fill="7C3AED" w:val="clear"/>
          </w:tcPr>
          <w:p>
            <w:pPr>
              <w:jc w:val="center"/>
            </w:pPr>
            <w:r>
              <w:rPr>
                <w:b/>
                <w:bCs/>
                <w:color w:val="FFFFFF"/>
                <w:sz w:val="20"/>
                <w:szCs w:val="20"/>
              </w:rPr>
              <w:t xml:space="preserve">Key Requirements</w:t>
            </w:r>
          </w:p>
        </w:tc>
      </w:tr>
      <w:tr>
        <w:tc>
          <w:tcPr>
            <w:tcW w:type="dxa" w:w="2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Accompanying ANY quantitative analysis</w:t>
            </w:r>
          </w:p>
          <w:p>
            <w:pPr>
              <w:pStyle w:val="ListParagraph"/>
              <w:numPr>
                <w:ilvl w:val="0"/>
                <w:numId w:val="2"/>
              </w:numPr>
            </w:pPr>
            <w:r>
              <w:rPr>
                <w:sz w:val="18"/>
                <w:szCs w:val="18"/>
              </w:rPr>
              <w:t xml:space="preserve">Testing weight robustness</w:t>
            </w:r>
          </w:p>
          <w:p>
            <w:pPr>
              <w:pStyle w:val="ListParagraph"/>
              <w:numPr>
                <w:ilvl w:val="0"/>
                <w:numId w:val="2"/>
              </w:numPr>
            </w:pPr>
            <w:r>
              <w:rPr>
                <w:sz w:val="18"/>
                <w:szCs w:val="18"/>
              </w:rPr>
              <w:t xml:space="preserve">Identifying threshold values</w:t>
            </w:r>
          </w:p>
          <w:p>
            <w:pPr>
              <w:pStyle w:val="ListParagraph"/>
              <w:numPr>
                <w:ilvl w:val="0"/>
                <w:numId w:val="2"/>
              </w:numPr>
            </w:pPr>
            <w:r>
              <w:rPr>
                <w:sz w:val="18"/>
                <w:szCs w:val="18"/>
              </w:rPr>
              <w:t xml:space="preserve">Parameter uncertainty is high</w:t>
            </w:r>
          </w:p>
        </w:tc>
        <w:tc>
          <w:tcPr>
            <w:tcW w:type="dxa" w:w="2600"/>
            <w:tcBorders>
              <w:top w:val="single" w:color="64748B" w:sz="8"/>
              <w:left w:val="single" w:color="64748B" w:sz="8"/>
              <w:bottom w:val="single" w:color="64748B" w:sz="8"/>
              <w:right w:val="single" w:color="64748B" w:sz="8"/>
            </w:tcBorders>
          </w:tcPr>
          <w:p>
            <w:pPr>
              <w:pStyle w:val="ListParagraph"/>
              <w:numPr>
                <w:ilvl w:val="0"/>
                <w:numId w:val="2"/>
              </w:numPr>
            </w:pPr>
            <w:r>
              <w:rPr>
                <w:b/>
                <w:bCs/>
                <w:sz w:val="18"/>
                <w:szCs w:val="18"/>
              </w:rPr>
              <w:t xml:space="preserve">Never skip—always required</w:t>
            </w:r>
          </w:p>
          <w:p>
            <w:r>
              <w:rPr>
                <w:i/>
                <w:iCs/>
                <w:sz w:val="18"/>
                <w:szCs w:val="18"/>
              </w:rPr>
              <w:t xml:space="preserve">(Sensitivity analysis should accompany all quantitative methods)</w:t>
            </w:r>
          </w:p>
        </w:tc>
        <w:tc>
          <w:tcPr>
            <w:tcW w:type="dxa" w:w="2800"/>
            <w:tcBorders>
              <w:top w:val="single" w:color="64748B" w:sz="8"/>
              <w:left w:val="single" w:color="64748B" w:sz="8"/>
              <w:bottom w:val="single" w:color="64748B" w:sz="8"/>
              <w:right w:val="single" w:color="64748B" w:sz="8"/>
            </w:tcBorders>
          </w:tcPr>
          <w:p>
            <w:pPr>
              <w:pStyle w:val="ListParagraph"/>
              <w:numPr>
                <w:ilvl w:val="0"/>
                <w:numId w:val="2"/>
              </w:numPr>
            </w:pPr>
            <w:r>
              <w:rPr>
                <w:sz w:val="18"/>
                <w:szCs w:val="18"/>
              </w:rPr>
              <w:t xml:space="preserve">Plausible parameter ranges</w:t>
            </w:r>
          </w:p>
          <w:p>
            <w:pPr>
              <w:pStyle w:val="ListParagraph"/>
              <w:numPr>
                <w:ilvl w:val="0"/>
                <w:numId w:val="2"/>
              </w:numPr>
            </w:pPr>
            <w:r>
              <w:rPr>
                <w:sz w:val="18"/>
                <w:szCs w:val="18"/>
              </w:rPr>
              <w:t xml:space="preserve">One-way and multi-way tests</w:t>
            </w:r>
          </w:p>
          <w:p>
            <w:pPr>
              <w:pStyle w:val="ListParagraph"/>
              <w:numPr>
                <w:ilvl w:val="0"/>
                <w:numId w:val="2"/>
              </w:numPr>
            </w:pPr>
            <w:r>
              <w:rPr>
                <w:sz w:val="18"/>
                <w:szCs w:val="18"/>
              </w:rPr>
              <w:t xml:space="preserve">Tornado diagram capability</w:t>
            </w:r>
          </w:p>
          <w:p>
            <w:pPr>
              <w:pStyle w:val="ListParagraph"/>
              <w:numPr>
                <w:ilvl w:val="0"/>
                <w:numId w:val="2"/>
              </w:numPr>
            </w:pPr>
            <w:r>
              <w:rPr>
                <w:sz w:val="18"/>
                <w:szCs w:val="18"/>
              </w:rPr>
              <w:t xml:space="preserve">Clear presentation of results</w:t>
            </w:r>
          </w:p>
        </w:tc>
      </w:tr>
    </w:tbl>
    <w:p>
      <w:pPr>
        <w:pStyle w:val="Heading2"/>
        <w:spacing w:before="300"/>
      </w:pPr>
      <w:r>
        <w:t xml:space="preserve">NODE 5E: SIMPLE COMPARATIVE METRICS</w:t>
      </w:r>
    </w:p>
    <w:p>
      <w:pPr>
        <w:spacing w:after="100"/>
      </w:pPr>
      <w:r>
        <w:rPr>
          <w:b/>
          <w:bCs/>
        </w:rPr>
        <w:t xml:space="preserve">Purpose: </w:t>
      </w:r>
      <w:r>
        <w:t xml:space="preserve">Provide intuitive, easily communicated measures of benefit-risk magnitude without requiring complex modeling infrastructure.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400"/>
      </w:tblGrid>
      <w:tr>
        <w:trPr>
          <w:tblHeader/>
        </w:trPr>
        <w:tc>
          <w:tcPr>
            <w:tcW w:type="dxa" w:w="16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Metric</w:t>
            </w:r>
          </w:p>
        </w:tc>
        <w:tc>
          <w:tcPr>
            <w:tcW w:type="dxa" w:w="18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Formula</w:t>
            </w:r>
          </w:p>
        </w:tc>
        <w:tc>
          <w:tcPr>
            <w:tcW w:type="dxa" w:w="22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Best For</w:t>
            </w:r>
          </w:p>
        </w:tc>
        <w:tc>
          <w:tcPr>
            <w:tcW w:type="dxa" w:w="2400"/>
            <w:tcBorders>
              <w:top w:val="single" w:color="64748B" w:sz="8"/>
              <w:left w:val="single" w:color="64748B" w:sz="8"/>
              <w:bottom w:val="single" w:color="64748B" w:sz="8"/>
              <w:right w:val="single" w:color="64748B" w:sz="8"/>
            </w:tcBorders>
            <w:shd w:fill="1A365D" w:val="clear"/>
          </w:tcPr>
          <w:p>
            <w:pPr>
              <w:jc w:val="center"/>
            </w:pPr>
            <w:r>
              <w:rPr>
                <w:b/>
                <w:bCs/>
                <w:color w:val="FFFFFF"/>
                <w:sz w:val="18"/>
                <w:szCs w:val="18"/>
              </w:rPr>
              <w:t xml:space="preserve">Limitations</w:t>
            </w:r>
          </w:p>
        </w:tc>
      </w:tr>
      <w:tr>
        <w:tc>
          <w:tcPr>
            <w:tcW w:type="dxa" w:w="1600"/>
            <w:tcBorders>
              <w:top w:val="single" w:color="64748B" w:sz="8"/>
              <w:left w:val="single" w:color="64748B" w:sz="8"/>
              <w:bottom w:val="single" w:color="64748B" w:sz="8"/>
              <w:right w:val="single" w:color="64748B" w:sz="8"/>
            </w:tcBorders>
          </w:tcPr>
          <w:p>
            <w:r>
              <w:rPr>
                <w:b/>
                <w:bCs/>
                <w:sz w:val="18"/>
                <w:szCs w:val="18"/>
              </w:rPr>
              <w:t xml:space="preserve">NNT</w:t>
            </w:r>
          </w:p>
        </w:tc>
        <w:tc>
          <w:tcPr>
            <w:tcW w:type="dxa" w:w="1800"/>
            <w:tcBorders>
              <w:top w:val="single" w:color="64748B" w:sz="8"/>
              <w:left w:val="single" w:color="64748B" w:sz="8"/>
              <w:bottom w:val="single" w:color="64748B" w:sz="8"/>
              <w:right w:val="single" w:color="64748B" w:sz="8"/>
            </w:tcBorders>
          </w:tcPr>
          <w:p>
            <w:r>
              <w:rPr>
                <w:sz w:val="18"/>
                <w:szCs w:val="18"/>
              </w:rPr>
              <w:t xml:space="preserve">1 / ARR</w:t>
            </w:r>
          </w:p>
        </w:tc>
        <w:tc>
          <w:tcPr>
            <w:tcW w:type="dxa" w:w="2200"/>
            <w:tcBorders>
              <w:top w:val="single" w:color="64748B" w:sz="8"/>
              <w:left w:val="single" w:color="64748B" w:sz="8"/>
              <w:bottom w:val="single" w:color="64748B" w:sz="8"/>
              <w:right w:val="single" w:color="64748B" w:sz="8"/>
            </w:tcBorders>
          </w:tcPr>
          <w:p>
            <w:r>
              <w:rPr>
                <w:sz w:val="18"/>
                <w:szCs w:val="18"/>
              </w:rPr>
              <w:t xml:space="preserve">Communicating treatment benefit in absolute terms</w:t>
            </w:r>
          </w:p>
        </w:tc>
        <w:tc>
          <w:tcPr>
            <w:tcW w:type="dxa" w:w="2400"/>
            <w:tcBorders>
              <w:top w:val="single" w:color="64748B" w:sz="8"/>
              <w:left w:val="single" w:color="64748B" w:sz="8"/>
              <w:bottom w:val="single" w:color="64748B" w:sz="8"/>
              <w:right w:val="single" w:color="64748B" w:sz="8"/>
            </w:tcBorders>
          </w:tcPr>
          <w:p>
            <w:r>
              <w:rPr>
                <w:sz w:val="18"/>
                <w:szCs w:val="18"/>
              </w:rPr>
              <w:t xml:space="preserve">Assumes constant effect; time-dependent issues</w:t>
            </w:r>
          </w:p>
        </w:tc>
      </w:tr>
      <w:tr>
        <w:tc>
          <w:tcPr>
            <w:tcW w:type="dxa" w:w="1600"/>
            <w:tcBorders>
              <w:top w:val="single" w:color="64748B" w:sz="8"/>
              <w:left w:val="single" w:color="64748B" w:sz="8"/>
              <w:bottom w:val="single" w:color="64748B" w:sz="8"/>
              <w:right w:val="single" w:color="64748B" w:sz="8"/>
            </w:tcBorders>
            <w:shd w:fill="F1F5F9" w:val="clear"/>
          </w:tcPr>
          <w:p>
            <w:r>
              <w:rPr>
                <w:b/>
                <w:bCs/>
                <w:sz w:val="18"/>
                <w:szCs w:val="18"/>
              </w:rPr>
              <w:t xml:space="preserve">NNH</w:t>
            </w:r>
          </w:p>
        </w:tc>
        <w:tc>
          <w:tcPr>
            <w:tcW w:type="dxa" w:w="1800"/>
            <w:tcBorders>
              <w:top w:val="single" w:color="64748B" w:sz="8"/>
              <w:left w:val="single" w:color="64748B" w:sz="8"/>
              <w:bottom w:val="single" w:color="64748B" w:sz="8"/>
              <w:right w:val="single" w:color="64748B" w:sz="8"/>
            </w:tcBorders>
            <w:shd w:fill="F1F5F9" w:val="clear"/>
          </w:tcPr>
          <w:p>
            <w:r>
              <w:rPr>
                <w:sz w:val="18"/>
                <w:szCs w:val="18"/>
              </w:rPr>
              <w:t xml:space="preserve">1 / ARI</w:t>
            </w:r>
          </w:p>
        </w:tc>
        <w:tc>
          <w:tcPr>
            <w:tcW w:type="dxa" w:w="2200"/>
            <w:tcBorders>
              <w:top w:val="single" w:color="64748B" w:sz="8"/>
              <w:left w:val="single" w:color="64748B" w:sz="8"/>
              <w:bottom w:val="single" w:color="64748B" w:sz="8"/>
              <w:right w:val="single" w:color="64748B" w:sz="8"/>
            </w:tcBorders>
            <w:shd w:fill="F1F5F9" w:val="clear"/>
          </w:tcPr>
          <w:p>
            <w:r>
              <w:rPr>
                <w:sz w:val="18"/>
                <w:szCs w:val="18"/>
              </w:rPr>
              <w:t xml:space="preserve">Communicating risk magnitude in absolute terms</w:t>
            </w:r>
          </w:p>
        </w:tc>
        <w:tc>
          <w:tcPr>
            <w:tcW w:type="dxa" w:w="2400"/>
            <w:tcBorders>
              <w:top w:val="single" w:color="64748B" w:sz="8"/>
              <w:left w:val="single" w:color="64748B" w:sz="8"/>
              <w:bottom w:val="single" w:color="64748B" w:sz="8"/>
              <w:right w:val="single" w:color="64748B" w:sz="8"/>
            </w:tcBorders>
            <w:shd w:fill="F1F5F9" w:val="clear"/>
          </w:tcPr>
          <w:p>
            <w:r>
              <w:rPr>
                <w:sz w:val="18"/>
                <w:szCs w:val="18"/>
              </w:rPr>
              <w:t xml:space="preserve">Same as NNT; doesn't capture severity</w:t>
            </w:r>
          </w:p>
        </w:tc>
      </w:tr>
      <w:tr>
        <w:tc>
          <w:tcPr>
            <w:tcW w:type="dxa" w:w="1600"/>
            <w:tcBorders>
              <w:top w:val="single" w:color="64748B" w:sz="8"/>
              <w:left w:val="single" w:color="64748B" w:sz="8"/>
              <w:bottom w:val="single" w:color="64748B" w:sz="8"/>
              <w:right w:val="single" w:color="64748B" w:sz="8"/>
            </w:tcBorders>
          </w:tcPr>
          <w:p>
            <w:r>
              <w:rPr>
                <w:b/>
                <w:bCs/>
                <w:sz w:val="18"/>
                <w:szCs w:val="18"/>
              </w:rPr>
              <w:t xml:space="preserve">B-R Ratio</w:t>
            </w:r>
          </w:p>
        </w:tc>
        <w:tc>
          <w:tcPr>
            <w:tcW w:type="dxa" w:w="1800"/>
            <w:tcBorders>
              <w:top w:val="single" w:color="64748B" w:sz="8"/>
              <w:left w:val="single" w:color="64748B" w:sz="8"/>
              <w:bottom w:val="single" w:color="64748B" w:sz="8"/>
              <w:right w:val="single" w:color="64748B" w:sz="8"/>
            </w:tcBorders>
          </w:tcPr>
          <w:p>
            <w:r>
              <w:rPr>
                <w:sz w:val="18"/>
                <w:szCs w:val="18"/>
              </w:rPr>
              <w:t xml:space="preserve">NNH / NNT</w:t>
            </w:r>
          </w:p>
        </w:tc>
        <w:tc>
          <w:tcPr>
            <w:tcW w:type="dxa" w:w="2200"/>
            <w:tcBorders>
              <w:top w:val="single" w:color="64748B" w:sz="8"/>
              <w:left w:val="single" w:color="64748B" w:sz="8"/>
              <w:bottom w:val="single" w:color="64748B" w:sz="8"/>
              <w:right w:val="single" w:color="64748B" w:sz="8"/>
            </w:tcBorders>
          </w:tcPr>
          <w:p>
            <w:r>
              <w:rPr>
                <w:sz w:val="18"/>
                <w:szCs w:val="18"/>
              </w:rPr>
              <w:t xml:space="preserve">Quick comparison when single benefit &amp; risk</w:t>
            </w:r>
          </w:p>
        </w:tc>
        <w:tc>
          <w:tcPr>
            <w:tcW w:type="dxa" w:w="2400"/>
            <w:tcBorders>
              <w:top w:val="single" w:color="64748B" w:sz="8"/>
              <w:left w:val="single" w:color="64748B" w:sz="8"/>
              <w:bottom w:val="single" w:color="64748B" w:sz="8"/>
              <w:right w:val="single" w:color="64748B" w:sz="8"/>
            </w:tcBorders>
          </w:tcPr>
          <w:p>
            <w:r>
              <w:rPr>
                <w:sz w:val="18"/>
                <w:szCs w:val="18"/>
              </w:rPr>
              <w:t xml:space="preserve">Oversimplifies multi-criteria decisions</w:t>
            </w:r>
          </w:p>
        </w:tc>
      </w:tr>
      <w:tr>
        <w:tc>
          <w:tcPr>
            <w:tcW w:type="dxa" w:w="1600"/>
            <w:tcBorders>
              <w:top w:val="single" w:color="64748B" w:sz="8"/>
              <w:left w:val="single" w:color="64748B" w:sz="8"/>
              <w:bottom w:val="single" w:color="64748B" w:sz="8"/>
              <w:right w:val="single" w:color="64748B" w:sz="8"/>
            </w:tcBorders>
            <w:shd w:fill="F1F5F9" w:val="clear"/>
          </w:tcPr>
          <w:p>
            <w:r>
              <w:rPr>
                <w:b/>
                <w:bCs/>
                <w:sz w:val="18"/>
                <w:szCs w:val="18"/>
              </w:rPr>
              <w:t xml:space="preserve">Impact Numbers</w:t>
            </w:r>
          </w:p>
        </w:tc>
        <w:tc>
          <w:tcPr>
            <w:tcW w:type="dxa" w:w="1800"/>
            <w:tcBorders>
              <w:top w:val="single" w:color="64748B" w:sz="8"/>
              <w:left w:val="single" w:color="64748B" w:sz="8"/>
              <w:bottom w:val="single" w:color="64748B" w:sz="8"/>
              <w:right w:val="single" w:color="64748B" w:sz="8"/>
            </w:tcBorders>
            <w:shd w:fill="F1F5F9" w:val="clear"/>
          </w:tcPr>
          <w:p>
            <w:r>
              <w:rPr>
                <w:sz w:val="18"/>
                <w:szCs w:val="18"/>
              </w:rPr>
              <w:t xml:space="preserve">Excess events / population</w:t>
            </w:r>
          </w:p>
        </w:tc>
        <w:tc>
          <w:tcPr>
            <w:tcW w:type="dxa" w:w="2200"/>
            <w:tcBorders>
              <w:top w:val="single" w:color="64748B" w:sz="8"/>
              <w:left w:val="single" w:color="64748B" w:sz="8"/>
              <w:bottom w:val="single" w:color="64748B" w:sz="8"/>
              <w:right w:val="single" w:color="64748B" w:sz="8"/>
            </w:tcBorders>
            <w:shd w:fill="F1F5F9" w:val="clear"/>
          </w:tcPr>
          <w:p>
            <w:r>
              <w:rPr>
                <w:sz w:val="18"/>
                <w:szCs w:val="18"/>
              </w:rPr>
              <w:t xml:space="preserve">Population-level impact communication</w:t>
            </w:r>
          </w:p>
        </w:tc>
        <w:tc>
          <w:tcPr>
            <w:tcW w:type="dxa" w:w="2400"/>
            <w:tcBorders>
              <w:top w:val="single" w:color="64748B" w:sz="8"/>
              <w:left w:val="single" w:color="64748B" w:sz="8"/>
              <w:bottom w:val="single" w:color="64748B" w:sz="8"/>
              <w:right w:val="single" w:color="64748B" w:sz="8"/>
            </w:tcBorders>
            <w:shd w:fill="F1F5F9" w:val="clear"/>
          </w:tcPr>
          <w:p>
            <w:r>
              <w:rPr>
                <w:sz w:val="18"/>
                <w:szCs w:val="18"/>
              </w:rPr>
              <w:t xml:space="preserve">Requires population size assumptions</w:t>
            </w:r>
          </w:p>
        </w:tc>
      </w:tr>
    </w:tbl>
    <w:p>
      <w:pPr>
        <w:pStyle w:val="Heading1"/>
        <w:spacing w:before="400"/>
      </w:pPr>
      <w:r>
        <w:t xml:space="preserve">  QUALITY REQUIREMENTS FOR QUANTITATIVE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tcBorders>
              <w:top w:val="single" w:color="64748B" w:sz="8"/>
              <w:left w:val="single" w:color="64748B" w:sz="8"/>
              <w:bottom w:val="single" w:color="64748B" w:sz="8"/>
              <w:right w:val="single" w:color="64748B" w:sz="8"/>
            </w:tcBorders>
            <w:shd w:fill="0D9488" w:val="clear"/>
          </w:tcPr>
          <w:p>
            <w:pPr>
              <w:jc w:val="center"/>
            </w:pPr>
            <w:r>
              <w:rPr>
                <w:b/>
                <w:bCs/>
                <w:color w:val="FFFFFF"/>
                <w:sz w:val="20"/>
                <w:szCs w:val="20"/>
              </w:rPr>
              <w:t xml:space="preserve">Requirement</w:t>
            </w:r>
          </w:p>
        </w:tc>
        <w:tc>
          <w:tcPr>
            <w:tcW w:type="dxa" w:w="6200"/>
            <w:tcBorders>
              <w:top w:val="single" w:color="64748B" w:sz="8"/>
              <w:left w:val="single" w:color="64748B" w:sz="8"/>
              <w:bottom w:val="single" w:color="64748B" w:sz="8"/>
              <w:right w:val="single" w:color="64748B" w:sz="8"/>
            </w:tcBorders>
            <w:shd w:fill="0D9488" w:val="clear"/>
          </w:tcPr>
          <w:p>
            <w:pPr>
              <w:jc w:val="center"/>
            </w:pPr>
            <w:r>
              <w:rPr>
                <w:b/>
                <w:bCs/>
                <w:color w:val="FFFFFF"/>
                <w:sz w:val="20"/>
                <w:szCs w:val="20"/>
              </w:rPr>
              <w:t xml:space="preserve">Description</w:t>
            </w:r>
          </w:p>
        </w:tc>
      </w:tr>
      <w:tr>
        <w:tc>
          <w:tcPr>
            <w:tcW w:type="dxa" w:w="2200"/>
            <w:tcBorders>
              <w:top w:val="single" w:color="64748B" w:sz="8"/>
              <w:left w:val="single" w:color="64748B" w:sz="8"/>
              <w:bottom w:val="single" w:color="64748B" w:sz="8"/>
              <w:right w:val="single" w:color="64748B" w:sz="8"/>
            </w:tcBorders>
          </w:tcPr>
          <w:p>
            <w:r>
              <w:rPr>
                <w:b/>
                <w:bCs/>
                <w:sz w:val="20"/>
                <w:szCs w:val="20"/>
              </w:rPr>
              <w:t xml:space="preserve">Pre-defined Analysis Plan</w:t>
            </w:r>
          </w:p>
        </w:tc>
        <w:tc>
          <w:tcPr>
            <w:tcW w:type="dxa" w:w="6200"/>
            <w:tcBorders>
              <w:top w:val="single" w:color="64748B" w:sz="8"/>
              <w:left w:val="single" w:color="64748B" w:sz="8"/>
              <w:bottom w:val="single" w:color="64748B" w:sz="8"/>
              <w:right w:val="single" w:color="64748B" w:sz="8"/>
            </w:tcBorders>
          </w:tcPr>
          <w:p>
            <w:r>
              <w:rPr>
                <w:sz w:val="20"/>
                <w:szCs w:val="20"/>
              </w:rPr>
              <w:t xml:space="preserve">Document methodology, inputs, and assumptions BEFORE analysis</w:t>
            </w:r>
          </w:p>
        </w:tc>
      </w:tr>
      <w:tr>
        <w:tc>
          <w:tcPr>
            <w:tcW w:type="dxa" w:w="2200"/>
            <w:tcBorders>
              <w:top w:val="single" w:color="64748B" w:sz="8"/>
              <w:left w:val="single" w:color="64748B" w:sz="8"/>
              <w:bottom w:val="single" w:color="64748B" w:sz="8"/>
              <w:right w:val="single" w:color="64748B" w:sz="8"/>
            </w:tcBorders>
            <w:shd w:fill="F1F5F9" w:val="clear"/>
          </w:tcPr>
          <w:p>
            <w:r>
              <w:rPr>
                <w:b/>
                <w:bCs/>
                <w:sz w:val="20"/>
                <w:szCs w:val="20"/>
              </w:rPr>
              <w:t xml:space="preserve">High-Quality Data</w:t>
            </w:r>
          </w:p>
        </w:tc>
        <w:tc>
          <w:tcPr>
            <w:tcW w:type="dxa" w:w="6200"/>
            <w:tcBorders>
              <w:top w:val="single" w:color="64748B" w:sz="8"/>
              <w:left w:val="single" w:color="64748B" w:sz="8"/>
              <w:bottom w:val="single" w:color="64748B" w:sz="8"/>
              <w:right w:val="single" w:color="64748B" w:sz="8"/>
            </w:tcBorders>
            <w:shd w:fill="F1F5F9" w:val="clear"/>
          </w:tcPr>
          <w:p>
            <w:r>
              <w:rPr>
                <w:sz w:val="20"/>
                <w:szCs w:val="20"/>
              </w:rPr>
              <w:t xml:space="preserve">Ensure data supports the precision implied by the analysis</w:t>
            </w:r>
          </w:p>
        </w:tc>
      </w:tr>
      <w:tr>
        <w:tc>
          <w:tcPr>
            <w:tcW w:type="dxa" w:w="2200"/>
            <w:tcBorders>
              <w:top w:val="single" w:color="64748B" w:sz="8"/>
              <w:left w:val="single" w:color="64748B" w:sz="8"/>
              <w:bottom w:val="single" w:color="64748B" w:sz="8"/>
              <w:right w:val="single" w:color="64748B" w:sz="8"/>
            </w:tcBorders>
          </w:tcPr>
          <w:p>
            <w:r>
              <w:rPr>
                <w:b/>
                <w:bCs/>
                <w:sz w:val="20"/>
                <w:szCs w:val="20"/>
              </w:rPr>
              <w:t xml:space="preserve">Transparent Assumptions</w:t>
            </w:r>
          </w:p>
        </w:tc>
        <w:tc>
          <w:tcPr>
            <w:tcW w:type="dxa" w:w="6200"/>
            <w:tcBorders>
              <w:top w:val="single" w:color="64748B" w:sz="8"/>
              <w:left w:val="single" w:color="64748B" w:sz="8"/>
              <w:bottom w:val="single" w:color="64748B" w:sz="8"/>
              <w:right w:val="single" w:color="64748B" w:sz="8"/>
            </w:tcBorders>
          </w:tcPr>
          <w:p>
            <w:r>
              <w:rPr>
                <w:sz w:val="20"/>
                <w:szCs w:val="20"/>
              </w:rPr>
              <w:t xml:space="preserve">Explicitly state and justify all model assumptions</w:t>
            </w:r>
          </w:p>
        </w:tc>
      </w:tr>
      <w:tr>
        <w:tc>
          <w:tcPr>
            <w:tcW w:type="dxa" w:w="2200"/>
            <w:tcBorders>
              <w:top w:val="single" w:color="64748B" w:sz="8"/>
              <w:left w:val="single" w:color="64748B" w:sz="8"/>
              <w:bottom w:val="single" w:color="64748B" w:sz="8"/>
              <w:right w:val="single" w:color="64748B" w:sz="8"/>
            </w:tcBorders>
            <w:shd w:fill="F1F5F9" w:val="clear"/>
          </w:tcPr>
          <w:p>
            <w:r>
              <w:rPr>
                <w:b/>
                <w:bCs/>
                <w:sz w:val="20"/>
                <w:szCs w:val="20"/>
              </w:rPr>
              <w:t xml:space="preserve">Sensitivity Testing</w:t>
            </w:r>
          </w:p>
        </w:tc>
        <w:tc>
          <w:tcPr>
            <w:tcW w:type="dxa" w:w="6200"/>
            <w:tcBorders>
              <w:top w:val="single" w:color="64748B" w:sz="8"/>
              <w:left w:val="single" w:color="64748B" w:sz="8"/>
              <w:bottom w:val="single" w:color="64748B" w:sz="8"/>
              <w:right w:val="single" w:color="64748B" w:sz="8"/>
            </w:tcBorders>
            <w:shd w:fill="F1F5F9" w:val="clear"/>
          </w:tcPr>
          <w:p>
            <w:r>
              <w:rPr>
                <w:sz w:val="20"/>
                <w:szCs w:val="20"/>
              </w:rPr>
              <w:t xml:space="preserve">Systematically test how results change with input variation</w:t>
            </w:r>
          </w:p>
        </w:tc>
      </w:tr>
      <w:tr>
        <w:tc>
          <w:tcPr>
            <w:tcW w:type="dxa" w:w="2200"/>
            <w:tcBorders>
              <w:top w:val="single" w:color="64748B" w:sz="8"/>
              <w:left w:val="single" w:color="64748B" w:sz="8"/>
              <w:bottom w:val="single" w:color="64748B" w:sz="8"/>
              <w:right w:val="single" w:color="64748B" w:sz="8"/>
            </w:tcBorders>
          </w:tcPr>
          <w:p>
            <w:r>
              <w:rPr>
                <w:b/>
                <w:bCs/>
                <w:sz w:val="20"/>
                <w:szCs w:val="20"/>
              </w:rPr>
              <w:t xml:space="preserve">Cross-functional Review</w:t>
            </w:r>
          </w:p>
        </w:tc>
        <w:tc>
          <w:tcPr>
            <w:tcW w:type="dxa" w:w="6200"/>
            <w:tcBorders>
              <w:top w:val="single" w:color="64748B" w:sz="8"/>
              <w:left w:val="single" w:color="64748B" w:sz="8"/>
              <w:bottom w:val="single" w:color="64748B" w:sz="8"/>
              <w:right w:val="single" w:color="64748B" w:sz="8"/>
            </w:tcBorders>
          </w:tcPr>
          <w:p>
            <w:r>
              <w:rPr>
                <w:sz w:val="20"/>
                <w:szCs w:val="20"/>
              </w:rPr>
              <w:t xml:space="preserve">BRMT reviews methodology, inputs, and interpretation</w:t>
            </w:r>
          </w:p>
        </w:tc>
      </w:tr>
      <w:tr>
        <w:tc>
          <w:tcPr>
            <w:tcW w:type="dxa" w:w="2200"/>
            <w:tcBorders>
              <w:top w:val="single" w:color="64748B" w:sz="8"/>
              <w:left w:val="single" w:color="64748B" w:sz="8"/>
              <w:bottom w:val="single" w:color="64748B" w:sz="8"/>
              <w:right w:val="single" w:color="64748B" w:sz="8"/>
            </w:tcBorders>
            <w:shd w:fill="F1F5F9" w:val="clear"/>
          </w:tcPr>
          <w:p>
            <w:r>
              <w:rPr>
                <w:b/>
                <w:bCs/>
                <w:sz w:val="20"/>
                <w:szCs w:val="20"/>
              </w:rPr>
              <w:t xml:space="preserve">Limitations Documented</w:t>
            </w:r>
          </w:p>
        </w:tc>
        <w:tc>
          <w:tcPr>
            <w:tcW w:type="dxa" w:w="6200"/>
            <w:tcBorders>
              <w:top w:val="single" w:color="64748B" w:sz="8"/>
              <w:left w:val="single" w:color="64748B" w:sz="8"/>
              <w:bottom w:val="single" w:color="64748B" w:sz="8"/>
              <w:right w:val="single" w:color="64748B" w:sz="8"/>
            </w:tcBorders>
            <w:shd w:fill="F1F5F9" w:val="clear"/>
          </w:tcPr>
          <w:p>
            <w:r>
              <w:rPr>
                <w:sz w:val="20"/>
                <w:szCs w:val="20"/>
              </w:rPr>
              <w:t xml:space="preserve">Clearly present what the analysis can and cannot conclude</w:t>
            </w:r>
          </w:p>
        </w:tc>
      </w:tr>
    </w:tbl>
    <w:p>
      <w:pPr>
        <w:spacing w:before="400"/>
        <w:jc w:val="center"/>
      </w:pPr>
      <w:r>
        <w:rPr>
          <w:color w:val="64748B"/>
          <w:sz w:val="18"/>
          <w:szCs w:val="18"/>
        </w:rPr>
        <w:t xml:space="preserve">Decision Support Module | NexVigilant Benefit-Risk Intelligence Toolkit</w:t>
      </w:r>
    </w:p>
    <w:p>
      <w:pPr>
        <w:jc w:val="center"/>
      </w:pPr>
      <w:r>
        <w:rPr>
          <w:color w:val="64748B"/>
          <w:sz w:val="18"/>
          <w:szCs w:val="18"/>
        </w:rPr>
        <w:t xml:space="preserve">Based on CIOMS Working Group XII (May 2025) and IMI-PROTECT Framework</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 2025 NexVigilant LLC | www.nexvigilant.com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NexVigilant Benefit-Risk Intelligence Toolkit | Decision Support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rFonts w:ascii="Arial" w:cs="Arial" w:eastAsia="Arial" w:hAnsi="Arial"/>
      <w:b/>
      <w:bCs/>
      <w:color w:val="1A365D"/>
      <w:sz w:val="48"/>
      <w:szCs w:val="48"/>
    </w:rPr>
  </w:style>
  <w:style w:type="paragraph" w:styleId="Heading1">
    <w:name w:val="Heading 1"/>
    <w:basedOn w:val="Normal"/>
    <w:next w:val="Normal"/>
    <w:qFormat/>
    <w:pPr>
      <w:shd w:fill="1A365D" w:val="clear"/>
      <w:spacing w:before="240" w:after="120"/>
    </w:pPr>
    <w:rPr>
      <w:rFonts w:ascii="Arial" w:cs="Arial" w:eastAsia="Arial" w:hAnsi="Arial"/>
      <w:b/>
      <w:bCs/>
      <w:color w:val="FFFFFF"/>
      <w:sz w:val="28"/>
      <w:szCs w:val="28"/>
    </w:rPr>
  </w:style>
  <w:style w:type="paragraph" w:styleId="Heading2">
    <w:name w:val="Heading 2"/>
    <w:basedOn w:val="Normal"/>
    <w:next w:val="Normal"/>
    <w:qFormat/>
    <w:pPr>
      <w:spacing w:before="200" w:after="80"/>
    </w:pPr>
    <w:rPr>
      <w:rFonts w:ascii="Arial" w:cs="Arial" w:eastAsia="Arial" w:hAnsi="Arial"/>
      <w:b/>
      <w:bCs/>
      <w:color w:val="1A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2025-12-18T03:34:27.968Z</dcterms:created>
  <dcterms:modified xsi:type="dcterms:W3CDTF">2025-12-18T03:34:27.969Z</dcterms:modified>
</cp:coreProperties>
</file>

<file path=docProps/custom.xml><?xml version="1.0" encoding="utf-8"?>
<Properties xmlns="http://schemas.openxmlformats.org/officeDocument/2006/custom-properties" xmlns:vt="http://schemas.openxmlformats.org/officeDocument/2006/docPropsVTypes"/>
</file>