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Risk Minimization Measure Selection Framework</w:t>
      </w:r>
    </w:p>
    <w:p>
      <w:pPr>
        <w:spacing w:after="300"/>
        <w:jc w:val="center"/>
      </w:pPr>
      <w:r>
        <w:rPr>
          <w:i/>
          <w:iCs/>
          <w:color w:val="64748B"/>
          <w:sz w:val="20"/>
          <w:szCs w:val="20"/>
        </w:rPr>
        <w:t xml:space="preserve">Decision Support for RMM Selection | Based on CIOMS WG XII, EMA GVP Module XVI &amp; FDA REMS Guidance</w:t>
      </w:r>
    </w:p>
    <w:p>
      <w:pPr>
        <w:pStyle w:val="Heading1"/>
      </w:pPr>
      <w:r>
        <w:t xml:space="preserve">  FRAMEWORK PURPOSE</w:t>
      </w:r>
    </w:p>
    <w:p>
      <w:pPr>
        <w:spacing w:after="200"/>
      </w:pPr>
      <w:r>
        <w:t xml:space="preserve">Risk Minimization Measures (RMMs) are public health interventions aimed at minimizing the risk of a medicinal product and optimizing its safe use throughout its lifecycle. This framework guides systematic evaluation of whether additional RMMs beyond routine measures are needed, and if so, which tools are most appropriate.</w:t>
      </w:r>
    </w:p>
    <w:p>
      <w:pPr>
        <w:spacing w:before="200" w:after="100"/>
      </w:pPr>
      <w:r>
        <w:rPr>
          <w:b/>
          <w:bCs/>
          <w:color w:val="0D9488"/>
        </w:rPr>
        <w:t xml:space="preserve">◎ LOAD-BEARING CONCEPT: The RMM Hierarchy</w:t>
      </w:r>
    </w:p>
    <w:p>
      <w:pPr>
        <w:spacing w:after="200"/>
      </w:pPr>
      <w:r>
        <w:t xml:space="preserve">RMMs exist on a spectrum from </w:t>
      </w:r>
      <w:r>
        <w:rPr>
          <w:b/>
          <w:bCs/>
        </w:rPr>
        <w:t xml:space="preserve">routine</w:t>
      </w:r>
      <w:r>
        <w:t xml:space="preserve"> (product labeling, package insert) to </w:t>
      </w:r>
      <w:r>
        <w:rPr>
          <w:b/>
          <w:bCs/>
        </w:rPr>
        <w:t xml:space="preserve">additional</w:t>
      </w:r>
      <w:r>
        <w:t xml:space="preserve"> (educational materials, HCP communications) to </w:t>
      </w:r>
      <w:r>
        <w:rPr>
          <w:b/>
          <w:bCs/>
        </w:rPr>
        <w:t xml:space="preserve">restricted access programs</w:t>
      </w:r>
      <w:r>
        <w:t xml:space="preserve"> (REMS in US, controlled distribution). The principle is </w:t>
      </w:r>
      <w:r>
        <w:rPr>
          <w:b/>
          <w:bCs/>
        </w:rPr>
        <w:t xml:space="preserve">proportionality</w:t>
      </w:r>
      <w:r>
        <w:t xml:space="preserve">: measures should be commensurate with the risk, not exceed what is necessary to achieve safe use. Excessive burden may discourage appropriate use or drive patients to less safe alternatives.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900"/>
        <w:gridCol w:w="2700"/>
      </w:tblGrid>
      <w:tr>
        <w:trPr>
          <w:tblHeader/>
        </w:trPr>
        <w:tc>
          <w:tcPr>
            <w:tcW w:type="dxa" w:w="14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Level</w:t>
            </w:r>
          </w:p>
        </w:tc>
        <w:tc>
          <w:tcPr>
            <w:tcW w:type="dxa" w:w="32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Examples</w:t>
            </w:r>
          </w:p>
        </w:tc>
        <w:tc>
          <w:tcPr>
            <w:tcW w:type="dxa" w:w="9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Burden</w:t>
            </w:r>
          </w:p>
        </w:tc>
        <w:tc>
          <w:tcPr>
            <w:tcW w:type="dxa" w:w="27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When Appropriate</w:t>
            </w:r>
          </w:p>
        </w:tc>
      </w:tr>
      <w:tr>
        <w:tc>
          <w:tcPr>
            <w:tcW w:type="dxa" w:w="1400"/>
            <w:tcBorders>
              <w:top w:val="single" w:color="64748B" w:sz="8"/>
              <w:left w:val="single" w:color="64748B" w:sz="8"/>
              <w:bottom w:val="single" w:color="64748B" w:sz="8"/>
              <w:right w:val="single" w:color="64748B" w:sz="8"/>
            </w:tcBorders>
            <w:shd w:fill="DCFCE7" w:val="clear"/>
          </w:tcPr>
          <w:p>
            <w:r>
              <w:rPr>
                <w:b/>
                <w:bCs/>
                <w:sz w:val="18"/>
                <w:szCs w:val="18"/>
              </w:rPr>
              <w:t xml:space="preserve">ROUTINE RMMs</w:t>
            </w:r>
          </w:p>
        </w:tc>
        <w:tc>
          <w:tcPr>
            <w:tcW w:type="dxa" w:w="3200"/>
            <w:tcBorders>
              <w:top w:val="single" w:color="64748B" w:sz="8"/>
              <w:left w:val="single" w:color="64748B" w:sz="8"/>
              <w:bottom w:val="single" w:color="64748B" w:sz="8"/>
              <w:right w:val="single" w:color="64748B" w:sz="8"/>
            </w:tcBorders>
            <w:shd w:fill="DCFCE7" w:val="clear"/>
          </w:tcPr>
          <w:p>
            <w:pPr>
              <w:pStyle w:val="ListParagraph"/>
              <w:numPr>
                <w:ilvl w:val="0"/>
                <w:numId w:val="2"/>
              </w:numPr>
            </w:pPr>
            <w:r>
              <w:rPr>
                <w:sz w:val="18"/>
                <w:szCs w:val="18"/>
              </w:rPr>
              <w:t xml:space="preserve">Product labeling (SmPC/PI)</w:t>
            </w:r>
          </w:p>
          <w:p>
            <w:pPr>
              <w:pStyle w:val="ListParagraph"/>
              <w:numPr>
                <w:ilvl w:val="0"/>
                <w:numId w:val="2"/>
              </w:numPr>
            </w:pPr>
            <w:r>
              <w:rPr>
                <w:sz w:val="18"/>
                <w:szCs w:val="18"/>
              </w:rPr>
              <w:t xml:space="preserve">Package leaflet (PIL)</w:t>
            </w:r>
          </w:p>
          <w:p>
            <w:pPr>
              <w:pStyle w:val="ListParagraph"/>
              <w:numPr>
                <w:ilvl w:val="0"/>
                <w:numId w:val="2"/>
              </w:numPr>
            </w:pPr>
            <w:r>
              <w:rPr>
                <w:sz w:val="18"/>
                <w:szCs w:val="18"/>
              </w:rPr>
              <w:t xml:space="preserve">Legal status (Rx only)</w:t>
            </w:r>
          </w:p>
          <w:p>
            <w:pPr>
              <w:pStyle w:val="ListParagraph"/>
              <w:numPr>
                <w:ilvl w:val="0"/>
                <w:numId w:val="2"/>
              </w:numPr>
            </w:pPr>
            <w:r>
              <w:rPr>
                <w:sz w:val="18"/>
                <w:szCs w:val="18"/>
              </w:rPr>
              <w:t xml:space="preserve">Pack size/strength</w:t>
            </w:r>
          </w:p>
        </w:tc>
        <w:tc>
          <w:tcPr>
            <w:tcW w:type="dxa" w:w="900"/>
            <w:tcBorders>
              <w:top w:val="single" w:color="64748B" w:sz="8"/>
              <w:left w:val="single" w:color="64748B" w:sz="8"/>
              <w:bottom w:val="single" w:color="64748B" w:sz="8"/>
              <w:right w:val="single" w:color="64748B" w:sz="8"/>
            </w:tcBorders>
            <w:shd w:fill="DCFCE7" w:val="clear"/>
          </w:tcPr>
          <w:p>
            <w:pPr>
              <w:jc w:val="center"/>
            </w:pPr>
            <w:r>
              <w:rPr>
                <w:b/>
                <w:bCs/>
                <w:sz w:val="18"/>
                <w:szCs w:val="18"/>
              </w:rPr>
              <w:t xml:space="preserve">Low</w:t>
            </w:r>
          </w:p>
        </w:tc>
        <w:tc>
          <w:tcPr>
            <w:tcW w:type="dxa" w:w="2700"/>
            <w:tcBorders>
              <w:top w:val="single" w:color="64748B" w:sz="8"/>
              <w:left w:val="single" w:color="64748B" w:sz="8"/>
              <w:bottom w:val="single" w:color="64748B" w:sz="8"/>
              <w:right w:val="single" w:color="64748B" w:sz="8"/>
            </w:tcBorders>
            <w:shd w:fill="DCFCE7" w:val="clear"/>
          </w:tcPr>
          <w:p>
            <w:r>
              <w:rPr>
                <w:sz w:val="18"/>
                <w:szCs w:val="18"/>
              </w:rPr>
              <w:t xml:space="preserve">All products; baseline expectation</w:t>
            </w:r>
          </w:p>
        </w:tc>
      </w:tr>
      <w:tr>
        <w:tc>
          <w:tcPr>
            <w:tcW w:type="dxa" w:w="1400"/>
            <w:tcBorders>
              <w:top w:val="single" w:color="64748B" w:sz="8"/>
              <w:left w:val="single" w:color="64748B" w:sz="8"/>
              <w:bottom w:val="single" w:color="64748B" w:sz="8"/>
              <w:right w:val="single" w:color="64748B" w:sz="8"/>
            </w:tcBorders>
            <w:shd w:fill="FEF3C7" w:val="clear"/>
          </w:tcPr>
          <w:p>
            <w:r>
              <w:rPr>
                <w:b/>
                <w:bCs/>
                <w:sz w:val="18"/>
                <w:szCs w:val="18"/>
              </w:rPr>
              <w:t xml:space="preserve">ADDITIONAL RMMs</w:t>
            </w:r>
          </w:p>
        </w:tc>
        <w:tc>
          <w:tcPr>
            <w:tcW w:type="dxa" w:w="3200"/>
            <w:tcBorders>
              <w:top w:val="single" w:color="64748B" w:sz="8"/>
              <w:left w:val="single" w:color="64748B" w:sz="8"/>
              <w:bottom w:val="single" w:color="64748B" w:sz="8"/>
              <w:right w:val="single" w:color="64748B" w:sz="8"/>
            </w:tcBorders>
            <w:shd w:fill="FEF3C7" w:val="clear"/>
          </w:tcPr>
          <w:p>
            <w:pPr>
              <w:pStyle w:val="ListParagraph"/>
              <w:numPr>
                <w:ilvl w:val="0"/>
                <w:numId w:val="2"/>
              </w:numPr>
            </w:pPr>
            <w:r>
              <w:rPr>
                <w:sz w:val="18"/>
                <w:szCs w:val="18"/>
              </w:rPr>
              <w:t xml:space="preserve">DHCP Letters</w:t>
            </w:r>
          </w:p>
          <w:p>
            <w:pPr>
              <w:pStyle w:val="ListParagraph"/>
              <w:numPr>
                <w:ilvl w:val="0"/>
                <w:numId w:val="2"/>
              </w:numPr>
            </w:pPr>
            <w:r>
              <w:rPr>
                <w:sz w:val="18"/>
                <w:szCs w:val="18"/>
              </w:rPr>
              <w:t xml:space="preserve">Educational materials (HCP/patient guides)</w:t>
            </w:r>
          </w:p>
          <w:p>
            <w:pPr>
              <w:pStyle w:val="ListParagraph"/>
              <w:numPr>
                <w:ilvl w:val="0"/>
                <w:numId w:val="2"/>
              </w:numPr>
            </w:pPr>
            <w:r>
              <w:rPr>
                <w:sz w:val="18"/>
                <w:szCs w:val="18"/>
              </w:rPr>
              <w:t xml:space="preserve">Prescriber checklists</w:t>
            </w:r>
          </w:p>
          <w:p>
            <w:pPr>
              <w:pStyle w:val="ListParagraph"/>
              <w:numPr>
                <w:ilvl w:val="0"/>
                <w:numId w:val="2"/>
              </w:numPr>
            </w:pPr>
            <w:r>
              <w:rPr>
                <w:sz w:val="18"/>
                <w:szCs w:val="18"/>
              </w:rPr>
              <w:t xml:space="preserve">Patient cards</w:t>
            </w:r>
          </w:p>
          <w:p>
            <w:pPr>
              <w:pStyle w:val="ListParagraph"/>
              <w:numPr>
                <w:ilvl w:val="0"/>
                <w:numId w:val="2"/>
              </w:numPr>
            </w:pPr>
            <w:r>
              <w:rPr>
                <w:sz w:val="18"/>
                <w:szCs w:val="18"/>
              </w:rPr>
              <w:t xml:space="preserve">Risk awareness forms</w:t>
            </w:r>
          </w:p>
        </w:tc>
        <w:tc>
          <w:tcPr>
            <w:tcW w:type="dxa" w:w="900"/>
            <w:tcBorders>
              <w:top w:val="single" w:color="64748B" w:sz="8"/>
              <w:left w:val="single" w:color="64748B" w:sz="8"/>
              <w:bottom w:val="single" w:color="64748B" w:sz="8"/>
              <w:right w:val="single" w:color="64748B" w:sz="8"/>
            </w:tcBorders>
            <w:shd w:fill="FEF3C7" w:val="clear"/>
          </w:tcPr>
          <w:p>
            <w:pPr>
              <w:jc w:val="center"/>
            </w:pPr>
            <w:r>
              <w:rPr>
                <w:b/>
                <w:bCs/>
                <w:sz w:val="18"/>
                <w:szCs w:val="18"/>
              </w:rPr>
              <w:t xml:space="preserve">Medium</w:t>
            </w:r>
          </w:p>
        </w:tc>
        <w:tc>
          <w:tcPr>
            <w:tcW w:type="dxa" w:w="2700"/>
            <w:tcBorders>
              <w:top w:val="single" w:color="64748B" w:sz="8"/>
              <w:left w:val="single" w:color="64748B" w:sz="8"/>
              <w:bottom w:val="single" w:color="64748B" w:sz="8"/>
              <w:right w:val="single" w:color="64748B" w:sz="8"/>
            </w:tcBorders>
            <w:shd w:fill="FEF3C7" w:val="clear"/>
          </w:tcPr>
          <w:p>
            <w:r>
              <w:rPr>
                <w:sz w:val="18"/>
                <w:szCs w:val="18"/>
              </w:rPr>
              <w:t xml:space="preserve">When routine measures insufficient to manage identified risks</w:t>
            </w:r>
          </w:p>
        </w:tc>
      </w:tr>
      <w:tr>
        <w:tc>
          <w:tcPr>
            <w:tcW w:type="dxa" w:w="1400"/>
            <w:tcBorders>
              <w:top w:val="single" w:color="64748B" w:sz="8"/>
              <w:left w:val="single" w:color="64748B" w:sz="8"/>
              <w:bottom w:val="single" w:color="64748B" w:sz="8"/>
              <w:right w:val="single" w:color="64748B" w:sz="8"/>
            </w:tcBorders>
            <w:shd w:fill="FEE2E2" w:val="clear"/>
          </w:tcPr>
          <w:p>
            <w:r>
              <w:rPr>
                <w:b/>
                <w:bCs/>
                <w:sz w:val="18"/>
                <w:szCs w:val="18"/>
              </w:rPr>
              <w:t xml:space="preserve">RESTRICTED ACCESS</w:t>
            </w:r>
          </w:p>
        </w:tc>
        <w:tc>
          <w:tcPr>
            <w:tcW w:type="dxa" w:w="3200"/>
            <w:tcBorders>
              <w:top w:val="single" w:color="64748B" w:sz="8"/>
              <w:left w:val="single" w:color="64748B" w:sz="8"/>
              <w:bottom w:val="single" w:color="64748B" w:sz="8"/>
              <w:right w:val="single" w:color="64748B" w:sz="8"/>
            </w:tcBorders>
            <w:shd w:fill="FEE2E2" w:val="clear"/>
          </w:tcPr>
          <w:p>
            <w:pPr>
              <w:pStyle w:val="ListParagraph"/>
              <w:numPr>
                <w:ilvl w:val="0"/>
                <w:numId w:val="2"/>
              </w:numPr>
            </w:pPr>
            <w:r>
              <w:rPr>
                <w:sz w:val="18"/>
                <w:szCs w:val="18"/>
              </w:rPr>
              <w:t xml:space="preserve">Controlled distribution</w:t>
            </w:r>
          </w:p>
          <w:p>
            <w:pPr>
              <w:pStyle w:val="ListParagraph"/>
              <w:numPr>
                <w:ilvl w:val="0"/>
                <w:numId w:val="2"/>
              </w:numPr>
            </w:pPr>
            <w:r>
              <w:rPr>
                <w:sz w:val="18"/>
                <w:szCs w:val="18"/>
              </w:rPr>
              <w:t xml:space="preserve">Mandatory testing/monitoring</w:t>
            </w:r>
          </w:p>
          <w:p>
            <w:pPr>
              <w:pStyle w:val="ListParagraph"/>
              <w:numPr>
                <w:ilvl w:val="0"/>
                <w:numId w:val="2"/>
              </w:numPr>
            </w:pPr>
            <w:r>
              <w:rPr>
                <w:sz w:val="18"/>
                <w:szCs w:val="18"/>
              </w:rPr>
              <w:t xml:space="preserve">Prescriber certification</w:t>
            </w:r>
          </w:p>
          <w:p>
            <w:pPr>
              <w:pStyle w:val="ListParagraph"/>
              <w:numPr>
                <w:ilvl w:val="0"/>
                <w:numId w:val="2"/>
              </w:numPr>
            </w:pPr>
            <w:r>
              <w:rPr>
                <w:sz w:val="18"/>
                <w:szCs w:val="18"/>
              </w:rPr>
              <w:t xml:space="preserve">Patient registries</w:t>
            </w:r>
          </w:p>
          <w:p>
            <w:pPr>
              <w:pStyle w:val="ListParagraph"/>
              <w:numPr>
                <w:ilvl w:val="0"/>
                <w:numId w:val="2"/>
              </w:numPr>
            </w:pPr>
            <w:r>
              <w:rPr>
                <w:sz w:val="18"/>
                <w:szCs w:val="18"/>
              </w:rPr>
              <w:t xml:space="preserve">REMS with ETASU</w:t>
            </w:r>
          </w:p>
        </w:tc>
        <w:tc>
          <w:tcPr>
            <w:tcW w:type="dxa" w:w="900"/>
            <w:tcBorders>
              <w:top w:val="single" w:color="64748B" w:sz="8"/>
              <w:left w:val="single" w:color="64748B" w:sz="8"/>
              <w:bottom w:val="single" w:color="64748B" w:sz="8"/>
              <w:right w:val="single" w:color="64748B" w:sz="8"/>
            </w:tcBorders>
            <w:shd w:fill="FEE2E2" w:val="clear"/>
          </w:tcPr>
          <w:p>
            <w:pPr>
              <w:jc w:val="center"/>
            </w:pPr>
            <w:r>
              <w:rPr>
                <w:b/>
                <w:bCs/>
                <w:sz w:val="18"/>
                <w:szCs w:val="18"/>
              </w:rPr>
              <w:t xml:space="preserve">High</w:t>
            </w:r>
          </w:p>
        </w:tc>
        <w:tc>
          <w:tcPr>
            <w:tcW w:type="dxa" w:w="2700"/>
            <w:tcBorders>
              <w:top w:val="single" w:color="64748B" w:sz="8"/>
              <w:left w:val="single" w:color="64748B" w:sz="8"/>
              <w:bottom w:val="single" w:color="64748B" w:sz="8"/>
              <w:right w:val="single" w:color="64748B" w:sz="8"/>
            </w:tcBorders>
            <w:shd w:fill="FEE2E2" w:val="clear"/>
          </w:tcPr>
          <w:p>
            <w:r>
              <w:rPr>
                <w:sz w:val="18"/>
                <w:szCs w:val="18"/>
              </w:rPr>
              <w:t xml:space="preserve">Serious risks with significant public health impact where agreed measures are essential</w:t>
            </w:r>
          </w:p>
        </w:tc>
      </w:tr>
    </w:tbl>
    <w:p>
      <w:pPr>
        <w:pStyle w:val="Heading1"/>
        <w:spacing w:before="300"/>
      </w:pPr>
      <w:r>
        <w:t xml:space="preserve">  PHASE 1: NEED ASSESSMENT CHECKLIST</w:t>
      </w:r>
    </w:p>
    <w:p>
      <w:pPr>
        <w:spacing w:after="200"/>
      </w:pPr>
      <w:r>
        <w:t xml:space="preserve">Complete this checklist to determine whether additional RMMs beyond routine measures are warranted.</w:t>
      </w:r>
    </w:p>
    <w:p>
      <w:pPr>
        <w:pStyle w:val="Heading2"/>
      </w:pPr>
      <w:r>
        <w:t xml:space="preserve">Risk Characteristics Assessment</w:t>
      </w:r>
    </w:p>
    <w:p>
      <w:pPr>
        <w:pStyle w:val="ListParagraph"/>
        <w:numPr>
          <w:ilvl w:val="0"/>
          <w:numId w:val="3"/>
        </w:numPr>
      </w:pPr>
      <w:r>
        <w:rPr>
          <w:sz w:val="20"/>
          <w:szCs w:val="20"/>
        </w:rPr>
        <w:t xml:space="preserve">Is the risk serious (life-threatening, requires hospitalization, results in disability)?</w:t>
      </w:r>
    </w:p>
    <w:p>
      <w:pPr>
        <w:pStyle w:val="ListParagraph"/>
        <w:numPr>
          <w:ilvl w:val="0"/>
          <w:numId w:val="3"/>
        </w:numPr>
      </w:pPr>
      <w:r>
        <w:rPr>
          <w:sz w:val="20"/>
          <w:szCs w:val="20"/>
        </w:rPr>
        <w:t xml:space="preserve">Is the risk frequent enough to warrant systematic intervention?</w:t>
      </w:r>
    </w:p>
    <w:p>
      <w:pPr>
        <w:pStyle w:val="ListParagraph"/>
        <w:numPr>
          <w:ilvl w:val="0"/>
          <w:numId w:val="3"/>
        </w:numPr>
      </w:pPr>
      <w:r>
        <w:rPr>
          <w:sz w:val="20"/>
          <w:szCs w:val="20"/>
        </w:rPr>
        <w:t xml:space="preserve">Are there identifiable risk factors that could target interventions?</w:t>
      </w:r>
    </w:p>
    <w:p>
      <w:pPr>
        <w:pStyle w:val="ListParagraph"/>
        <w:numPr>
          <w:ilvl w:val="0"/>
          <w:numId w:val="3"/>
        </w:numPr>
      </w:pPr>
      <w:r>
        <w:rPr>
          <w:sz w:val="20"/>
          <w:szCs w:val="20"/>
        </w:rPr>
        <w:t xml:space="preserve">Are there reliable biomarkers or tests to predict/detect the risk?</w:t>
      </w:r>
    </w:p>
    <w:p>
      <w:pPr>
        <w:pStyle w:val="ListParagraph"/>
        <w:numPr>
          <w:ilvl w:val="0"/>
          <w:numId w:val="3"/>
        </w:numPr>
      </w:pPr>
      <w:r>
        <w:rPr>
          <w:sz w:val="20"/>
          <w:szCs w:val="20"/>
        </w:rPr>
        <w:t xml:space="preserve">Can the risk be mitigated by specific actions (monitoring, dose adjustment, contraception)?</w:t>
      </w:r>
    </w:p>
    <w:p>
      <w:pPr>
        <w:pStyle w:val="ListParagraph"/>
        <w:numPr>
          <w:ilvl w:val="0"/>
          <w:numId w:val="3"/>
        </w:numPr>
      </w:pPr>
      <w:r>
        <w:rPr>
          <w:sz w:val="20"/>
          <w:szCs w:val="20"/>
        </w:rPr>
        <w:t xml:space="preserve">Is the risk time-dependent (occurs early, requires ongoing vigilance)?</w:t>
      </w:r>
    </w:p>
    <w:p>
      <w:pPr>
        <w:pStyle w:val="ListParagraph"/>
        <w:numPr>
          <w:ilvl w:val="0"/>
          <w:numId w:val="3"/>
        </w:numPr>
        <w:spacing w:after="200"/>
      </w:pPr>
      <w:r>
        <w:rPr>
          <w:sz w:val="20"/>
          <w:szCs w:val="20"/>
        </w:rPr>
        <w:t xml:space="preserve">Are there vulnerable subpopulations at higher risk (e.g., elderly, pregnant, pediatric)?</w:t>
      </w:r>
    </w:p>
    <w:p>
      <w:pPr>
        <w:pStyle w:val="Heading2"/>
      </w:pPr>
      <w:r>
        <w:t xml:space="preserve">Routine Measures Sufficiency</w:t>
      </w:r>
    </w:p>
    <w:p>
      <w:pPr>
        <w:pStyle w:val="ListParagraph"/>
        <w:numPr>
          <w:ilvl w:val="0"/>
          <w:numId w:val="3"/>
        </w:numPr>
      </w:pPr>
      <w:r>
        <w:rPr>
          <w:sz w:val="20"/>
          <w:szCs w:val="20"/>
        </w:rPr>
        <w:t xml:space="preserve">Can the risk be adequately managed through product labeling alone?</w:t>
      </w:r>
    </w:p>
    <w:p>
      <w:pPr>
        <w:pStyle w:val="ListParagraph"/>
        <w:numPr>
          <w:ilvl w:val="0"/>
          <w:numId w:val="3"/>
        </w:numPr>
      </w:pPr>
      <w:r>
        <w:rPr>
          <w:sz w:val="20"/>
          <w:szCs w:val="20"/>
        </w:rPr>
        <w:t xml:space="preserve">Will healthcare providers reliably read and follow labeling recommendations?</w:t>
      </w:r>
    </w:p>
    <w:p>
      <w:pPr>
        <w:pStyle w:val="ListParagraph"/>
        <w:numPr>
          <w:ilvl w:val="0"/>
          <w:numId w:val="3"/>
        </w:numPr>
      </w:pPr>
      <w:r>
        <w:rPr>
          <w:sz w:val="20"/>
          <w:szCs w:val="20"/>
        </w:rPr>
        <w:t xml:space="preserve">Will patients understand the PIL warnings without additional support?</w:t>
      </w:r>
    </w:p>
    <w:p>
      <w:pPr>
        <w:pStyle w:val="ListParagraph"/>
        <w:numPr>
          <w:ilvl w:val="0"/>
          <w:numId w:val="3"/>
        </w:numPr>
      </w:pPr>
      <w:r>
        <w:rPr>
          <w:sz w:val="20"/>
          <w:szCs w:val="20"/>
        </w:rPr>
        <w:t xml:space="preserve">Is the risk widely known in clinical practice (standard of care includes management)?</w:t>
      </w:r>
    </w:p>
    <w:p>
      <w:pPr>
        <w:pStyle w:val="ListParagraph"/>
        <w:numPr>
          <w:ilvl w:val="0"/>
          <w:numId w:val="3"/>
        </w:numPr>
        <w:spacing w:after="200"/>
      </w:pPr>
      <w:r>
        <w:rPr>
          <w:sz w:val="20"/>
          <w:szCs w:val="20"/>
        </w:rPr>
        <w:t xml:space="preserve">Are there adequate existing clinical practice guidelines addressing this risk?</w:t>
      </w:r>
    </w:p>
    <w:p>
      <w:pPr>
        <w:spacing w:before="100" w:after="100"/>
      </w:pPr>
      <w:r>
        <w:rPr>
          <w:b/>
          <w:bCs/>
          <w:color w:val="D97706"/>
        </w:rPr>
        <w:t xml:space="preserve">⚠ DECISION POINT</w:t>
      </w:r>
    </w:p>
    <w:p>
      <w:pPr>
        <w:spacing w:after="200"/>
      </w:pPr>
      <w:r>
        <w:rPr>
          <w:b/>
          <w:bCs/>
        </w:rPr>
        <w:t xml:space="preserve">If most Risk Characteristics boxes are checked AND Routine Measures boxes are NOT checked</w:t>
      </w:r>
      <w:r>
        <w:t xml:space="preserve"> → Additional RMMs are likely warranted. Proceed to Phase 2.</w:t>
      </w:r>
    </w:p>
    <w:p>
      <w:pPr>
        <w:spacing w:after="200"/>
      </w:pPr>
      <w:r>
        <w:rPr>
          <w:b/>
          <w:bCs/>
        </w:rPr>
        <w:t xml:space="preserve">If Routine Measures appear sufficient</w:t>
      </w:r>
      <w:r>
        <w:t xml:space="preserve"> → Document rationale; routine RMMs may be adequate. Monitor effectiveness post-approval.</w:t>
      </w:r>
    </w:p>
    <w:p>
      <w:r>
        <w:br w:type="page"/>
      </w:r>
    </w:p>
    <w:p>
      <w:pPr>
        <w:pStyle w:val="Heading1"/>
      </w:pPr>
      <w:r>
        <w:t xml:space="preserve">  PHASE 2: RMM TOOL SELECTION MATRIX</w:t>
      </w:r>
    </w:p>
    <w:p>
      <w:pPr>
        <w:spacing w:after="200"/>
      </w:pPr>
      <w:r>
        <w:t xml:space="preserve">Match the risk characteristics and mitigation objectives to the appropriate RMM tools. Multiple tools may be combined for comprehensive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3600"/>
      </w:tblGrid>
      <w:tr>
        <w:trPr>
          <w:tblHeader/>
        </w:trPr>
        <w:tc>
          <w:tcPr>
            <w:tcW w:type="dxa" w:w="14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RMM Tool</w:t>
            </w:r>
          </w:p>
        </w:tc>
        <w:tc>
          <w:tcPr>
            <w:tcW w:type="dxa" w:w="22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Primary Objective</w:t>
            </w:r>
          </w:p>
        </w:tc>
        <w:tc>
          <w:tcPr>
            <w:tcW w:type="dxa" w:w="10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Target</w:t>
            </w:r>
          </w:p>
        </w:tc>
        <w:tc>
          <w:tcPr>
            <w:tcW w:type="dxa" w:w="36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Key Considerations</w:t>
            </w:r>
          </w:p>
        </w:tc>
      </w:tr>
      <w:tr>
        <w:tc>
          <w:tcPr>
            <w:tcW w:type="dxa" w:w="1400"/>
            <w:tcBorders>
              <w:top w:val="single" w:color="64748B" w:sz="8"/>
              <w:left w:val="single" w:color="64748B" w:sz="8"/>
              <w:bottom w:val="single" w:color="64748B" w:sz="8"/>
              <w:right w:val="single" w:color="64748B" w:sz="8"/>
            </w:tcBorders>
          </w:tcPr>
          <w:p>
            <w:r>
              <w:rPr>
                <w:b/>
                <w:bCs/>
                <w:sz w:val="17"/>
                <w:szCs w:val="17"/>
              </w:rPr>
              <w:t xml:space="preserve">DHCP Letter</w:t>
            </w:r>
          </w:p>
        </w:tc>
        <w:tc>
          <w:tcPr>
            <w:tcW w:type="dxa" w:w="2200"/>
            <w:tcBorders>
              <w:top w:val="single" w:color="64748B" w:sz="8"/>
              <w:left w:val="single" w:color="64748B" w:sz="8"/>
              <w:bottom w:val="single" w:color="64748B" w:sz="8"/>
              <w:right w:val="single" w:color="64748B" w:sz="8"/>
            </w:tcBorders>
          </w:tcPr>
          <w:p>
            <w:r>
              <w:rPr>
                <w:sz w:val="17"/>
                <w:szCs w:val="17"/>
              </w:rPr>
              <w:t xml:space="preserve">Urgent safety communication; new risk information</w:t>
            </w:r>
          </w:p>
        </w:tc>
        <w:tc>
          <w:tcPr>
            <w:tcW w:type="dxa" w:w="1000"/>
            <w:tcBorders>
              <w:top w:val="single" w:color="64748B" w:sz="8"/>
              <w:left w:val="single" w:color="64748B" w:sz="8"/>
              <w:bottom w:val="single" w:color="64748B" w:sz="8"/>
              <w:right w:val="single" w:color="64748B" w:sz="8"/>
            </w:tcBorders>
          </w:tcPr>
          <w:p>
            <w:pPr>
              <w:jc w:val="center"/>
            </w:pPr>
            <w:r>
              <w:rPr>
                <w:sz w:val="17"/>
                <w:szCs w:val="17"/>
              </w:rPr>
              <w:t xml:space="preserve">HCPs</w:t>
            </w:r>
          </w:p>
        </w:tc>
        <w:tc>
          <w:tcPr>
            <w:tcW w:type="dxa" w:w="3600"/>
            <w:tcBorders>
              <w:top w:val="single" w:color="64748B" w:sz="8"/>
              <w:left w:val="single" w:color="64748B" w:sz="8"/>
              <w:bottom w:val="single" w:color="64748B" w:sz="8"/>
              <w:right w:val="single" w:color="64748B" w:sz="8"/>
            </w:tcBorders>
          </w:tcPr>
          <w:p>
            <w:r>
              <w:rPr>
                <w:sz w:val="17"/>
                <w:szCs w:val="17"/>
              </w:rPr>
              <w:t xml:space="preserve">Timing critical; one-off distribution may miss new prescribers; clear communication plan needed</w:t>
            </w:r>
          </w:p>
        </w:tc>
      </w:tr>
      <w:tr>
        <w:tc>
          <w:tcPr>
            <w:tcW w:type="dxa" w:w="1400"/>
            <w:tcBorders>
              <w:top w:val="single" w:color="64748B" w:sz="8"/>
              <w:left w:val="single" w:color="64748B" w:sz="8"/>
              <w:bottom w:val="single" w:color="64748B" w:sz="8"/>
              <w:right w:val="single" w:color="64748B" w:sz="8"/>
            </w:tcBorders>
            <w:shd w:fill="F1F5F9" w:val="clear"/>
          </w:tcPr>
          <w:p>
            <w:r>
              <w:rPr>
                <w:b/>
                <w:bCs/>
                <w:sz w:val="17"/>
                <w:szCs w:val="17"/>
              </w:rPr>
              <w:t xml:space="preserve">HCP Educational Materials</w:t>
            </w:r>
          </w:p>
        </w:tc>
        <w:tc>
          <w:tcPr>
            <w:tcW w:type="dxa" w:w="2200"/>
            <w:tcBorders>
              <w:top w:val="single" w:color="64748B" w:sz="8"/>
              <w:left w:val="single" w:color="64748B" w:sz="8"/>
              <w:bottom w:val="single" w:color="64748B" w:sz="8"/>
              <w:right w:val="single" w:color="64748B" w:sz="8"/>
            </w:tcBorders>
            <w:shd w:fill="F1F5F9" w:val="clear"/>
          </w:tcPr>
          <w:p>
            <w:r>
              <w:rPr>
                <w:sz w:val="17"/>
                <w:szCs w:val="17"/>
              </w:rPr>
              <w:t xml:space="preserve">Ensure prescribers understand risk factors, monitoring, management</w:t>
            </w:r>
          </w:p>
        </w:tc>
        <w:tc>
          <w:tcPr>
            <w:tcW w:type="dxa" w:w="1000"/>
            <w:tcBorders>
              <w:top w:val="single" w:color="64748B" w:sz="8"/>
              <w:left w:val="single" w:color="64748B" w:sz="8"/>
              <w:bottom w:val="single" w:color="64748B" w:sz="8"/>
              <w:right w:val="single" w:color="64748B" w:sz="8"/>
            </w:tcBorders>
            <w:shd w:fill="F1F5F9" w:val="clear"/>
          </w:tcPr>
          <w:p>
            <w:pPr>
              <w:jc w:val="center"/>
            </w:pPr>
            <w:r>
              <w:rPr>
                <w:sz w:val="17"/>
                <w:szCs w:val="17"/>
              </w:rPr>
              <w:t xml:space="preserve">Prescribers</w:t>
            </w:r>
          </w:p>
        </w:tc>
        <w:tc>
          <w:tcPr>
            <w:tcW w:type="dxa" w:w="3600"/>
            <w:tcBorders>
              <w:top w:val="single" w:color="64748B" w:sz="8"/>
              <w:left w:val="single" w:color="64748B" w:sz="8"/>
              <w:bottom w:val="single" w:color="64748B" w:sz="8"/>
              <w:right w:val="single" w:color="64748B" w:sz="8"/>
            </w:tcBorders>
            <w:shd w:fill="F1F5F9" w:val="clear"/>
          </w:tcPr>
          <w:p>
            <w:r>
              <w:rPr>
                <w:sz w:val="17"/>
                <w:szCs w:val="17"/>
              </w:rPr>
              <w:t xml:space="preserve">Must add value beyond SmPC; focus on specific safety concerns; avoid promotional appearance; consider CME integration</w:t>
            </w:r>
          </w:p>
        </w:tc>
      </w:tr>
      <w:tr>
        <w:tc>
          <w:tcPr>
            <w:tcW w:type="dxa" w:w="1400"/>
            <w:tcBorders>
              <w:top w:val="single" w:color="64748B" w:sz="8"/>
              <w:left w:val="single" w:color="64748B" w:sz="8"/>
              <w:bottom w:val="single" w:color="64748B" w:sz="8"/>
              <w:right w:val="single" w:color="64748B" w:sz="8"/>
            </w:tcBorders>
          </w:tcPr>
          <w:p>
            <w:r>
              <w:rPr>
                <w:b/>
                <w:bCs/>
                <w:sz w:val="17"/>
                <w:szCs w:val="17"/>
              </w:rPr>
              <w:t xml:space="preserve">Patient/Caregiver Guide</w:t>
            </w:r>
          </w:p>
        </w:tc>
        <w:tc>
          <w:tcPr>
            <w:tcW w:type="dxa" w:w="2200"/>
            <w:tcBorders>
              <w:top w:val="single" w:color="64748B" w:sz="8"/>
              <w:left w:val="single" w:color="64748B" w:sz="8"/>
              <w:bottom w:val="single" w:color="64748B" w:sz="8"/>
              <w:right w:val="single" w:color="64748B" w:sz="8"/>
            </w:tcBorders>
          </w:tcPr>
          <w:p>
            <w:r>
              <w:rPr>
                <w:sz w:val="17"/>
                <w:szCs w:val="17"/>
              </w:rPr>
              <w:t xml:space="preserve">Ensure patients understand risks, warning signs, required actions</w:t>
            </w:r>
          </w:p>
        </w:tc>
        <w:tc>
          <w:tcPr>
            <w:tcW w:type="dxa" w:w="1000"/>
            <w:tcBorders>
              <w:top w:val="single" w:color="64748B" w:sz="8"/>
              <w:left w:val="single" w:color="64748B" w:sz="8"/>
              <w:bottom w:val="single" w:color="64748B" w:sz="8"/>
              <w:right w:val="single" w:color="64748B" w:sz="8"/>
            </w:tcBorders>
          </w:tcPr>
          <w:p>
            <w:pPr>
              <w:jc w:val="center"/>
            </w:pPr>
            <w:r>
              <w:rPr>
                <w:sz w:val="17"/>
                <w:szCs w:val="17"/>
              </w:rPr>
              <w:t xml:space="preserve">Patients</w:t>
            </w:r>
          </w:p>
        </w:tc>
        <w:tc>
          <w:tcPr>
            <w:tcW w:type="dxa" w:w="3600"/>
            <w:tcBorders>
              <w:top w:val="single" w:color="64748B" w:sz="8"/>
              <w:left w:val="single" w:color="64748B" w:sz="8"/>
              <w:bottom w:val="single" w:color="64748B" w:sz="8"/>
              <w:right w:val="single" w:color="64748B" w:sz="8"/>
            </w:tcBorders>
          </w:tcPr>
          <w:p>
            <w:r>
              <w:rPr>
                <w:sz w:val="17"/>
                <w:szCs w:val="17"/>
              </w:rPr>
              <w:t xml:space="preserve">User testing for readability; accessible to different populations; multiple formats may be needed; consider health literacy</w:t>
            </w:r>
          </w:p>
        </w:tc>
      </w:tr>
      <w:tr>
        <w:tc>
          <w:tcPr>
            <w:tcW w:type="dxa" w:w="1400"/>
            <w:tcBorders>
              <w:top w:val="single" w:color="64748B" w:sz="8"/>
              <w:left w:val="single" w:color="64748B" w:sz="8"/>
              <w:bottom w:val="single" w:color="64748B" w:sz="8"/>
              <w:right w:val="single" w:color="64748B" w:sz="8"/>
            </w:tcBorders>
            <w:shd w:fill="F1F5F9" w:val="clear"/>
          </w:tcPr>
          <w:p>
            <w:r>
              <w:rPr>
                <w:b/>
                <w:bCs/>
                <w:sz w:val="17"/>
                <w:szCs w:val="17"/>
              </w:rPr>
              <w:t xml:space="preserve">Prescriber Checklist</w:t>
            </w:r>
          </w:p>
        </w:tc>
        <w:tc>
          <w:tcPr>
            <w:tcW w:type="dxa" w:w="2200"/>
            <w:tcBorders>
              <w:top w:val="single" w:color="64748B" w:sz="8"/>
              <w:left w:val="single" w:color="64748B" w:sz="8"/>
              <w:bottom w:val="single" w:color="64748B" w:sz="8"/>
              <w:right w:val="single" w:color="64748B" w:sz="8"/>
            </w:tcBorders>
            <w:shd w:fill="F1F5F9" w:val="clear"/>
          </w:tcPr>
          <w:p>
            <w:r>
              <w:rPr>
                <w:sz w:val="17"/>
                <w:szCs w:val="17"/>
              </w:rPr>
              <w:t xml:space="preserve">Ensure key safety checks completed before prescribing</w:t>
            </w:r>
          </w:p>
        </w:tc>
        <w:tc>
          <w:tcPr>
            <w:tcW w:type="dxa" w:w="1000"/>
            <w:tcBorders>
              <w:top w:val="single" w:color="64748B" w:sz="8"/>
              <w:left w:val="single" w:color="64748B" w:sz="8"/>
              <w:bottom w:val="single" w:color="64748B" w:sz="8"/>
              <w:right w:val="single" w:color="64748B" w:sz="8"/>
            </w:tcBorders>
            <w:shd w:fill="F1F5F9" w:val="clear"/>
          </w:tcPr>
          <w:p>
            <w:pPr>
              <w:jc w:val="center"/>
            </w:pPr>
            <w:r>
              <w:rPr>
                <w:sz w:val="17"/>
                <w:szCs w:val="17"/>
              </w:rPr>
              <w:t xml:space="preserve">Prescribers</w:t>
            </w:r>
          </w:p>
        </w:tc>
        <w:tc>
          <w:tcPr>
            <w:tcW w:type="dxa" w:w="3600"/>
            <w:tcBorders>
              <w:top w:val="single" w:color="64748B" w:sz="8"/>
              <w:left w:val="single" w:color="64748B" w:sz="8"/>
              <w:bottom w:val="single" w:color="64748B" w:sz="8"/>
              <w:right w:val="single" w:color="64748B" w:sz="8"/>
            </w:tcBorders>
            <w:shd w:fill="F1F5F9" w:val="clear"/>
          </w:tcPr>
          <w:p>
            <w:r>
              <w:rPr>
                <w:sz w:val="17"/>
                <w:szCs w:val="17"/>
              </w:rPr>
              <w:t xml:space="preserve">Should fit clinical workflow; focus on critical decision points; avoid checkbox fatigue</w:t>
            </w:r>
          </w:p>
        </w:tc>
      </w:tr>
      <w:tr>
        <w:tc>
          <w:tcPr>
            <w:tcW w:type="dxa" w:w="1400"/>
            <w:tcBorders>
              <w:top w:val="single" w:color="64748B" w:sz="8"/>
              <w:left w:val="single" w:color="64748B" w:sz="8"/>
              <w:bottom w:val="single" w:color="64748B" w:sz="8"/>
              <w:right w:val="single" w:color="64748B" w:sz="8"/>
            </w:tcBorders>
          </w:tcPr>
          <w:p>
            <w:r>
              <w:rPr>
                <w:b/>
                <w:bCs/>
                <w:sz w:val="17"/>
                <w:szCs w:val="17"/>
              </w:rPr>
              <w:t xml:space="preserve">Patient Acknowledgment Form</w:t>
            </w:r>
          </w:p>
        </w:tc>
        <w:tc>
          <w:tcPr>
            <w:tcW w:type="dxa" w:w="2200"/>
            <w:tcBorders>
              <w:top w:val="single" w:color="64748B" w:sz="8"/>
              <w:left w:val="single" w:color="64748B" w:sz="8"/>
              <w:bottom w:val="single" w:color="64748B" w:sz="8"/>
              <w:right w:val="single" w:color="64748B" w:sz="8"/>
            </w:tcBorders>
          </w:tcPr>
          <w:p>
            <w:r>
              <w:rPr>
                <w:sz w:val="17"/>
                <w:szCs w:val="17"/>
              </w:rPr>
              <w:t xml:space="preserve">Document patient informed of specific risks</w:t>
            </w:r>
          </w:p>
        </w:tc>
        <w:tc>
          <w:tcPr>
            <w:tcW w:type="dxa" w:w="1000"/>
            <w:tcBorders>
              <w:top w:val="single" w:color="64748B" w:sz="8"/>
              <w:left w:val="single" w:color="64748B" w:sz="8"/>
              <w:bottom w:val="single" w:color="64748B" w:sz="8"/>
              <w:right w:val="single" w:color="64748B" w:sz="8"/>
            </w:tcBorders>
          </w:tcPr>
          <w:p>
            <w:pPr>
              <w:jc w:val="center"/>
            </w:pPr>
            <w:r>
              <w:rPr>
                <w:sz w:val="17"/>
                <w:szCs w:val="17"/>
              </w:rPr>
              <w:t xml:space="preserve">Patients, HCPs</w:t>
            </w:r>
          </w:p>
        </w:tc>
        <w:tc>
          <w:tcPr>
            <w:tcW w:type="dxa" w:w="3600"/>
            <w:tcBorders>
              <w:top w:val="single" w:color="64748B" w:sz="8"/>
              <w:left w:val="single" w:color="64748B" w:sz="8"/>
              <w:bottom w:val="single" w:color="64748B" w:sz="8"/>
              <w:right w:val="single" w:color="64748B" w:sz="8"/>
            </w:tcBorders>
          </w:tcPr>
          <w:p>
            <w:r>
              <w:rPr>
                <w:sz w:val="17"/>
                <w:szCs w:val="17"/>
              </w:rPr>
              <w:t xml:space="preserve">Should not be merely administrative; opportunity for dialogue; consider informed consent principles</w:t>
            </w:r>
          </w:p>
        </w:tc>
      </w:tr>
      <w:tr>
        <w:tc>
          <w:tcPr>
            <w:tcW w:type="dxa" w:w="1400"/>
            <w:tcBorders>
              <w:top w:val="single" w:color="64748B" w:sz="8"/>
              <w:left w:val="single" w:color="64748B" w:sz="8"/>
              <w:bottom w:val="single" w:color="64748B" w:sz="8"/>
              <w:right w:val="single" w:color="64748B" w:sz="8"/>
            </w:tcBorders>
            <w:shd w:fill="F1F5F9" w:val="clear"/>
          </w:tcPr>
          <w:p>
            <w:r>
              <w:rPr>
                <w:b/>
                <w:bCs/>
                <w:sz w:val="17"/>
                <w:szCs w:val="17"/>
              </w:rPr>
              <w:t xml:space="preserve">Patient Card</w:t>
            </w:r>
          </w:p>
        </w:tc>
        <w:tc>
          <w:tcPr>
            <w:tcW w:type="dxa" w:w="2200"/>
            <w:tcBorders>
              <w:top w:val="single" w:color="64748B" w:sz="8"/>
              <w:left w:val="single" w:color="64748B" w:sz="8"/>
              <w:bottom w:val="single" w:color="64748B" w:sz="8"/>
              <w:right w:val="single" w:color="64748B" w:sz="8"/>
            </w:tcBorders>
            <w:shd w:fill="F1F5F9" w:val="clear"/>
          </w:tcPr>
          <w:p>
            <w:r>
              <w:rPr>
                <w:sz w:val="17"/>
                <w:szCs w:val="17"/>
              </w:rPr>
              <w:t xml:space="preserve">Provide portable safety information for emergency/other HCPs</w:t>
            </w:r>
          </w:p>
        </w:tc>
        <w:tc>
          <w:tcPr>
            <w:tcW w:type="dxa" w:w="1000"/>
            <w:tcBorders>
              <w:top w:val="single" w:color="64748B" w:sz="8"/>
              <w:left w:val="single" w:color="64748B" w:sz="8"/>
              <w:bottom w:val="single" w:color="64748B" w:sz="8"/>
              <w:right w:val="single" w:color="64748B" w:sz="8"/>
            </w:tcBorders>
            <w:shd w:fill="F1F5F9" w:val="clear"/>
          </w:tcPr>
          <w:p>
            <w:pPr>
              <w:jc w:val="center"/>
            </w:pPr>
            <w:r>
              <w:rPr>
                <w:sz w:val="17"/>
                <w:szCs w:val="17"/>
              </w:rPr>
              <w:t xml:space="preserve">Patients, other HCPs</w:t>
            </w:r>
          </w:p>
        </w:tc>
        <w:tc>
          <w:tcPr>
            <w:tcW w:type="dxa" w:w="3600"/>
            <w:tcBorders>
              <w:top w:val="single" w:color="64748B" w:sz="8"/>
              <w:left w:val="single" w:color="64748B" w:sz="8"/>
              <w:bottom w:val="single" w:color="64748B" w:sz="8"/>
              <w:right w:val="single" w:color="64748B" w:sz="8"/>
            </w:tcBorders>
            <w:shd w:fill="F1F5F9" w:val="clear"/>
          </w:tcPr>
          <w:p>
            <w:r>
              <w:rPr>
                <w:sz w:val="17"/>
                <w:szCs w:val="17"/>
              </w:rPr>
              <w:t xml:space="preserve">Wallet-sized, durable; key information only; include emergency contacts</w:t>
            </w:r>
          </w:p>
        </w:tc>
      </w:tr>
      <w:tr>
        <w:tc>
          <w:tcPr>
            <w:tcW w:type="dxa" w:w="1400"/>
            <w:tcBorders>
              <w:top w:val="single" w:color="64748B" w:sz="8"/>
              <w:left w:val="single" w:color="64748B" w:sz="8"/>
              <w:bottom w:val="single" w:color="64748B" w:sz="8"/>
              <w:right w:val="single" w:color="64748B" w:sz="8"/>
            </w:tcBorders>
          </w:tcPr>
          <w:p>
            <w:r>
              <w:rPr>
                <w:b/>
                <w:bCs/>
                <w:sz w:val="17"/>
                <w:szCs w:val="17"/>
              </w:rPr>
              <w:t xml:space="preserve">Controlled Distribution</w:t>
            </w:r>
          </w:p>
        </w:tc>
        <w:tc>
          <w:tcPr>
            <w:tcW w:type="dxa" w:w="2200"/>
            <w:tcBorders>
              <w:top w:val="single" w:color="64748B" w:sz="8"/>
              <w:left w:val="single" w:color="64748B" w:sz="8"/>
              <w:bottom w:val="single" w:color="64748B" w:sz="8"/>
              <w:right w:val="single" w:color="64748B" w:sz="8"/>
            </w:tcBorders>
          </w:tcPr>
          <w:p>
            <w:r>
              <w:rPr>
                <w:sz w:val="17"/>
                <w:szCs w:val="17"/>
              </w:rPr>
              <w:t xml:space="preserve">Restrict access to certified prescribers/pharmacies</w:t>
            </w:r>
          </w:p>
        </w:tc>
        <w:tc>
          <w:tcPr>
            <w:tcW w:type="dxa" w:w="1000"/>
            <w:tcBorders>
              <w:top w:val="single" w:color="64748B" w:sz="8"/>
              <w:left w:val="single" w:color="64748B" w:sz="8"/>
              <w:bottom w:val="single" w:color="64748B" w:sz="8"/>
              <w:right w:val="single" w:color="64748B" w:sz="8"/>
            </w:tcBorders>
          </w:tcPr>
          <w:p>
            <w:pPr>
              <w:jc w:val="center"/>
            </w:pPr>
            <w:r>
              <w:rPr>
                <w:sz w:val="17"/>
                <w:szCs w:val="17"/>
              </w:rPr>
              <w:t xml:space="preserve">System</w:t>
            </w:r>
          </w:p>
        </w:tc>
        <w:tc>
          <w:tcPr>
            <w:tcW w:type="dxa" w:w="3600"/>
            <w:tcBorders>
              <w:top w:val="single" w:color="64748B" w:sz="8"/>
              <w:left w:val="single" w:color="64748B" w:sz="8"/>
              <w:bottom w:val="single" w:color="64748B" w:sz="8"/>
              <w:right w:val="single" w:color="64748B" w:sz="8"/>
            </w:tcBorders>
          </w:tcPr>
          <w:p>
            <w:r>
              <w:rPr>
                <w:sz w:val="17"/>
                <w:szCs w:val="17"/>
              </w:rPr>
              <w:t xml:space="preserve">Reserved for serious risks; may discourage appropriate use; requires infrastructure; unintended consequences possible</w:t>
            </w:r>
          </w:p>
        </w:tc>
      </w:tr>
      <w:tr>
        <w:tc>
          <w:tcPr>
            <w:tcW w:type="dxa" w:w="1400"/>
            <w:tcBorders>
              <w:top w:val="single" w:color="64748B" w:sz="8"/>
              <w:left w:val="single" w:color="64748B" w:sz="8"/>
              <w:bottom w:val="single" w:color="64748B" w:sz="8"/>
              <w:right w:val="single" w:color="64748B" w:sz="8"/>
            </w:tcBorders>
            <w:shd w:fill="F1F5F9" w:val="clear"/>
          </w:tcPr>
          <w:p>
            <w:r>
              <w:rPr>
                <w:b/>
                <w:bCs/>
                <w:sz w:val="17"/>
                <w:szCs w:val="17"/>
              </w:rPr>
              <w:t xml:space="preserve">REMS (US only)</w:t>
            </w:r>
          </w:p>
        </w:tc>
        <w:tc>
          <w:tcPr>
            <w:tcW w:type="dxa" w:w="2200"/>
            <w:tcBorders>
              <w:top w:val="single" w:color="64748B" w:sz="8"/>
              <w:left w:val="single" w:color="64748B" w:sz="8"/>
              <w:bottom w:val="single" w:color="64748B" w:sz="8"/>
              <w:right w:val="single" w:color="64748B" w:sz="8"/>
            </w:tcBorders>
            <w:shd w:fill="F1F5F9" w:val="clear"/>
          </w:tcPr>
          <w:p>
            <w:r>
              <w:rPr>
                <w:sz w:val="17"/>
                <w:szCs w:val="17"/>
              </w:rPr>
              <w:t xml:space="preserve">FDA-mandated risk mitigation program</w:t>
            </w:r>
          </w:p>
        </w:tc>
        <w:tc>
          <w:tcPr>
            <w:tcW w:type="dxa" w:w="1000"/>
            <w:tcBorders>
              <w:top w:val="single" w:color="64748B" w:sz="8"/>
              <w:left w:val="single" w:color="64748B" w:sz="8"/>
              <w:bottom w:val="single" w:color="64748B" w:sz="8"/>
              <w:right w:val="single" w:color="64748B" w:sz="8"/>
            </w:tcBorders>
            <w:shd w:fill="F1F5F9" w:val="clear"/>
          </w:tcPr>
          <w:p>
            <w:pPr>
              <w:jc w:val="center"/>
            </w:pPr>
            <w:r>
              <w:rPr>
                <w:sz w:val="17"/>
                <w:szCs w:val="17"/>
              </w:rPr>
              <w:t xml:space="preserve">All</w:t>
            </w:r>
          </w:p>
        </w:tc>
        <w:tc>
          <w:tcPr>
            <w:tcW w:type="dxa" w:w="3600"/>
            <w:tcBorders>
              <w:top w:val="single" w:color="64748B" w:sz="8"/>
              <w:left w:val="single" w:color="64748B" w:sz="8"/>
              <w:bottom w:val="single" w:color="64748B" w:sz="8"/>
              <w:right w:val="single" w:color="64748B" w:sz="8"/>
            </w:tcBorders>
            <w:shd w:fill="F1F5F9" w:val="clear"/>
          </w:tcPr>
          <w:p>
            <w:r>
              <w:rPr>
                <w:sz w:val="17"/>
                <w:szCs w:val="17"/>
              </w:rPr>
              <w:t xml:space="preserve">ETASU = Elements To Assure Safe Use; may include all above tools; periodic assessment required; significant resource commitment</w:t>
            </w:r>
          </w:p>
        </w:tc>
      </w:tr>
    </w:tbl>
    <w:p>
      <w:pPr>
        <w:pStyle w:val="Heading1"/>
        <w:spacing w:before="300"/>
      </w:pPr>
      <w:r>
        <w:t xml:space="preserve">  RISK-TO-TOOL MATCHING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600"/>
      </w:tblGrid>
      <w:tr>
        <w:trPr>
          <w:tblHeader/>
        </w:trPr>
        <w:tc>
          <w:tcPr>
            <w:tcW w:type="dxa" w:w="1800"/>
            <w:tcBorders>
              <w:top w:val="single" w:color="64748B" w:sz="8"/>
              <w:left w:val="single" w:color="64748B" w:sz="8"/>
              <w:bottom w:val="single" w:color="64748B" w:sz="8"/>
              <w:right w:val="single" w:color="64748B" w:sz="8"/>
            </w:tcBorders>
            <w:shd w:fill="0D9488" w:val="clear"/>
          </w:tcPr>
          <w:p>
            <w:pPr>
              <w:jc w:val="center"/>
            </w:pPr>
            <w:r>
              <w:rPr>
                <w:b/>
                <w:bCs/>
                <w:color w:val="FFFFFF"/>
                <w:sz w:val="18"/>
                <w:szCs w:val="18"/>
              </w:rPr>
              <w:t xml:space="preserve">Risk Type</w:t>
            </w:r>
          </w:p>
        </w:tc>
        <w:tc>
          <w:tcPr>
            <w:tcW w:type="dxa" w:w="3800"/>
            <w:tcBorders>
              <w:top w:val="single" w:color="64748B" w:sz="8"/>
              <w:left w:val="single" w:color="64748B" w:sz="8"/>
              <w:bottom w:val="single" w:color="64748B" w:sz="8"/>
              <w:right w:val="single" w:color="64748B" w:sz="8"/>
            </w:tcBorders>
            <w:shd w:fill="0D9488" w:val="clear"/>
          </w:tcPr>
          <w:p>
            <w:pPr>
              <w:jc w:val="center"/>
            </w:pPr>
            <w:r>
              <w:rPr>
                <w:b/>
                <w:bCs/>
                <w:color w:val="FFFFFF"/>
                <w:sz w:val="18"/>
                <w:szCs w:val="18"/>
              </w:rPr>
              <w:t xml:space="preserve">Recommended RMM Tools</w:t>
            </w:r>
          </w:p>
        </w:tc>
        <w:tc>
          <w:tcPr>
            <w:tcW w:type="dxa" w:w="2600"/>
            <w:tcBorders>
              <w:top w:val="single" w:color="64748B" w:sz="8"/>
              <w:left w:val="single" w:color="64748B" w:sz="8"/>
              <w:bottom w:val="single" w:color="64748B" w:sz="8"/>
              <w:right w:val="single" w:color="64748B" w:sz="8"/>
            </w:tcBorders>
            <w:shd w:fill="0D9488" w:val="clear"/>
          </w:tcPr>
          <w:p>
            <w:pPr>
              <w:jc w:val="center"/>
            </w:pPr>
            <w:r>
              <w:rPr>
                <w:b/>
                <w:bCs/>
                <w:color w:val="FFFFFF"/>
                <w:sz w:val="18"/>
                <w:szCs w:val="18"/>
              </w:rPr>
              <w:t xml:space="preserve">Rationale</w:t>
            </w:r>
          </w:p>
        </w:tc>
      </w:tr>
      <w:tr>
        <w:tc>
          <w:tcPr>
            <w:tcW w:type="dxa" w:w="1800"/>
            <w:tcBorders>
              <w:top w:val="single" w:color="64748B" w:sz="8"/>
              <w:left w:val="single" w:color="64748B" w:sz="8"/>
              <w:bottom w:val="single" w:color="64748B" w:sz="8"/>
              <w:right w:val="single" w:color="64748B" w:sz="8"/>
            </w:tcBorders>
          </w:tcPr>
          <w:p>
            <w:r>
              <w:rPr>
                <w:b/>
                <w:bCs/>
                <w:sz w:val="17"/>
                <w:szCs w:val="17"/>
              </w:rPr>
              <w:t xml:space="preserve">Teratogenicity / Embryo-fetal toxicity</w:t>
            </w:r>
          </w:p>
        </w:tc>
        <w:tc>
          <w:tcPr>
            <w:tcW w:type="dxa" w:w="3800"/>
            <w:tcBorders>
              <w:top w:val="single" w:color="64748B" w:sz="8"/>
              <w:left w:val="single" w:color="64748B" w:sz="8"/>
              <w:bottom w:val="single" w:color="64748B" w:sz="8"/>
              <w:right w:val="single" w:color="64748B" w:sz="8"/>
            </w:tcBorders>
          </w:tcPr>
          <w:p>
            <w:r>
              <w:rPr>
                <w:sz w:val="17"/>
                <w:szCs w:val="17"/>
              </w:rPr>
              <w:t xml:space="preserve">Pregnancy prevention program: Patient guide, HCP guide, Prescriber checklist (pregnancy test), Patient acknowledgment, Controlled distribution</w:t>
            </w:r>
          </w:p>
        </w:tc>
        <w:tc>
          <w:tcPr>
            <w:tcW w:type="dxa" w:w="2600"/>
            <w:tcBorders>
              <w:top w:val="single" w:color="64748B" w:sz="8"/>
              <w:left w:val="single" w:color="64748B" w:sz="8"/>
              <w:bottom w:val="single" w:color="64748B" w:sz="8"/>
              <w:right w:val="single" w:color="64748B" w:sz="8"/>
            </w:tcBorders>
          </w:tcPr>
          <w:p>
            <w:r>
              <w:rPr>
                <w:sz w:val="17"/>
                <w:szCs w:val="17"/>
              </w:rPr>
              <w:t xml:space="preserve">Requires systematic prevention; monitoring compliance; restriction to appropriate populations</w:t>
            </w:r>
          </w:p>
        </w:tc>
      </w:tr>
      <w:tr>
        <w:tc>
          <w:tcPr>
            <w:tcW w:type="dxa" w:w="1800"/>
            <w:tcBorders>
              <w:top w:val="single" w:color="64748B" w:sz="8"/>
              <w:left w:val="single" w:color="64748B" w:sz="8"/>
              <w:bottom w:val="single" w:color="64748B" w:sz="8"/>
              <w:right w:val="single" w:color="64748B" w:sz="8"/>
            </w:tcBorders>
            <w:shd w:fill="CCFBF1" w:val="clear"/>
          </w:tcPr>
          <w:p>
            <w:r>
              <w:rPr>
                <w:b/>
                <w:bCs/>
                <w:sz w:val="17"/>
                <w:szCs w:val="17"/>
              </w:rPr>
              <w:t xml:space="preserve">Hepatotoxicity requiring monitoring</w:t>
            </w:r>
          </w:p>
        </w:tc>
        <w:tc>
          <w:tcPr>
            <w:tcW w:type="dxa" w:w="3800"/>
            <w:tcBorders>
              <w:top w:val="single" w:color="64748B" w:sz="8"/>
              <w:left w:val="single" w:color="64748B" w:sz="8"/>
              <w:bottom w:val="single" w:color="64748B" w:sz="8"/>
              <w:right w:val="single" w:color="64748B" w:sz="8"/>
            </w:tcBorders>
            <w:shd w:fill="CCFBF1" w:val="clear"/>
          </w:tcPr>
          <w:p>
            <w:r>
              <w:rPr>
                <w:sz w:val="17"/>
                <w:szCs w:val="17"/>
              </w:rPr>
              <w:t xml:space="preserve">HCP educational materials, Prescriber checklist (LFT schedule), Patient card (monitoring dates)</w:t>
            </w:r>
          </w:p>
        </w:tc>
        <w:tc>
          <w:tcPr>
            <w:tcW w:type="dxa" w:w="2600"/>
            <w:tcBorders>
              <w:top w:val="single" w:color="64748B" w:sz="8"/>
              <w:left w:val="single" w:color="64748B" w:sz="8"/>
              <w:bottom w:val="single" w:color="64748B" w:sz="8"/>
              <w:right w:val="single" w:color="64748B" w:sz="8"/>
            </w:tcBorders>
            <w:shd w:fill="CCFBF1" w:val="clear"/>
          </w:tcPr>
          <w:p>
            <w:r>
              <w:rPr>
                <w:sz w:val="17"/>
                <w:szCs w:val="17"/>
              </w:rPr>
              <w:t xml:space="preserve">HCPs must know monitoring protocol; patients need to adhere to testing schedule</w:t>
            </w:r>
          </w:p>
        </w:tc>
      </w:tr>
      <w:tr>
        <w:tc>
          <w:tcPr>
            <w:tcW w:type="dxa" w:w="1800"/>
            <w:tcBorders>
              <w:top w:val="single" w:color="64748B" w:sz="8"/>
              <w:left w:val="single" w:color="64748B" w:sz="8"/>
              <w:bottom w:val="single" w:color="64748B" w:sz="8"/>
              <w:right w:val="single" w:color="64748B" w:sz="8"/>
            </w:tcBorders>
          </w:tcPr>
          <w:p>
            <w:r>
              <w:rPr>
                <w:b/>
                <w:bCs/>
                <w:sz w:val="17"/>
                <w:szCs w:val="17"/>
              </w:rPr>
              <w:t xml:space="preserve">Serious infection risk (immunosuppression)</w:t>
            </w:r>
          </w:p>
        </w:tc>
        <w:tc>
          <w:tcPr>
            <w:tcW w:type="dxa" w:w="3800"/>
            <w:tcBorders>
              <w:top w:val="single" w:color="64748B" w:sz="8"/>
              <w:left w:val="single" w:color="64748B" w:sz="8"/>
              <w:bottom w:val="single" w:color="64748B" w:sz="8"/>
              <w:right w:val="single" w:color="64748B" w:sz="8"/>
            </w:tcBorders>
          </w:tcPr>
          <w:p>
            <w:r>
              <w:rPr>
                <w:sz w:val="17"/>
                <w:szCs w:val="17"/>
              </w:rPr>
              <w:t xml:space="preserve">Patient guide (infection signs), Patient card, DHCP letter (if new information)</w:t>
            </w:r>
          </w:p>
        </w:tc>
        <w:tc>
          <w:tcPr>
            <w:tcW w:type="dxa" w:w="2600"/>
            <w:tcBorders>
              <w:top w:val="single" w:color="64748B" w:sz="8"/>
              <w:left w:val="single" w:color="64748B" w:sz="8"/>
              <w:bottom w:val="single" w:color="64748B" w:sz="8"/>
              <w:right w:val="single" w:color="64748B" w:sz="8"/>
            </w:tcBorders>
          </w:tcPr>
          <w:p>
            <w:r>
              <w:rPr>
                <w:sz w:val="17"/>
                <w:szCs w:val="17"/>
              </w:rPr>
              <w:t xml:space="preserve">Patients must recognize warning signs; emergency providers need awareness</w:t>
            </w:r>
          </w:p>
        </w:tc>
      </w:tr>
      <w:tr>
        <w:tc>
          <w:tcPr>
            <w:tcW w:type="dxa" w:w="1800"/>
            <w:tcBorders>
              <w:top w:val="single" w:color="64748B" w:sz="8"/>
              <w:left w:val="single" w:color="64748B" w:sz="8"/>
              <w:bottom w:val="single" w:color="64748B" w:sz="8"/>
              <w:right w:val="single" w:color="64748B" w:sz="8"/>
            </w:tcBorders>
            <w:shd w:fill="CCFBF1" w:val="clear"/>
          </w:tcPr>
          <w:p>
            <w:r>
              <w:rPr>
                <w:b/>
                <w:bCs/>
                <w:sz w:val="17"/>
                <w:szCs w:val="17"/>
              </w:rPr>
              <w:t xml:space="preserve">QT prolongation</w:t>
            </w:r>
          </w:p>
        </w:tc>
        <w:tc>
          <w:tcPr>
            <w:tcW w:type="dxa" w:w="3800"/>
            <w:tcBorders>
              <w:top w:val="single" w:color="64748B" w:sz="8"/>
              <w:left w:val="single" w:color="64748B" w:sz="8"/>
              <w:bottom w:val="single" w:color="64748B" w:sz="8"/>
              <w:right w:val="single" w:color="64748B" w:sz="8"/>
            </w:tcBorders>
            <w:shd w:fill="CCFBF1" w:val="clear"/>
          </w:tcPr>
          <w:p>
            <w:r>
              <w:rPr>
                <w:sz w:val="17"/>
                <w:szCs w:val="17"/>
              </w:rPr>
              <w:t xml:space="preserve">HCP educational materials (DDI list), Prescriber checklist (ECG, electrolytes, DDI check)</w:t>
            </w:r>
          </w:p>
        </w:tc>
        <w:tc>
          <w:tcPr>
            <w:tcW w:type="dxa" w:w="2600"/>
            <w:tcBorders>
              <w:top w:val="single" w:color="64748B" w:sz="8"/>
              <w:left w:val="single" w:color="64748B" w:sz="8"/>
              <w:bottom w:val="single" w:color="64748B" w:sz="8"/>
              <w:right w:val="single" w:color="64748B" w:sz="8"/>
            </w:tcBorders>
            <w:shd w:fill="CCFBF1" w:val="clear"/>
          </w:tcPr>
          <w:p>
            <w:r>
              <w:rPr>
                <w:sz w:val="17"/>
                <w:szCs w:val="17"/>
              </w:rPr>
              <w:t xml:space="preserve">Prescribers must check contraindicated combinations and monitor ECG</w:t>
            </w:r>
          </w:p>
        </w:tc>
      </w:tr>
      <w:tr>
        <w:tc>
          <w:tcPr>
            <w:tcW w:type="dxa" w:w="1800"/>
            <w:tcBorders>
              <w:top w:val="single" w:color="64748B" w:sz="8"/>
              <w:left w:val="single" w:color="64748B" w:sz="8"/>
              <w:bottom w:val="single" w:color="64748B" w:sz="8"/>
              <w:right w:val="single" w:color="64748B" w:sz="8"/>
            </w:tcBorders>
          </w:tcPr>
          <w:p>
            <w:r>
              <w:rPr>
                <w:b/>
                <w:bCs/>
                <w:sz w:val="17"/>
                <w:szCs w:val="17"/>
              </w:rPr>
              <w:t xml:space="preserve">Severe hypersensitivity / anaphylaxis</w:t>
            </w:r>
          </w:p>
        </w:tc>
        <w:tc>
          <w:tcPr>
            <w:tcW w:type="dxa" w:w="3800"/>
            <w:tcBorders>
              <w:top w:val="single" w:color="64748B" w:sz="8"/>
              <w:left w:val="single" w:color="64748B" w:sz="8"/>
              <w:bottom w:val="single" w:color="64748B" w:sz="8"/>
              <w:right w:val="single" w:color="64748B" w:sz="8"/>
            </w:tcBorders>
          </w:tcPr>
          <w:p>
            <w:r>
              <w:rPr>
                <w:sz w:val="17"/>
                <w:szCs w:val="17"/>
              </w:rPr>
              <w:t xml:space="preserve">Patient card, Patient guide (early symptoms), First-dose observation requirement</w:t>
            </w:r>
          </w:p>
        </w:tc>
        <w:tc>
          <w:tcPr>
            <w:tcW w:type="dxa" w:w="2600"/>
            <w:tcBorders>
              <w:top w:val="single" w:color="64748B" w:sz="8"/>
              <w:left w:val="single" w:color="64748B" w:sz="8"/>
              <w:bottom w:val="single" w:color="64748B" w:sz="8"/>
              <w:right w:val="single" w:color="64748B" w:sz="8"/>
            </w:tcBorders>
          </w:tcPr>
          <w:p>
            <w:r>
              <w:rPr>
                <w:sz w:val="17"/>
                <w:szCs w:val="17"/>
              </w:rPr>
              <w:t xml:space="preserve">Rapid recognition critical; may require administration setting restrictions</w:t>
            </w:r>
          </w:p>
        </w:tc>
      </w:tr>
      <w:tr>
        <w:tc>
          <w:tcPr>
            <w:tcW w:type="dxa" w:w="1800"/>
            <w:tcBorders>
              <w:top w:val="single" w:color="64748B" w:sz="8"/>
              <w:left w:val="single" w:color="64748B" w:sz="8"/>
              <w:bottom w:val="single" w:color="64748B" w:sz="8"/>
              <w:right w:val="single" w:color="64748B" w:sz="8"/>
            </w:tcBorders>
            <w:shd w:fill="CCFBF1" w:val="clear"/>
          </w:tcPr>
          <w:p>
            <w:r>
              <w:rPr>
                <w:b/>
                <w:bCs/>
                <w:sz w:val="17"/>
                <w:szCs w:val="17"/>
              </w:rPr>
              <w:t xml:space="preserve">Medication errors (LASA, complex dosing)</w:t>
            </w:r>
          </w:p>
        </w:tc>
        <w:tc>
          <w:tcPr>
            <w:tcW w:type="dxa" w:w="3800"/>
            <w:tcBorders>
              <w:top w:val="single" w:color="64748B" w:sz="8"/>
              <w:left w:val="single" w:color="64748B" w:sz="8"/>
              <w:bottom w:val="single" w:color="64748B" w:sz="8"/>
              <w:right w:val="single" w:color="64748B" w:sz="8"/>
            </w:tcBorders>
            <w:shd w:fill="CCFBF1" w:val="clear"/>
          </w:tcPr>
          <w:p>
            <w:r>
              <w:rPr>
                <w:sz w:val="17"/>
                <w:szCs w:val="17"/>
              </w:rPr>
              <w:t xml:space="preserve">HCP educational materials, Patient guide, Distinctive packaging</w:t>
            </w:r>
          </w:p>
        </w:tc>
        <w:tc>
          <w:tcPr>
            <w:tcW w:type="dxa" w:w="2600"/>
            <w:tcBorders>
              <w:top w:val="single" w:color="64748B" w:sz="8"/>
              <w:left w:val="single" w:color="64748B" w:sz="8"/>
              <w:bottom w:val="single" w:color="64748B" w:sz="8"/>
              <w:right w:val="single" w:color="64748B" w:sz="8"/>
            </w:tcBorders>
            <w:shd w:fill="CCFBF1" w:val="clear"/>
          </w:tcPr>
          <w:p>
            <w:r>
              <w:rPr>
                <w:sz w:val="17"/>
                <w:szCs w:val="17"/>
              </w:rPr>
              <w:t xml:space="preserve">Focus on error prevention at prescribing, dispensing, and administration</w:t>
            </w:r>
          </w:p>
        </w:tc>
      </w:tr>
      <w:tr>
        <w:tc>
          <w:tcPr>
            <w:tcW w:type="dxa" w:w="1800"/>
            <w:tcBorders>
              <w:top w:val="single" w:color="64748B" w:sz="8"/>
              <w:left w:val="single" w:color="64748B" w:sz="8"/>
              <w:bottom w:val="single" w:color="64748B" w:sz="8"/>
              <w:right w:val="single" w:color="64748B" w:sz="8"/>
            </w:tcBorders>
          </w:tcPr>
          <w:p>
            <w:r>
              <w:rPr>
                <w:b/>
                <w:bCs/>
                <w:sz w:val="17"/>
                <w:szCs w:val="17"/>
              </w:rPr>
              <w:t xml:space="preserve">Abuse / dependence potential</w:t>
            </w:r>
          </w:p>
        </w:tc>
        <w:tc>
          <w:tcPr>
            <w:tcW w:type="dxa" w:w="3800"/>
            <w:tcBorders>
              <w:top w:val="single" w:color="64748B" w:sz="8"/>
              <w:left w:val="single" w:color="64748B" w:sz="8"/>
              <w:bottom w:val="single" w:color="64748B" w:sz="8"/>
              <w:right w:val="single" w:color="64748B" w:sz="8"/>
            </w:tcBorders>
          </w:tcPr>
          <w:p>
            <w:r>
              <w:rPr>
                <w:sz w:val="17"/>
                <w:szCs w:val="17"/>
              </w:rPr>
              <w:t xml:space="preserve">Prescriber certification, Patient agreements, Controlled distribution, Prescription monitoring</w:t>
            </w:r>
          </w:p>
        </w:tc>
        <w:tc>
          <w:tcPr>
            <w:tcW w:type="dxa" w:w="2600"/>
            <w:tcBorders>
              <w:top w:val="single" w:color="64748B" w:sz="8"/>
              <w:left w:val="single" w:color="64748B" w:sz="8"/>
              <w:bottom w:val="single" w:color="64748B" w:sz="8"/>
              <w:right w:val="single" w:color="64748B" w:sz="8"/>
            </w:tcBorders>
          </w:tcPr>
          <w:p>
            <w:r>
              <w:rPr>
                <w:sz w:val="17"/>
                <w:szCs w:val="17"/>
              </w:rPr>
              <w:t xml:space="preserve">Restrict access; document appropriate use; surveillance for diversion</w:t>
            </w:r>
          </w:p>
        </w:tc>
      </w:tr>
    </w:tbl>
    <w:p>
      <w:r>
        <w:br w:type="page"/>
      </w:r>
    </w:p>
    <w:p>
      <w:pPr>
        <w:pStyle w:val="Heading1"/>
      </w:pPr>
      <w:r>
        <w:t xml:space="preserve">  PHASE 3: FEASIBILITY &amp; BURDEN ASSESSMENT</w:t>
      </w:r>
    </w:p>
    <w:p>
      <w:pPr>
        <w:spacing w:after="200"/>
      </w:pPr>
      <w:r>
        <w:t xml:space="preserve">Before finalizing RMM selection, evaluate feasibility and burden. Per CIOMS WG XII: "The need for, nature of and approach to risk minimisation should consider... feasibility of the proposed strategy; and also burden to patients or the health care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400"/>
      </w:tblGrid>
      <w:tr>
        <w:trPr>
          <w:tblHeader/>
        </w:trPr>
        <w:tc>
          <w:tcPr>
            <w:tcW w:type="dxa" w:w="18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Assessment Area</w:t>
            </w:r>
          </w:p>
        </w:tc>
        <w:tc>
          <w:tcPr>
            <w:tcW w:type="dxa" w:w="60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Key Questions</w:t>
            </w:r>
          </w:p>
        </w:tc>
        <w:tc>
          <w:tcPr>
            <w:tcW w:type="dxa" w:w="4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w:t>
            </w:r>
          </w:p>
        </w:tc>
      </w:tr>
      <w:tr>
        <w:tc>
          <w:tcPr>
            <w:tcW w:type="dxa" w:w="1800"/>
            <w:tcBorders>
              <w:top w:val="single" w:color="64748B" w:sz="8"/>
              <w:left w:val="single" w:color="64748B" w:sz="8"/>
              <w:bottom w:val="single" w:color="64748B" w:sz="8"/>
              <w:right w:val="single" w:color="64748B" w:sz="8"/>
            </w:tcBorders>
          </w:tcPr>
          <w:p>
            <w:r>
              <w:rPr>
                <w:b/>
                <w:bCs/>
                <w:sz w:val="18"/>
                <w:szCs w:val="18"/>
              </w:rPr>
              <w:t xml:space="preserve">Stakeholder Needs</w:t>
            </w:r>
          </w:p>
        </w:tc>
        <w:tc>
          <w:tcPr>
            <w:tcW w:type="dxa" w:w="6000"/>
            <w:tcBorders>
              <w:top w:val="single" w:color="64748B" w:sz="8"/>
              <w:left w:val="single" w:color="64748B" w:sz="8"/>
              <w:bottom w:val="single" w:color="64748B" w:sz="8"/>
              <w:right w:val="single" w:color="64748B" w:sz="8"/>
            </w:tcBorders>
          </w:tcPr>
          <w:p>
            <w:r>
              <w:rPr>
                <w:sz w:val="18"/>
                <w:szCs w:val="18"/>
              </w:rPr>
              <w:t xml:space="preserve">Will HCPs realistically implement these measures? Can patients understand and comply? Are materials accessible to diverse populations (language, literacy, disabilities)?</w:t>
            </w:r>
          </w:p>
        </w:tc>
        <w:tc>
          <w:tcPr>
            <w:tcW w:type="dxa" w:w="400"/>
            <w:tcBorders>
              <w:top w:val="single" w:color="64748B" w:sz="8"/>
              <w:left w:val="single" w:color="64748B" w:sz="8"/>
              <w:bottom w:val="single" w:color="64748B" w:sz="8"/>
              <w:right w:val="single" w:color="64748B" w:sz="8"/>
            </w:tcBorders>
          </w:tcPr>
          <w:p>
            <w:r>
              <w:rPr>
                <w:sz w:val="18"/>
                <w:szCs w:val="18"/>
              </w:rPr>
              <w:t xml:space="preserve"/>
            </w:r>
          </w:p>
        </w:tc>
      </w:tr>
      <w:tr>
        <w:tc>
          <w:tcPr>
            <w:tcW w:type="dxa" w:w="1800"/>
            <w:tcBorders>
              <w:top w:val="single" w:color="64748B" w:sz="8"/>
              <w:left w:val="single" w:color="64748B" w:sz="8"/>
              <w:bottom w:val="single" w:color="64748B" w:sz="8"/>
              <w:right w:val="single" w:color="64748B" w:sz="8"/>
            </w:tcBorders>
            <w:shd w:fill="FEF3C7" w:val="clear"/>
          </w:tcPr>
          <w:p>
            <w:r>
              <w:rPr>
                <w:b/>
                <w:bCs/>
                <w:sz w:val="18"/>
                <w:szCs w:val="18"/>
              </w:rPr>
              <w:t xml:space="preserve">Healthcare System Fit</w:t>
            </w:r>
          </w:p>
        </w:tc>
        <w:tc>
          <w:tcPr>
            <w:tcW w:type="dxa" w:w="6000"/>
            <w:tcBorders>
              <w:top w:val="single" w:color="64748B" w:sz="8"/>
              <w:left w:val="single" w:color="64748B" w:sz="8"/>
              <w:bottom w:val="single" w:color="64748B" w:sz="8"/>
              <w:right w:val="single" w:color="64748B" w:sz="8"/>
            </w:tcBorders>
            <w:shd w:fill="FEF3C7" w:val="clear"/>
          </w:tcPr>
          <w:p>
            <w:r>
              <w:rPr>
                <w:sz w:val="18"/>
                <w:szCs w:val="18"/>
              </w:rPr>
              <w:t xml:space="preserve">Does the measure fit existing clinical workflows? Is necessary infrastructure available (testing, monitoring)? Can it be implemented across different healthcare settings?</w:t>
            </w:r>
          </w:p>
        </w:tc>
        <w:tc>
          <w:tcPr>
            <w:tcW w:type="dxa" w:w="400"/>
            <w:tcBorders>
              <w:top w:val="single" w:color="64748B" w:sz="8"/>
              <w:left w:val="single" w:color="64748B" w:sz="8"/>
              <w:bottom w:val="single" w:color="64748B" w:sz="8"/>
              <w:right w:val="single" w:color="64748B" w:sz="8"/>
            </w:tcBorders>
            <w:shd w:fill="FEF3C7" w:val="clear"/>
          </w:tcPr>
          <w:p>
            <w:r>
              <w:rPr>
                <w:sz w:val="18"/>
                <w:szCs w:val="18"/>
              </w:rPr>
              <w:t xml:space="preserve"/>
            </w:r>
          </w:p>
        </w:tc>
      </w:tr>
      <w:tr>
        <w:tc>
          <w:tcPr>
            <w:tcW w:type="dxa" w:w="1800"/>
            <w:tcBorders>
              <w:top w:val="single" w:color="64748B" w:sz="8"/>
              <w:left w:val="single" w:color="64748B" w:sz="8"/>
              <w:bottom w:val="single" w:color="64748B" w:sz="8"/>
              <w:right w:val="single" w:color="64748B" w:sz="8"/>
            </w:tcBorders>
          </w:tcPr>
          <w:p>
            <w:r>
              <w:rPr>
                <w:b/>
                <w:bCs/>
                <w:sz w:val="18"/>
                <w:szCs w:val="18"/>
              </w:rPr>
              <w:t xml:space="preserve">Burden Proportionality</w:t>
            </w:r>
          </w:p>
        </w:tc>
        <w:tc>
          <w:tcPr>
            <w:tcW w:type="dxa" w:w="6000"/>
            <w:tcBorders>
              <w:top w:val="single" w:color="64748B" w:sz="8"/>
              <w:left w:val="single" w:color="64748B" w:sz="8"/>
              <w:bottom w:val="single" w:color="64748B" w:sz="8"/>
              <w:right w:val="single" w:color="64748B" w:sz="8"/>
            </w:tcBorders>
          </w:tcPr>
          <w:p>
            <w:r>
              <w:rPr>
                <w:sz w:val="18"/>
                <w:szCs w:val="18"/>
              </w:rPr>
              <w:t xml:space="preserve">Is the burden proportionate to the risk being mitigated? Could excessive burden discourage appropriate use? Are there less burdensome alternatives that achieve the same goal?</w:t>
            </w:r>
          </w:p>
        </w:tc>
        <w:tc>
          <w:tcPr>
            <w:tcW w:type="dxa" w:w="400"/>
            <w:tcBorders>
              <w:top w:val="single" w:color="64748B" w:sz="8"/>
              <w:left w:val="single" w:color="64748B" w:sz="8"/>
              <w:bottom w:val="single" w:color="64748B" w:sz="8"/>
              <w:right w:val="single" w:color="64748B" w:sz="8"/>
            </w:tcBorders>
          </w:tcPr>
          <w:p>
            <w:r>
              <w:rPr>
                <w:sz w:val="18"/>
                <w:szCs w:val="18"/>
              </w:rPr>
              <w:t xml:space="preserve"/>
            </w:r>
          </w:p>
        </w:tc>
      </w:tr>
      <w:tr>
        <w:tc>
          <w:tcPr>
            <w:tcW w:type="dxa" w:w="1800"/>
            <w:tcBorders>
              <w:top w:val="single" w:color="64748B" w:sz="8"/>
              <w:left w:val="single" w:color="64748B" w:sz="8"/>
              <w:bottom w:val="single" w:color="64748B" w:sz="8"/>
              <w:right w:val="single" w:color="64748B" w:sz="8"/>
            </w:tcBorders>
            <w:shd w:fill="FEF3C7" w:val="clear"/>
          </w:tcPr>
          <w:p>
            <w:r>
              <w:rPr>
                <w:b/>
                <w:bCs/>
                <w:sz w:val="18"/>
                <w:szCs w:val="18"/>
              </w:rPr>
              <w:t xml:space="preserve">Sustainability</w:t>
            </w:r>
          </w:p>
        </w:tc>
        <w:tc>
          <w:tcPr>
            <w:tcW w:type="dxa" w:w="6000"/>
            <w:tcBorders>
              <w:top w:val="single" w:color="64748B" w:sz="8"/>
              <w:left w:val="single" w:color="64748B" w:sz="8"/>
              <w:bottom w:val="single" w:color="64748B" w:sz="8"/>
              <w:right w:val="single" w:color="64748B" w:sz="8"/>
            </w:tcBorders>
            <w:shd w:fill="FEF3C7" w:val="clear"/>
          </w:tcPr>
          <w:p>
            <w:r>
              <w:rPr>
                <w:sz w:val="18"/>
                <w:szCs w:val="18"/>
              </w:rPr>
              <w:t xml:space="preserve">Can the measure be maintained over time? How will materials be updated when needed? Is there a plan for periodic distribution to new prescribers/patients?</w:t>
            </w:r>
          </w:p>
        </w:tc>
        <w:tc>
          <w:tcPr>
            <w:tcW w:type="dxa" w:w="400"/>
            <w:tcBorders>
              <w:top w:val="single" w:color="64748B" w:sz="8"/>
              <w:left w:val="single" w:color="64748B" w:sz="8"/>
              <w:bottom w:val="single" w:color="64748B" w:sz="8"/>
              <w:right w:val="single" w:color="64748B" w:sz="8"/>
            </w:tcBorders>
            <w:shd w:fill="FEF3C7" w:val="clear"/>
          </w:tcPr>
          <w:p>
            <w:r>
              <w:rPr>
                <w:sz w:val="18"/>
                <w:szCs w:val="18"/>
              </w:rPr>
              <w:t xml:space="preserve"/>
            </w:r>
          </w:p>
        </w:tc>
      </w:tr>
      <w:tr>
        <w:tc>
          <w:tcPr>
            <w:tcW w:type="dxa" w:w="1800"/>
            <w:tcBorders>
              <w:top w:val="single" w:color="64748B" w:sz="8"/>
              <w:left w:val="single" w:color="64748B" w:sz="8"/>
              <w:bottom w:val="single" w:color="64748B" w:sz="8"/>
              <w:right w:val="single" w:color="64748B" w:sz="8"/>
            </w:tcBorders>
          </w:tcPr>
          <w:p>
            <w:r>
              <w:rPr>
                <w:b/>
                <w:bCs/>
                <w:sz w:val="18"/>
                <w:szCs w:val="18"/>
              </w:rPr>
              <w:t xml:space="preserve">Unintended Consequences</w:t>
            </w:r>
          </w:p>
        </w:tc>
        <w:tc>
          <w:tcPr>
            <w:tcW w:type="dxa" w:w="6000"/>
            <w:tcBorders>
              <w:top w:val="single" w:color="64748B" w:sz="8"/>
              <w:left w:val="single" w:color="64748B" w:sz="8"/>
              <w:bottom w:val="single" w:color="64748B" w:sz="8"/>
              <w:right w:val="single" w:color="64748B" w:sz="8"/>
            </w:tcBorders>
          </w:tcPr>
          <w:p>
            <w:r>
              <w:rPr>
                <w:sz w:val="18"/>
                <w:szCs w:val="18"/>
              </w:rPr>
              <w:t xml:space="preserve">Could measures drive patients to less appropriate alternatives? Could restrictions delay treatment for patients who need it? Are there equity implications (access in different settings)?</w:t>
            </w:r>
          </w:p>
        </w:tc>
        <w:tc>
          <w:tcPr>
            <w:tcW w:type="dxa" w:w="400"/>
            <w:tcBorders>
              <w:top w:val="single" w:color="64748B" w:sz="8"/>
              <w:left w:val="single" w:color="64748B" w:sz="8"/>
              <w:bottom w:val="single" w:color="64748B" w:sz="8"/>
              <w:right w:val="single" w:color="64748B" w:sz="8"/>
            </w:tcBorders>
          </w:tcPr>
          <w:p>
            <w:r>
              <w:rPr>
                <w:sz w:val="18"/>
                <w:szCs w:val="18"/>
              </w:rPr>
              <w:t xml:space="preserve"/>
            </w:r>
          </w:p>
        </w:tc>
      </w:tr>
    </w:tbl>
    <w:p>
      <w:pPr>
        <w:pStyle w:val="Heading1"/>
        <w:spacing w:before="300"/>
      </w:pPr>
      <w:r>
        <w:t xml:space="preserve">  PHASE 4: EFFECTIVENESS EVALUATION PLANNING</w:t>
      </w:r>
    </w:p>
    <w:p>
      <w:pPr>
        <w:spacing w:after="200"/>
      </w:pPr>
      <w:r>
        <w:t xml:space="preserve">RMM effectiveness must be evaluated. Per EMA GVP Module XVI and FDA REMS guidance, MAHs must monitor implementation and assess whether measures achieve their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800"/>
      </w:tblGrid>
      <w:tr>
        <w:trPr>
          <w:tblHeader/>
        </w:trPr>
        <w:tc>
          <w:tcPr>
            <w:tcW w:type="dxa" w:w="2000"/>
            <w:tcBorders>
              <w:top w:val="single" w:color="64748B" w:sz="8"/>
              <w:left w:val="single" w:color="64748B" w:sz="8"/>
              <w:bottom w:val="single" w:color="64748B" w:sz="8"/>
              <w:right w:val="single" w:color="64748B" w:sz="8"/>
            </w:tcBorders>
            <w:shd w:fill="7C3AED" w:val="clear"/>
          </w:tcPr>
          <w:p>
            <w:pPr>
              <w:jc w:val="center"/>
            </w:pPr>
            <w:r>
              <w:rPr>
                <w:b/>
                <w:bCs/>
                <w:color w:val="FFFFFF"/>
                <w:sz w:val="18"/>
                <w:szCs w:val="18"/>
              </w:rPr>
              <w:t xml:space="preserve">Evaluation Component</w:t>
            </w:r>
          </w:p>
        </w:tc>
        <w:tc>
          <w:tcPr>
            <w:tcW w:type="dxa" w:w="2400"/>
            <w:tcBorders>
              <w:top w:val="single" w:color="64748B" w:sz="8"/>
              <w:left w:val="single" w:color="64748B" w:sz="8"/>
              <w:bottom w:val="single" w:color="64748B" w:sz="8"/>
              <w:right w:val="single" w:color="64748B" w:sz="8"/>
            </w:tcBorders>
            <w:shd w:fill="7C3AED" w:val="clear"/>
          </w:tcPr>
          <w:p>
            <w:pPr>
              <w:jc w:val="center"/>
            </w:pPr>
            <w:r>
              <w:rPr>
                <w:b/>
                <w:bCs/>
                <w:color w:val="FFFFFF"/>
                <w:sz w:val="18"/>
                <w:szCs w:val="18"/>
              </w:rPr>
              <w:t xml:space="preserve">Description</w:t>
            </w:r>
          </w:p>
        </w:tc>
        <w:tc>
          <w:tcPr>
            <w:tcW w:type="dxa" w:w="3800"/>
            <w:tcBorders>
              <w:top w:val="single" w:color="64748B" w:sz="8"/>
              <w:left w:val="single" w:color="64748B" w:sz="8"/>
              <w:bottom w:val="single" w:color="64748B" w:sz="8"/>
              <w:right w:val="single" w:color="64748B" w:sz="8"/>
            </w:tcBorders>
            <w:shd w:fill="7C3AED" w:val="clear"/>
          </w:tcPr>
          <w:p>
            <w:pPr>
              <w:jc w:val="center"/>
            </w:pPr>
            <w:r>
              <w:rPr>
                <w:b/>
                <w:bCs/>
                <w:color w:val="FFFFFF"/>
                <w:sz w:val="18"/>
                <w:szCs w:val="18"/>
              </w:rPr>
              <w:t xml:space="preserve">Examples</w:t>
            </w:r>
          </w:p>
        </w:tc>
      </w:tr>
      <w:tr>
        <w:tc>
          <w:tcPr>
            <w:tcW w:type="dxa" w:w="2000"/>
            <w:tcBorders>
              <w:top w:val="single" w:color="64748B" w:sz="8"/>
              <w:left w:val="single" w:color="64748B" w:sz="8"/>
              <w:bottom w:val="single" w:color="64748B" w:sz="8"/>
              <w:right w:val="single" w:color="64748B" w:sz="8"/>
            </w:tcBorders>
          </w:tcPr>
          <w:p>
            <w:r>
              <w:rPr>
                <w:b/>
                <w:bCs/>
                <w:sz w:val="18"/>
                <w:szCs w:val="18"/>
              </w:rPr>
              <w:t xml:space="preserve">Process Indicators (Implementation)</w:t>
            </w:r>
          </w:p>
        </w:tc>
        <w:tc>
          <w:tcPr>
            <w:tcW w:type="dxa" w:w="2400"/>
            <w:tcBorders>
              <w:top w:val="single" w:color="64748B" w:sz="8"/>
              <w:left w:val="single" w:color="64748B" w:sz="8"/>
              <w:bottom w:val="single" w:color="64748B" w:sz="8"/>
              <w:right w:val="single" w:color="64748B" w:sz="8"/>
            </w:tcBorders>
          </w:tcPr>
          <w:p>
            <w:r>
              <w:rPr>
                <w:sz w:val="18"/>
                <w:szCs w:val="18"/>
              </w:rPr>
              <w:t xml:space="preserve">Was the RMM implemented as planned?</w:t>
            </w:r>
          </w:p>
        </w:tc>
        <w:tc>
          <w:tcPr>
            <w:tcW w:type="dxa" w:w="3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 of prescribers receiving materials</w:t>
            </w:r>
          </w:p>
          <w:p>
            <w:pPr>
              <w:pStyle w:val="ListParagraph"/>
              <w:numPr>
                <w:ilvl w:val="0"/>
                <w:numId w:val="2"/>
              </w:numPr>
            </w:pPr>
            <w:r>
              <w:rPr>
                <w:sz w:val="18"/>
                <w:szCs w:val="18"/>
              </w:rPr>
              <w:t xml:space="preserve">Download/distribution rates</w:t>
            </w:r>
          </w:p>
          <w:p>
            <w:pPr>
              <w:pStyle w:val="ListParagraph"/>
              <w:numPr>
                <w:ilvl w:val="0"/>
                <w:numId w:val="2"/>
              </w:numPr>
            </w:pPr>
            <w:r>
              <w:rPr>
                <w:sz w:val="18"/>
                <w:szCs w:val="18"/>
              </w:rPr>
              <w:t xml:space="preserve">Prescriber certification completion rates</w:t>
            </w:r>
          </w:p>
        </w:tc>
      </w:tr>
      <w:tr>
        <w:tc>
          <w:tcPr>
            <w:tcW w:type="dxa" w:w="2000"/>
            <w:tcBorders>
              <w:top w:val="single" w:color="64748B" w:sz="8"/>
              <w:left w:val="single" w:color="64748B" w:sz="8"/>
              <w:bottom w:val="single" w:color="64748B" w:sz="8"/>
              <w:right w:val="single" w:color="64748B" w:sz="8"/>
            </w:tcBorders>
            <w:shd w:fill="EDE9FE" w:val="clear"/>
          </w:tcPr>
          <w:p>
            <w:r>
              <w:rPr>
                <w:b/>
                <w:bCs/>
                <w:sz w:val="18"/>
                <w:szCs w:val="18"/>
              </w:rPr>
              <w:t xml:space="preserve">Intermediate Outcomes (Knowledge/Behavior)</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Did knowledge and behavior change as intended?</w:t>
            </w:r>
          </w:p>
        </w:tc>
        <w:tc>
          <w:tcPr>
            <w:tcW w:type="dxa" w:w="3800"/>
            <w:tcBorders>
              <w:top w:val="single" w:color="64748B" w:sz="8"/>
              <w:left w:val="single" w:color="64748B" w:sz="8"/>
              <w:bottom w:val="single" w:color="64748B" w:sz="8"/>
              <w:right w:val="single" w:color="64748B" w:sz="8"/>
            </w:tcBorders>
            <w:shd w:fill="EDE9FE" w:val="clear"/>
          </w:tcPr>
          <w:p>
            <w:pPr>
              <w:pStyle w:val="ListParagraph"/>
              <w:numPr>
                <w:ilvl w:val="0"/>
                <w:numId w:val="2"/>
              </w:numPr>
            </w:pPr>
            <w:r>
              <w:rPr>
                <w:sz w:val="18"/>
                <w:szCs w:val="18"/>
              </w:rPr>
              <w:t xml:space="preserve">Survey of HCP awareness</w:t>
            </w:r>
          </w:p>
          <w:p>
            <w:pPr>
              <w:pStyle w:val="ListParagraph"/>
              <w:numPr>
                <w:ilvl w:val="0"/>
                <w:numId w:val="2"/>
              </w:numPr>
            </w:pPr>
            <w:r>
              <w:rPr>
                <w:sz w:val="18"/>
                <w:szCs w:val="18"/>
              </w:rPr>
              <w:t xml:space="preserve">Prescriber adherence to monitoring</w:t>
            </w:r>
          </w:p>
          <w:p>
            <w:pPr>
              <w:pStyle w:val="ListParagraph"/>
              <w:numPr>
                <w:ilvl w:val="0"/>
                <w:numId w:val="2"/>
              </w:numPr>
            </w:pPr>
            <w:r>
              <w:rPr>
                <w:sz w:val="18"/>
                <w:szCs w:val="18"/>
              </w:rPr>
              <w:t xml:space="preserve">Patient recall of key safety messages</w:t>
            </w:r>
          </w:p>
        </w:tc>
      </w:tr>
      <w:tr>
        <w:tc>
          <w:tcPr>
            <w:tcW w:type="dxa" w:w="2000"/>
            <w:tcBorders>
              <w:top w:val="single" w:color="64748B" w:sz="8"/>
              <w:left w:val="single" w:color="64748B" w:sz="8"/>
              <w:bottom w:val="single" w:color="64748B" w:sz="8"/>
              <w:right w:val="single" w:color="64748B" w:sz="8"/>
            </w:tcBorders>
          </w:tcPr>
          <w:p>
            <w:r>
              <w:rPr>
                <w:b/>
                <w:bCs/>
                <w:sz w:val="18"/>
                <w:szCs w:val="18"/>
              </w:rPr>
              <w:t xml:space="preserve">Health Outcomes (Risk Reduction)</w:t>
            </w:r>
          </w:p>
        </w:tc>
        <w:tc>
          <w:tcPr>
            <w:tcW w:type="dxa" w:w="2400"/>
            <w:tcBorders>
              <w:top w:val="single" w:color="64748B" w:sz="8"/>
              <w:left w:val="single" w:color="64748B" w:sz="8"/>
              <w:bottom w:val="single" w:color="64748B" w:sz="8"/>
              <w:right w:val="single" w:color="64748B" w:sz="8"/>
            </w:tcBorders>
          </w:tcPr>
          <w:p>
            <w:r>
              <w:rPr>
                <w:sz w:val="18"/>
                <w:szCs w:val="18"/>
              </w:rPr>
              <w:t xml:space="preserve">Did the risk decrease?</w:t>
            </w:r>
          </w:p>
        </w:tc>
        <w:tc>
          <w:tcPr>
            <w:tcW w:type="dxa" w:w="3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Incidence of the adverse event</w:t>
            </w:r>
          </w:p>
          <w:p>
            <w:pPr>
              <w:pStyle w:val="ListParagraph"/>
              <w:numPr>
                <w:ilvl w:val="0"/>
                <w:numId w:val="2"/>
              </w:numPr>
            </w:pPr>
            <w:r>
              <w:rPr>
                <w:sz w:val="18"/>
                <w:szCs w:val="18"/>
              </w:rPr>
              <w:t xml:space="preserve">Severity of cases when they occur</w:t>
            </w:r>
          </w:p>
          <w:p>
            <w:pPr>
              <w:pStyle w:val="ListParagraph"/>
              <w:numPr>
                <w:ilvl w:val="0"/>
                <w:numId w:val="2"/>
              </w:numPr>
            </w:pPr>
            <w:r>
              <w:rPr>
                <w:sz w:val="18"/>
                <w:szCs w:val="18"/>
              </w:rPr>
              <w:t xml:space="preserve">Time to detection/intervention</w:t>
            </w:r>
          </w:p>
        </w:tc>
      </w:tr>
      <w:tr>
        <w:tc>
          <w:tcPr>
            <w:tcW w:type="dxa" w:w="2000"/>
            <w:tcBorders>
              <w:top w:val="single" w:color="64748B" w:sz="8"/>
              <w:left w:val="single" w:color="64748B" w:sz="8"/>
              <w:bottom w:val="single" w:color="64748B" w:sz="8"/>
              <w:right w:val="single" w:color="64748B" w:sz="8"/>
            </w:tcBorders>
            <w:shd w:fill="EDE9FE" w:val="clear"/>
          </w:tcPr>
          <w:p>
            <w:r>
              <w:rPr>
                <w:b/>
                <w:bCs/>
                <w:sz w:val="18"/>
                <w:szCs w:val="18"/>
              </w:rPr>
              <w:t xml:space="preserve">Unintended Effects</w:t>
            </w:r>
          </w:p>
        </w:tc>
        <w:tc>
          <w:tcPr>
            <w:tcW w:type="dxa" w:w="2400"/>
            <w:tcBorders>
              <w:top w:val="single" w:color="64748B" w:sz="8"/>
              <w:left w:val="single" w:color="64748B" w:sz="8"/>
              <w:bottom w:val="single" w:color="64748B" w:sz="8"/>
              <w:right w:val="single" w:color="64748B" w:sz="8"/>
            </w:tcBorders>
            <w:shd w:fill="EDE9FE" w:val="clear"/>
          </w:tcPr>
          <w:p>
            <w:r>
              <w:rPr>
                <w:sz w:val="18"/>
                <w:szCs w:val="18"/>
              </w:rPr>
              <w:t xml:space="preserve">Were there negative consequences?</w:t>
            </w:r>
          </w:p>
        </w:tc>
        <w:tc>
          <w:tcPr>
            <w:tcW w:type="dxa" w:w="3800"/>
            <w:tcBorders>
              <w:top w:val="single" w:color="64748B" w:sz="8"/>
              <w:left w:val="single" w:color="64748B" w:sz="8"/>
              <w:bottom w:val="single" w:color="64748B" w:sz="8"/>
              <w:right w:val="single" w:color="64748B" w:sz="8"/>
            </w:tcBorders>
            <w:shd w:fill="EDE9FE" w:val="clear"/>
          </w:tcPr>
          <w:p>
            <w:pPr>
              <w:pStyle w:val="ListParagraph"/>
              <w:numPr>
                <w:ilvl w:val="0"/>
                <w:numId w:val="2"/>
              </w:numPr>
            </w:pPr>
            <w:r>
              <w:rPr>
                <w:sz w:val="18"/>
                <w:szCs w:val="18"/>
              </w:rPr>
              <w:t xml:space="preserve">Changes in appropriate utilization</w:t>
            </w:r>
          </w:p>
          <w:p>
            <w:pPr>
              <w:pStyle w:val="ListParagraph"/>
              <w:numPr>
                <w:ilvl w:val="0"/>
                <w:numId w:val="2"/>
              </w:numPr>
            </w:pPr>
            <w:r>
              <w:rPr>
                <w:sz w:val="18"/>
                <w:szCs w:val="18"/>
              </w:rPr>
              <w:t xml:space="preserve">Treatment delays</w:t>
            </w:r>
          </w:p>
          <w:p>
            <w:pPr>
              <w:pStyle w:val="ListParagraph"/>
              <w:numPr>
                <w:ilvl w:val="0"/>
                <w:numId w:val="2"/>
              </w:numPr>
            </w:pPr>
            <w:r>
              <w:rPr>
                <w:sz w:val="18"/>
                <w:szCs w:val="18"/>
              </w:rPr>
              <w:t xml:space="preserve">Patient burden complaints</w:t>
            </w:r>
          </w:p>
        </w:tc>
      </w:tr>
    </w:tbl>
    <w:p>
      <w:pPr>
        <w:spacing w:before="300" w:after="100"/>
      </w:pPr>
      <w:r>
        <w:rPr>
          <w:b/>
          <w:bCs/>
          <w:color w:val="0D9488"/>
        </w:rPr>
        <w:t xml:space="preserve">◆ SIGNAL DETECTED: Behavioral Change Models</w:t>
      </w:r>
    </w:p>
    <w:p>
      <w:pPr>
        <w:spacing w:after="200"/>
      </w:pPr>
      <w:r>
        <w:t xml:space="preserve">Per CIOMS WG XII, RMMs "designed based on behavioural change models (e.g., the PRECEDE-PROCEED model) are likely to be more effective." Consider the predisposing, reinforcing, and enabling factors that influence HCP and patient behavior when designing educational materials and compliance systems.</w:t>
      </w:r>
    </w:p>
    <w:p>
      <w:pPr>
        <w:spacing w:before="200" w:after="100"/>
      </w:pPr>
      <w:r>
        <w:rPr>
          <w:b/>
          <w:bCs/>
          <w:color w:val="D97706"/>
        </w:rPr>
        <w:t xml:space="preserve">⚠ FAILURE MODE IDENTIFIED: Over-Engineering RMMs</w:t>
      </w:r>
    </w:p>
    <w:p>
      <w:pPr>
        <w:spacing w:after="200"/>
      </w:pPr>
      <w:r>
        <w:t xml:space="preserve">Excessive RMM burden can backfire. Overly complex programs may: discourage prescribing for appropriate patients, drive patients to less safe alternatives, create compliance fatigue reducing attention to genuinely critical elements, or increase healthcare costs without proportionate safety benefit. The goal is </w:t>
      </w:r>
      <w:r>
        <w:rPr>
          <w:b/>
          <w:bCs/>
        </w:rPr>
        <w:t xml:space="preserve">effective risk minimization</w:t>
      </w:r>
      <w:r>
        <w:t xml:space="preserve">, not maximum documentation.</w:t>
      </w:r>
    </w:p>
    <w:p>
      <w:pPr>
        <w:pStyle w:val="Heading1"/>
        <w:spacing w:before="200"/>
      </w:pPr>
      <w:r>
        <w:t xml:space="preserve">  REGIONAL CONSIDERATIONS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600"/>
      </w:tblGrid>
      <w:tr>
        <w:trPr>
          <w:tblHeader/>
        </w:trPr>
        <w:tc>
          <w:tcPr>
            <w:tcW w:type="dxa" w:w="12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Region</w:t>
            </w:r>
          </w:p>
        </w:tc>
        <w:tc>
          <w:tcPr>
            <w:tcW w:type="dxa" w:w="24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Framework</w:t>
            </w:r>
          </w:p>
        </w:tc>
        <w:tc>
          <w:tcPr>
            <w:tcW w:type="dxa" w:w="46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Key Differences</w:t>
            </w:r>
          </w:p>
        </w:tc>
      </w:tr>
      <w:tr>
        <w:tc>
          <w:tcPr>
            <w:tcW w:type="dxa" w:w="1200"/>
            <w:tcBorders>
              <w:top w:val="single" w:color="64748B" w:sz="8"/>
              <w:left w:val="single" w:color="64748B" w:sz="8"/>
              <w:bottom w:val="single" w:color="64748B" w:sz="8"/>
              <w:right w:val="single" w:color="64748B" w:sz="8"/>
            </w:tcBorders>
          </w:tcPr>
          <w:p>
            <w:r>
              <w:rPr>
                <w:b/>
                <w:bCs/>
                <w:sz w:val="18"/>
                <w:szCs w:val="18"/>
              </w:rPr>
              <w:t xml:space="preserve">European Union</w:t>
            </w:r>
          </w:p>
        </w:tc>
        <w:tc>
          <w:tcPr>
            <w:tcW w:type="dxa" w:w="2400"/>
            <w:tcBorders>
              <w:top w:val="single" w:color="64748B" w:sz="8"/>
              <w:left w:val="single" w:color="64748B" w:sz="8"/>
              <w:bottom w:val="single" w:color="64748B" w:sz="8"/>
              <w:right w:val="single" w:color="64748B" w:sz="8"/>
            </w:tcBorders>
          </w:tcPr>
          <w:p>
            <w:r>
              <w:rPr>
                <w:sz w:val="18"/>
                <w:szCs w:val="18"/>
              </w:rPr>
              <w:t xml:space="preserve">Risk Management Plan (RMP) with routine and additional RMMs; GVP Module XVI</w:t>
            </w:r>
          </w:p>
        </w:tc>
        <w:tc>
          <w:tcPr>
            <w:tcW w:type="dxa" w:w="4600"/>
            <w:tcBorders>
              <w:top w:val="single" w:color="64748B" w:sz="8"/>
              <w:left w:val="single" w:color="64748B" w:sz="8"/>
              <w:bottom w:val="single" w:color="64748B" w:sz="8"/>
              <w:right w:val="single" w:color="64748B" w:sz="8"/>
            </w:tcBorders>
          </w:tcPr>
          <w:p>
            <w:r>
              <w:rPr>
                <w:sz w:val="18"/>
                <w:szCs w:val="18"/>
              </w:rPr>
              <w:t xml:space="preserve">RMP required for all new products; additional RMMs may apply to specific indications/populations</w:t>
            </w:r>
          </w:p>
        </w:tc>
      </w:tr>
      <w:tr>
        <w:tc>
          <w:tcPr>
            <w:tcW w:type="dxa" w:w="1200"/>
            <w:tcBorders>
              <w:top w:val="single" w:color="64748B" w:sz="8"/>
              <w:left w:val="single" w:color="64748B" w:sz="8"/>
              <w:bottom w:val="single" w:color="64748B" w:sz="8"/>
              <w:right w:val="single" w:color="64748B" w:sz="8"/>
            </w:tcBorders>
            <w:shd w:fill="F1F5F9" w:val="clear"/>
          </w:tcPr>
          <w:p>
            <w:r>
              <w:rPr>
                <w:b/>
                <w:bCs/>
                <w:sz w:val="18"/>
                <w:szCs w:val="18"/>
              </w:rPr>
              <w:t xml:space="preserve">United States</w:t>
            </w:r>
          </w:p>
        </w:tc>
        <w:tc>
          <w:tcPr>
            <w:tcW w:type="dxa" w:w="2400"/>
            <w:tcBorders>
              <w:top w:val="single" w:color="64748B" w:sz="8"/>
              <w:left w:val="single" w:color="64748B" w:sz="8"/>
              <w:bottom w:val="single" w:color="64748B" w:sz="8"/>
              <w:right w:val="single" w:color="64748B" w:sz="8"/>
            </w:tcBorders>
            <w:shd w:fill="F1F5F9" w:val="clear"/>
          </w:tcPr>
          <w:p>
            <w:r>
              <w:rPr>
                <w:sz w:val="18"/>
                <w:szCs w:val="18"/>
              </w:rPr>
              <w:t xml:space="preserve">REMS (Risk Evaluation and Mitigation Strategy) when labeling insufficient</w:t>
            </w:r>
          </w:p>
        </w:tc>
        <w:tc>
          <w:tcPr>
            <w:tcW w:type="dxa" w:w="4600"/>
            <w:tcBorders>
              <w:top w:val="single" w:color="64748B" w:sz="8"/>
              <w:left w:val="single" w:color="64748B" w:sz="8"/>
              <w:bottom w:val="single" w:color="64748B" w:sz="8"/>
              <w:right w:val="single" w:color="64748B" w:sz="8"/>
            </w:tcBorders>
            <w:shd w:fill="F1F5F9" w:val="clear"/>
          </w:tcPr>
          <w:p>
            <w:r>
              <w:rPr>
                <w:sz w:val="18"/>
                <w:szCs w:val="18"/>
              </w:rPr>
              <w:t xml:space="preserve">REMS only for products with serious risks; includes ETASU for most restricted access</w:t>
            </w:r>
          </w:p>
        </w:tc>
      </w:tr>
      <w:tr>
        <w:tc>
          <w:tcPr>
            <w:tcW w:type="dxa" w:w="1200"/>
            <w:tcBorders>
              <w:top w:val="single" w:color="64748B" w:sz="8"/>
              <w:left w:val="single" w:color="64748B" w:sz="8"/>
              <w:bottom w:val="single" w:color="64748B" w:sz="8"/>
              <w:right w:val="single" w:color="64748B" w:sz="8"/>
            </w:tcBorders>
          </w:tcPr>
          <w:p>
            <w:r>
              <w:rPr>
                <w:b/>
                <w:bCs/>
                <w:sz w:val="18"/>
                <w:szCs w:val="18"/>
              </w:rPr>
              <w:t xml:space="preserve">Japan</w:t>
            </w:r>
          </w:p>
        </w:tc>
        <w:tc>
          <w:tcPr>
            <w:tcW w:type="dxa" w:w="2400"/>
            <w:tcBorders>
              <w:top w:val="single" w:color="64748B" w:sz="8"/>
              <w:left w:val="single" w:color="64748B" w:sz="8"/>
              <w:bottom w:val="single" w:color="64748B" w:sz="8"/>
              <w:right w:val="single" w:color="64748B" w:sz="8"/>
            </w:tcBorders>
          </w:tcPr>
          <w:p>
            <w:r>
              <w:rPr>
                <w:sz w:val="18"/>
                <w:szCs w:val="18"/>
              </w:rPr>
              <w:t xml:space="preserve">RMP (Japanese format similar to EU)</w:t>
            </w:r>
          </w:p>
        </w:tc>
        <w:tc>
          <w:tcPr>
            <w:tcW w:type="dxa" w:w="4600"/>
            <w:tcBorders>
              <w:top w:val="single" w:color="64748B" w:sz="8"/>
              <w:left w:val="single" w:color="64748B" w:sz="8"/>
              <w:bottom w:val="single" w:color="64748B" w:sz="8"/>
              <w:right w:val="single" w:color="64748B" w:sz="8"/>
            </w:tcBorders>
          </w:tcPr>
          <w:p>
            <w:r>
              <w:rPr>
                <w:sz w:val="18"/>
                <w:szCs w:val="18"/>
              </w:rPr>
              <w:t xml:space="preserve">Follows EU structure; may have Japan-specific implementation requirements</w:t>
            </w:r>
          </w:p>
        </w:tc>
      </w:tr>
      <w:tr>
        <w:tc>
          <w:tcPr>
            <w:tcW w:type="dxa" w:w="1200"/>
            <w:tcBorders>
              <w:top w:val="single" w:color="64748B" w:sz="8"/>
              <w:left w:val="single" w:color="64748B" w:sz="8"/>
              <w:bottom w:val="single" w:color="64748B" w:sz="8"/>
              <w:right w:val="single" w:color="64748B" w:sz="8"/>
            </w:tcBorders>
            <w:shd w:fill="F1F5F9" w:val="clear"/>
          </w:tcPr>
          <w:p>
            <w:r>
              <w:rPr>
                <w:b/>
                <w:bCs/>
                <w:sz w:val="18"/>
                <w:szCs w:val="18"/>
              </w:rPr>
              <w:t xml:space="preserve">Canada</w:t>
            </w:r>
          </w:p>
        </w:tc>
        <w:tc>
          <w:tcPr>
            <w:tcW w:type="dxa" w:w="2400"/>
            <w:tcBorders>
              <w:top w:val="single" w:color="64748B" w:sz="8"/>
              <w:left w:val="single" w:color="64748B" w:sz="8"/>
              <w:bottom w:val="single" w:color="64748B" w:sz="8"/>
              <w:right w:val="single" w:color="64748B" w:sz="8"/>
            </w:tcBorders>
            <w:shd w:fill="F1F5F9" w:val="clear"/>
          </w:tcPr>
          <w:p>
            <w:r>
              <w:rPr>
                <w:sz w:val="18"/>
                <w:szCs w:val="18"/>
              </w:rPr>
              <w:t xml:space="preserve">Risk Management Plan (accepts EU format)</w:t>
            </w:r>
          </w:p>
        </w:tc>
        <w:tc>
          <w:tcPr>
            <w:tcW w:type="dxa" w:w="4600"/>
            <w:tcBorders>
              <w:top w:val="single" w:color="64748B" w:sz="8"/>
              <w:left w:val="single" w:color="64748B" w:sz="8"/>
              <w:bottom w:val="single" w:color="64748B" w:sz="8"/>
              <w:right w:val="single" w:color="64748B" w:sz="8"/>
            </w:tcBorders>
            <w:shd w:fill="F1F5F9" w:val="clear"/>
          </w:tcPr>
          <w:p>
            <w:r>
              <w:rPr>
                <w:sz w:val="18"/>
                <w:szCs w:val="18"/>
              </w:rPr>
              <w:t xml:space="preserve">Targeted RMPs for specific situations (e.g., opioids); flexible implementation</w:t>
            </w:r>
          </w:p>
        </w:tc>
      </w:tr>
      <w:tr>
        <w:tc>
          <w:tcPr>
            <w:tcW w:type="dxa" w:w="1200"/>
            <w:tcBorders>
              <w:top w:val="single" w:color="64748B" w:sz="8"/>
              <w:left w:val="single" w:color="64748B" w:sz="8"/>
              <w:bottom w:val="single" w:color="64748B" w:sz="8"/>
              <w:right w:val="single" w:color="64748B" w:sz="8"/>
            </w:tcBorders>
          </w:tcPr>
          <w:p>
            <w:r>
              <w:rPr>
                <w:b/>
                <w:bCs/>
                <w:sz w:val="18"/>
                <w:szCs w:val="18"/>
              </w:rPr>
              <w:t xml:space="preserve">Australia</w:t>
            </w:r>
          </w:p>
        </w:tc>
        <w:tc>
          <w:tcPr>
            <w:tcW w:type="dxa" w:w="2400"/>
            <w:tcBorders>
              <w:top w:val="single" w:color="64748B" w:sz="8"/>
              <w:left w:val="single" w:color="64748B" w:sz="8"/>
              <w:bottom w:val="single" w:color="64748B" w:sz="8"/>
              <w:right w:val="single" w:color="64748B" w:sz="8"/>
            </w:tcBorders>
          </w:tcPr>
          <w:p>
            <w:r>
              <w:rPr>
                <w:sz w:val="18"/>
                <w:szCs w:val="18"/>
              </w:rPr>
              <w:t xml:space="preserve">Risk Management Plan (accepts EU format)</w:t>
            </w:r>
          </w:p>
        </w:tc>
        <w:tc>
          <w:tcPr>
            <w:tcW w:type="dxa" w:w="4600"/>
            <w:tcBorders>
              <w:top w:val="single" w:color="64748B" w:sz="8"/>
              <w:left w:val="single" w:color="64748B" w:sz="8"/>
              <w:bottom w:val="single" w:color="64748B" w:sz="8"/>
              <w:right w:val="single" w:color="64748B" w:sz="8"/>
            </w:tcBorders>
          </w:tcPr>
          <w:p>
            <w:r>
              <w:rPr>
                <w:sz w:val="18"/>
                <w:szCs w:val="18"/>
              </w:rPr>
              <w:t xml:space="preserve">TGA may require specific local materials; Aboriginal/Torres Strait Islander considerations</w:t>
            </w:r>
          </w:p>
        </w:tc>
      </w:tr>
    </w:tbl>
    <w:p>
      <w:pPr>
        <w:spacing w:before="300"/>
        <w:jc w:val="center"/>
      </w:pPr>
      <w:r>
        <w:rPr>
          <w:color w:val="64748B"/>
          <w:sz w:val="18"/>
          <w:szCs w:val="18"/>
        </w:rPr>
        <w:t xml:space="preserve">Decision Support Module | NexVigilant Benefit-Risk Intelligence Toolkit</w:t>
      </w:r>
    </w:p>
    <w:p>
      <w:pPr>
        <w:jc w:val="center"/>
      </w:pPr>
      <w:r>
        <w:rPr>
          <w:color w:val="64748B"/>
          <w:sz w:val="18"/>
          <w:szCs w:val="18"/>
        </w:rPr>
        <w:t xml:space="preserve">Based on CIOMS WG XII (May 2025), EMA GVP Module XVI, CIOMS WG IX, and FDA REMS Guidance</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 2025 NexVigilant LLC | www.nexvigilant.com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NexVigilant Benefit-Risk Intelligence Toolkit | Decision Support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Arial" w:cs="Arial" w:eastAsia="Arial" w:hAnsi="Arial"/>
      <w:b/>
      <w:bCs/>
      <w:color w:val="1A365D"/>
      <w:sz w:val="44"/>
      <w:szCs w:val="44"/>
    </w:rPr>
  </w:style>
  <w:style w:type="paragraph" w:styleId="Heading1">
    <w:name w:val="Heading 1"/>
    <w:basedOn w:val="Normal"/>
    <w:next w:val="Normal"/>
    <w:qFormat/>
    <w:pPr>
      <w:shd w:fill="1A365D" w:val="clear"/>
      <w:spacing w:before="240" w:after="120"/>
    </w:pPr>
    <w:rPr>
      <w:rFonts w:ascii="Arial" w:cs="Arial" w:eastAsia="Arial" w:hAnsi="Arial"/>
      <w:b/>
      <w:bCs/>
      <w:color w:val="FFFFFF"/>
      <w:sz w:val="26"/>
      <w:szCs w:val="26"/>
    </w:rPr>
  </w:style>
  <w:style w:type="paragraph" w:styleId="Heading2">
    <w:name w:val="Heading 2"/>
    <w:basedOn w:val="Normal"/>
    <w:next w:val="Normal"/>
    <w:qFormat/>
    <w:pPr>
      <w:spacing w:before="200" w:after="80"/>
    </w:pPr>
    <w:rPr>
      <w:rFonts w:ascii="Arial" w:cs="Arial" w:eastAsia="Arial" w:hAnsi="Arial"/>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2025-12-18T03:40:22.119Z</dcterms:created>
  <dcterms:modified xsi:type="dcterms:W3CDTF">2025-12-18T03:40:22.120Z</dcterms:modified>
</cp:coreProperties>
</file>

<file path=docProps/custom.xml><?xml version="1.0" encoding="utf-8"?>
<Properties xmlns="http://schemas.openxmlformats.org/officeDocument/2006/custom-properties" xmlns:vt="http://schemas.openxmlformats.org/officeDocument/2006/docPropsVTypes"/>
</file>