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400"/>
        <w:jc w:val="center"/>
      </w:pPr>
      <w:r>
        <w:rPr>
          <w:rFonts w:ascii="Arial" w:cs="Arial" w:eastAsia="Arial" w:hAnsi="Arial"/>
          <w:color w:val="64748b"/>
          <w:sz w:val="28"/>
          <w:szCs w:val="28"/>
        </w:rPr>
        <w:t xml:space="preserve">[COMPANY LOGO]</w:t>
      </w:r>
    </w:p>
    <w:p>
      <w:pPr>
        <w:spacing w:before="400" w:after="200"/>
        <w:jc w:val="center"/>
      </w:pPr>
      <w:r>
        <w:rPr>
          <w:rFonts w:ascii="Arial" w:cs="Arial" w:eastAsia="Arial" w:hAnsi="Arial"/>
          <w:b/>
          <w:bCs/>
          <w:color w:val="1a365d"/>
          <w:sz w:val="56"/>
          <w:szCs w:val="56"/>
        </w:rPr>
        <w:t xml:space="preserve">BENEFIT-RISK ASSESSMENT DOCUMENT</w:t>
      </w:r>
    </w:p>
    <w:p>
      <w:pPr>
        <w:spacing w:after="600"/>
        <w:jc w:val="center"/>
      </w:pPr>
      <w:r>
        <w:rPr>
          <w:rFonts w:ascii="Arial" w:cs="Arial" w:eastAsia="Arial" w:hAnsi="Arial"/>
          <w:b/>
          <w:bCs/>
          <w:color w:val="0d9488"/>
          <w:sz w:val="40"/>
          <w:szCs w:val="40"/>
        </w:rPr>
        <w:t xml:space="preserve">(BRAD)</w:t>
      </w:r>
    </w:p>
    <w:p>
      <w:pPr>
        <w:spacing w:before="200" w:after="100"/>
        <w:jc w:val="center"/>
      </w:pPr>
      <w:r>
        <w:rPr>
          <w:rFonts w:ascii="Arial" w:cs="Arial" w:eastAsia="Arial" w:hAnsi="Arial"/>
          <w:b/>
          <w:bCs/>
          <w:color w:val="1a365d"/>
          <w:sz w:val="44"/>
          <w:szCs w:val="44"/>
        </w:rPr>
        <w:t xml:space="preserve">[PRODUCT NAME / INN]</w:t>
      </w:r>
    </w:p>
    <w:p>
      <w:pPr>
        <w:spacing w:after="400"/>
        <w:jc w:val="center"/>
      </w:pPr>
      <w:r>
        <w:rPr>
          <w:rFonts w:ascii="Arial" w:cs="Arial" w:eastAsia="Arial" w:hAnsi="Arial"/>
          <w:i/>
          <w:iCs/>
          <w:color w:val="64748b"/>
          <w:sz w:val="28"/>
          <w:szCs w:val="28"/>
        </w:rPr>
        <w:t xml:space="preserve">[Indication(s)]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1f5f9" w:val="clear"/>
          </w:tcPr>
          <w:p>
            <w:r>
              <w:rPr>
                <w:rFonts w:ascii="Arial" w:cs="Arial" w:eastAsia="Arial" w:hAnsi="Arial"/>
                <w:b/>
                <w:bCs/>
                <w:sz w:val="20"/>
                <w:szCs w:val="20"/>
              </w:rPr>
              <w:t xml:space="preserve">Document Number:</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color w:val="64748b"/>
                <w:sz w:val="20"/>
                <w:szCs w:val="20"/>
              </w:rPr>
              <w:t xml:space="preserve">[BRAD-XXXX-XXX]</w:t>
            </w:r>
          </w:p>
        </w:tc>
      </w:tr>
      <w:tr>
        <w:tc>
          <w:tcPr>
            <w:tcW w:type="dxa" w:w="3120"/>
            <w:tcBorders>
              <w:top w:val="single" w:color="CCCCCC" w:sz="1"/>
              <w:left w:val="single" w:color="CCCCCC" w:sz="1"/>
              <w:bottom w:val="single" w:color="CCCCCC" w:sz="1"/>
              <w:right w:val="single" w:color="CCCCCC" w:sz="1"/>
            </w:tcBorders>
            <w:shd w:fill="f1f5f9" w:val="clear"/>
          </w:tcPr>
          <w:p>
            <w:r>
              <w:rPr>
                <w:rFonts w:ascii="Arial" w:cs="Arial" w:eastAsia="Arial" w:hAnsi="Arial"/>
                <w:b/>
                <w:bCs/>
                <w:sz w:val="20"/>
                <w:szCs w:val="20"/>
              </w:rPr>
              <w:t xml:space="preserve">Version:</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color w:val="64748b"/>
                <w:sz w:val="20"/>
                <w:szCs w:val="20"/>
              </w:rPr>
              <w:t xml:space="preserve">[X.X]</w:t>
            </w:r>
          </w:p>
        </w:tc>
      </w:tr>
      <w:tr>
        <w:tc>
          <w:tcPr>
            <w:tcW w:type="dxa" w:w="3120"/>
            <w:tcBorders>
              <w:top w:val="single" w:color="CCCCCC" w:sz="1"/>
              <w:left w:val="single" w:color="CCCCCC" w:sz="1"/>
              <w:bottom w:val="single" w:color="CCCCCC" w:sz="1"/>
              <w:right w:val="single" w:color="CCCCCC" w:sz="1"/>
            </w:tcBorders>
            <w:shd w:fill="f1f5f9" w:val="clear"/>
          </w:tcPr>
          <w:p>
            <w:r>
              <w:rPr>
                <w:rFonts w:ascii="Arial" w:cs="Arial" w:eastAsia="Arial" w:hAnsi="Arial"/>
                <w:b/>
                <w:bCs/>
                <w:sz w:val="20"/>
                <w:szCs w:val="20"/>
              </w:rPr>
              <w:t xml:space="preserve">Effective Date:</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color w:val="64748b"/>
                <w:sz w:val="20"/>
                <w:szCs w:val="20"/>
              </w:rPr>
              <w:t xml:space="preserve">[DD-MMM-YYYY]</w:t>
            </w:r>
          </w:p>
        </w:tc>
      </w:tr>
      <w:tr>
        <w:tc>
          <w:tcPr>
            <w:tcW w:type="dxa" w:w="3120"/>
            <w:tcBorders>
              <w:top w:val="single" w:color="CCCCCC" w:sz="1"/>
              <w:left w:val="single" w:color="CCCCCC" w:sz="1"/>
              <w:bottom w:val="single" w:color="CCCCCC" w:sz="1"/>
              <w:right w:val="single" w:color="CCCCCC" w:sz="1"/>
            </w:tcBorders>
            <w:shd w:fill="f1f5f9" w:val="clear"/>
          </w:tcPr>
          <w:p>
            <w:r>
              <w:rPr>
                <w:rFonts w:ascii="Arial" w:cs="Arial" w:eastAsia="Arial" w:hAnsi="Arial"/>
                <w:b/>
                <w:bCs/>
                <w:sz w:val="20"/>
                <w:szCs w:val="20"/>
              </w:rPr>
              <w:t xml:space="preserve">Development Phase:</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color w:val="64748b"/>
                <w:sz w:val="20"/>
                <w:szCs w:val="20"/>
              </w:rPr>
              <w:t xml:space="preserve">[Pre-clinical / Phase 1 / Phase 2 / Phase 3 / Post-marketing]</w:t>
            </w:r>
          </w:p>
        </w:tc>
      </w:tr>
      <w:tr>
        <w:tc>
          <w:tcPr>
            <w:tcW w:type="dxa" w:w="3120"/>
            <w:tcBorders>
              <w:top w:val="single" w:color="CCCCCC" w:sz="1"/>
              <w:left w:val="single" w:color="CCCCCC" w:sz="1"/>
              <w:bottom w:val="single" w:color="CCCCCC" w:sz="1"/>
              <w:right w:val="single" w:color="CCCCCC" w:sz="1"/>
            </w:tcBorders>
            <w:shd w:fill="f1f5f9" w:val="clear"/>
          </w:tcPr>
          <w:p>
            <w:r>
              <w:rPr>
                <w:rFonts w:ascii="Arial" w:cs="Arial" w:eastAsia="Arial" w:hAnsi="Arial"/>
                <w:b/>
                <w:bCs/>
                <w:sz w:val="20"/>
                <w:szCs w:val="20"/>
              </w:rPr>
              <w:t xml:space="preserve">Classification:</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b/>
                <w:bCs/>
                <w:color w:val="d97706"/>
                <w:sz w:val="20"/>
                <w:szCs w:val="20"/>
              </w:rPr>
              <w:t xml:space="preserve">CONFIDENTIAL - INTERNAL USE ONLY</w:t>
            </w:r>
          </w:p>
        </w:tc>
      </w:tr>
    </w:tbl>
    <w:p>
      <w:pPr>
        <w:spacing w:before="6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20"/>
                <w:szCs w:val="20"/>
              </w:rPr>
              <w:t xml:space="preserve">Role</w:t>
            </w:r>
          </w:p>
        </w:tc>
        <w:tc>
          <w:tcPr>
            <w:tcW w:type="dxa" w:w="3510"/>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20"/>
                <w:szCs w:val="20"/>
              </w:rPr>
              <w:t xml:space="preserve">Name / Title</w:t>
            </w:r>
          </w:p>
        </w:tc>
        <w:tc>
          <w:tcPr>
            <w:tcW w:type="dxa" w:w="3510"/>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20"/>
                <w:szCs w:val="20"/>
              </w:rPr>
              <w:t xml:space="preserve">Signature / Date</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Author</w:t>
            </w:r>
          </w:p>
        </w:tc>
        <w:tc>
          <w:tcPr>
            <w:tcW w:type="dxa" w:w="351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w:t>
            </w:r>
          </w:p>
        </w:tc>
        <w:tc>
          <w:tcPr>
            <w:tcW w:type="dxa" w:w="351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BRMT Chair</w:t>
            </w:r>
          </w:p>
        </w:tc>
        <w:tc>
          <w:tcPr>
            <w:tcW w:type="dxa" w:w="351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w:t>
            </w:r>
          </w:p>
        </w:tc>
        <w:tc>
          <w:tcPr>
            <w:tcW w:type="dxa" w:w="351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Medical Officer</w:t>
            </w:r>
          </w:p>
        </w:tc>
        <w:tc>
          <w:tcPr>
            <w:tcW w:type="dxa" w:w="351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w:t>
            </w:r>
          </w:p>
        </w:tc>
        <w:tc>
          <w:tcPr>
            <w:tcW w:type="dxa" w:w="351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PV Lead</w:t>
            </w:r>
          </w:p>
        </w:tc>
        <w:tc>
          <w:tcPr>
            <w:tcW w:type="dxa" w:w="351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w:t>
            </w:r>
          </w:p>
        </w:tc>
        <w:tc>
          <w:tcPr>
            <w:tcW w:type="dxa" w:w="351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w:t>
            </w:r>
          </w:p>
        </w:tc>
      </w:tr>
    </w:tbl>
    <w:p>
      <w:r>
        <w:br w:type="page"/>
      </w:r>
    </w:p>
    <w:p>
      <w:pPr>
        <w:pStyle w:val="Heading1"/>
      </w:pPr>
      <w:r>
        <w:t xml:space="preserve">Document Control</w:t>
      </w:r>
    </w:p>
    <w:p>
      <w:pPr>
        <w:pStyle w:val="Heading2"/>
      </w:pPr>
      <w:r>
        <w:t xml:space="preserve">Version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170"/>
        <w:gridCol w:w="1755"/>
        <w:gridCol w:w="2340"/>
        <w:gridCol w:w="4095"/>
      </w:tblGrid>
      <w:tr>
        <w:tc>
          <w:tcPr>
            <w:tcW w:type="dxa" w:w="1170"/>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8"/>
                <w:szCs w:val="18"/>
              </w:rPr>
              <w:t xml:space="preserve">Version</w:t>
            </w:r>
          </w:p>
        </w:tc>
        <w:tc>
          <w:tcPr>
            <w:tcW w:type="dxa" w:w="1755"/>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8"/>
                <w:szCs w:val="18"/>
              </w:rPr>
              <w:t xml:space="preserve">Date</w:t>
            </w:r>
          </w:p>
        </w:tc>
        <w:tc>
          <w:tcPr>
            <w:tcW w:type="dxa" w:w="2340"/>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8"/>
                <w:szCs w:val="18"/>
              </w:rPr>
              <w:t xml:space="preserve">Author</w:t>
            </w:r>
          </w:p>
        </w:tc>
        <w:tc>
          <w:tcPr>
            <w:tcW w:type="dxa" w:w="4095"/>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8"/>
                <w:szCs w:val="18"/>
              </w:rPr>
              <w:t xml:space="preserve">Description of Changes</w:t>
            </w:r>
          </w:p>
        </w:tc>
      </w:tr>
      <w:tr>
        <w:tc>
          <w:tcPr>
            <w:tcW w:type="dxa" w:w="1170"/>
            <w:tcBorders>
              <w:top w:val="single" w:color="CCCCCC" w:sz="1"/>
              <w:left w:val="single" w:color="CCCCCC" w:sz="1"/>
              <w:bottom w:val="single" w:color="CCCCCC" w:sz="1"/>
              <w:right w:val="single" w:color="CCCCCC" w:sz="1"/>
            </w:tcBorders>
          </w:tcPr>
          <w:p>
            <w:pPr>
              <w:jc w:val="center"/>
            </w:pPr>
            <w:r>
              <w:rPr>
                <w:rFonts w:ascii="Arial" w:cs="Arial" w:eastAsia="Arial" w:hAnsi="Arial"/>
                <w:sz w:val="18"/>
                <w:szCs w:val="18"/>
              </w:rPr>
              <w:t xml:space="preserve">1.0</w:t>
            </w:r>
          </w:p>
        </w:tc>
        <w:tc>
          <w:tcPr>
            <w:tcW w:type="dxa" w:w="1755"/>
            <w:tcBorders>
              <w:top w:val="single" w:color="CCCCCC" w:sz="1"/>
              <w:left w:val="single" w:color="CCCCCC" w:sz="1"/>
              <w:bottom w:val="single" w:color="CCCCCC" w:sz="1"/>
              <w:right w:val="single" w:color="CCCCCC" w:sz="1"/>
            </w:tcBorders>
          </w:tcPr>
          <w:p>
            <w:r>
              <w:rPr>
                <w:rFonts w:ascii="Arial" w:cs="Arial" w:eastAsia="Arial" w:hAnsi="Arial"/>
                <w:color w:val="64748b"/>
                <w:sz w:val="18"/>
                <w:szCs w:val="18"/>
              </w:rPr>
              <w:t xml:space="preserve">[Date]</w:t>
            </w:r>
          </w:p>
        </w:tc>
        <w:tc>
          <w:tcPr>
            <w:tcW w:type="dxa" w:w="2340"/>
            <w:tcBorders>
              <w:top w:val="single" w:color="CCCCCC" w:sz="1"/>
              <w:left w:val="single" w:color="CCCCCC" w:sz="1"/>
              <w:bottom w:val="single" w:color="CCCCCC" w:sz="1"/>
              <w:right w:val="single" w:color="CCCCCC" w:sz="1"/>
            </w:tcBorders>
          </w:tcPr>
          <w:p>
            <w:r>
              <w:rPr>
                <w:rFonts w:ascii="Arial" w:cs="Arial" w:eastAsia="Arial" w:hAnsi="Arial"/>
                <w:color w:val="64748b"/>
                <w:sz w:val="18"/>
                <w:szCs w:val="18"/>
              </w:rPr>
              <w:t xml:space="preserve">[Name]</w:t>
            </w:r>
          </w:p>
        </w:tc>
        <w:tc>
          <w:tcPr>
            <w:tcW w:type="dxa" w:w="4095"/>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Initial document creation</w:t>
            </w:r>
          </w:p>
        </w:tc>
      </w:tr>
      <w:tr>
        <w:tc>
          <w:tcPr>
            <w:tcW w:type="dxa" w:w="1170"/>
            <w:tcBorders>
              <w:top w:val="single" w:color="CCCCCC" w:sz="1"/>
              <w:left w:val="single" w:color="CCCCCC" w:sz="1"/>
              <w:bottom w:val="single" w:color="CCCCCC" w:sz="1"/>
              <w:right w:val="single" w:color="CCCCCC" w:sz="1"/>
            </w:tcBorders>
          </w:tcPr>
          <w:p>
            <w:pPr>
              <w:jc w:val="center"/>
            </w:pPr>
            <w:r>
              <w:rPr>
                <w:rFonts w:ascii="Arial" w:cs="Arial" w:eastAsia="Arial" w:hAnsi="Arial"/>
                <w:sz w:val="18"/>
                <w:szCs w:val="18"/>
              </w:rPr>
              <w:t xml:space="preserve"> </w:t>
            </w:r>
          </w:p>
        </w:tc>
        <w:tc>
          <w:tcPr>
            <w:tcW w:type="dxa" w:w="1755"/>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 </w:t>
            </w:r>
          </w:p>
        </w:tc>
        <w:tc>
          <w:tcPr>
            <w:tcW w:type="dxa" w:w="234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 </w:t>
            </w:r>
          </w:p>
        </w:tc>
        <w:tc>
          <w:tcPr>
            <w:tcW w:type="dxa" w:w="4095"/>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 </w:t>
            </w:r>
          </w:p>
        </w:tc>
      </w:tr>
    </w:tbl>
    <w:p>
      <w:pPr>
        <w:spacing w:before="200" w:after="200"/>
      </w:pPr>
    </w:p>
    <w:p>
      <w:pPr>
        <w:pStyle w:val="Heading2"/>
      </w:pPr>
      <w:r>
        <w:t xml:space="preserve">BRMT Membership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2"/>
              <w:bottom w:val="single" w:color="0d9488" w:sz="2"/>
              <w:right w:val="single" w:color="0d9488" w:sz="2"/>
            </w:tcBorders>
            <w:shd w:fill="ccfbf1" w:val="clear"/>
          </w:tcPr>
          <w:p>
            <w:pPr>
              <w:spacing w:before="100" w:after="100"/>
            </w:pPr>
            <w:r>
              <w:rPr>
                <w:rFonts w:ascii="Arial" w:cs="Arial" w:eastAsia="Arial" w:hAnsi="Arial"/>
                <w:b/>
                <w:bCs/>
                <w:color w:val="0d9488"/>
                <w:sz w:val="18"/>
                <w:szCs w:val="18"/>
              </w:rPr>
              <w:t xml:space="preserve">◎ GUIDANCE: </w:t>
            </w:r>
            <w:r>
              <w:rPr>
                <w:rFonts w:ascii="Arial" w:cs="Arial" w:eastAsia="Arial" w:hAnsi="Arial"/>
                <w:i/>
                <w:iCs/>
                <w:color w:val="1a365d"/>
                <w:sz w:val="18"/>
                <w:szCs w:val="18"/>
              </w:rPr>
              <w:t xml:space="preserve">List all Benefit-Risk Management Team members. The BRMT should include cross-functional representation: Clinical Development, Pharmacovigilance, Regulatory Affairs, Medical Affairs, Biostatistics, and Commercial (where appropriate).</w:t>
            </w:r>
          </w:p>
        </w:tc>
      </w:tr>
    </w:tbl>
    <w:p>
      <w:pPr>
        <w:spacing w:before="20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c>
          <w:tcPr>
            <w:tcW w:type="dxa" w:w="2808"/>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8"/>
                <w:szCs w:val="18"/>
              </w:rPr>
              <w:t xml:space="preserve">Name</w:t>
            </w:r>
          </w:p>
        </w:tc>
        <w:tc>
          <w:tcPr>
            <w:tcW w:type="dxa" w:w="2808"/>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8"/>
                <w:szCs w:val="18"/>
              </w:rPr>
              <w:t xml:space="preserve">Function</w:t>
            </w:r>
          </w:p>
        </w:tc>
        <w:tc>
          <w:tcPr>
            <w:tcW w:type="dxa" w:w="3744"/>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8"/>
                <w:szCs w:val="18"/>
              </w:rPr>
              <w:t xml:space="preserve">Role in BRMT</w:t>
            </w:r>
          </w:p>
        </w:tc>
      </w:tr>
      <w:tr>
        <w:tc>
          <w:tcPr>
            <w:tcW w:type="dxa" w:w="2808"/>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 </w:t>
            </w:r>
          </w:p>
        </w:tc>
        <w:tc>
          <w:tcPr>
            <w:tcW w:type="dxa" w:w="2808"/>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Clinical Development</w:t>
            </w:r>
          </w:p>
        </w:tc>
        <w:tc>
          <w:tcPr>
            <w:tcW w:type="dxa" w:w="3744"/>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Chair</w:t>
            </w:r>
          </w:p>
        </w:tc>
      </w:tr>
      <w:tr>
        <w:tc>
          <w:tcPr>
            <w:tcW w:type="dxa" w:w="2808"/>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 </w:t>
            </w:r>
          </w:p>
        </w:tc>
        <w:tc>
          <w:tcPr>
            <w:tcW w:type="dxa" w:w="2808"/>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Pharmacovigilance</w:t>
            </w:r>
          </w:p>
        </w:tc>
        <w:tc>
          <w:tcPr>
            <w:tcW w:type="dxa" w:w="3744"/>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Safety Lead</w:t>
            </w:r>
          </w:p>
        </w:tc>
      </w:tr>
      <w:tr>
        <w:tc>
          <w:tcPr>
            <w:tcW w:type="dxa" w:w="2808"/>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 </w:t>
            </w:r>
          </w:p>
        </w:tc>
        <w:tc>
          <w:tcPr>
            <w:tcW w:type="dxa" w:w="2808"/>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Regulatory Affairs</w:t>
            </w:r>
          </w:p>
        </w:tc>
        <w:tc>
          <w:tcPr>
            <w:tcW w:type="dxa" w:w="3744"/>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Regulatory Lead</w:t>
            </w:r>
          </w:p>
        </w:tc>
      </w:tr>
      <w:tr>
        <w:tc>
          <w:tcPr>
            <w:tcW w:type="dxa" w:w="2808"/>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 </w:t>
            </w:r>
          </w:p>
        </w:tc>
        <w:tc>
          <w:tcPr>
            <w:tcW w:type="dxa" w:w="2808"/>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Biostatistics</w:t>
            </w:r>
          </w:p>
        </w:tc>
        <w:tc>
          <w:tcPr>
            <w:tcW w:type="dxa" w:w="3744"/>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Statistical Lead</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pPr>
      <w:r>
        <w:rPr>
          <w:rFonts w:ascii="Arial" w:cs="Arial" w:eastAsia="Arial" w:hAnsi="Arial"/>
          <w:i/>
          <w:iCs/>
          <w:color w:val="64748b"/>
          <w:sz w:val="18"/>
          <w:szCs w:val="18"/>
        </w:rPr>
        <w:t xml:space="preserve">[Right-click and select 'Update Field' to refresh TOC after editing]</w:t>
      </w:r>
    </w:p>
    <w:p>
      <w:r>
        <w:br w:type="page"/>
      </w:r>
    </w:p>
    <w:p>
      <w:pPr>
        <w:pStyle w:val="Heading1"/>
      </w:pPr>
      <w:r>
        <w:t xml:space="preserve">1. Executive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2"/>
              <w:bottom w:val="single" w:color="0d9488" w:sz="2"/>
              <w:right w:val="single" w:color="0d9488" w:sz="2"/>
            </w:tcBorders>
            <w:shd w:fill="ccfbf1" w:val="clear"/>
          </w:tcPr>
          <w:p>
            <w:pPr>
              <w:spacing w:before="100" w:after="100"/>
            </w:pPr>
            <w:r>
              <w:rPr>
                <w:rFonts w:ascii="Arial" w:cs="Arial" w:eastAsia="Arial" w:hAnsi="Arial"/>
                <w:b/>
                <w:bCs/>
                <w:color w:val="0d9488"/>
                <w:sz w:val="18"/>
                <w:szCs w:val="18"/>
              </w:rPr>
              <w:t xml:space="preserve">◎ GUIDANCE: </w:t>
            </w:r>
            <w:r>
              <w:rPr>
                <w:rFonts w:ascii="Arial" w:cs="Arial" w:eastAsia="Arial" w:hAnsi="Arial"/>
                <w:i/>
                <w:iCs/>
                <w:color w:val="1a365d"/>
                <w:sz w:val="18"/>
                <w:szCs w:val="18"/>
              </w:rPr>
              <w:t xml:space="preserve">Provide a high-level summary of the benefit-risk assessment conclusions (1-2 pages maximum). This section should be written last but appears first. Include: product overview, indication(s), key benefits, key risks, overall B-R conclusion, and any critical outstanding issues. This summary must enable leadership to understand the B-R position without reading the full document.</w:t>
            </w:r>
          </w:p>
        </w:tc>
      </w:tr>
    </w:tbl>
    <w:p>
      <w:pPr>
        <w:spacing w:before="200" w:after="200"/>
      </w:pPr>
    </w:p>
    <w:p>
      <w:pPr>
        <w:pStyle w:val="Heading2"/>
      </w:pPr>
      <w:r>
        <w:t xml:space="preserve">1.1 Product Overview</w:t>
      </w:r>
    </w:p>
    <w:p>
      <w:pPr>
        <w:spacing w:before="100" w:after="100"/>
      </w:pPr>
      <w:r>
        <w:rPr>
          <w:rFonts w:ascii="Arial" w:cs="Arial" w:eastAsia="Arial" w:hAnsi="Arial"/>
          <w:color w:val="64748b"/>
          <w:sz w:val="22"/>
          <w:szCs w:val="22"/>
        </w:rPr>
        <w:t xml:space="preserve">[</w:t>
      </w:r>
      <w:r>
        <w:rPr>
          <w:rFonts w:ascii="Arial" w:cs="Arial" w:eastAsia="Arial" w:hAnsi="Arial"/>
          <w:i/>
          <w:iCs/>
          <w:color w:val="64748b"/>
          <w:sz w:val="22"/>
          <w:szCs w:val="22"/>
        </w:rPr>
        <w:t xml:space="preserve">Brief description of the product including INN, mechanism of action, formulation, route of administration, and therapeutic class.</w:t>
      </w:r>
      <w:r>
        <w:rPr>
          <w:rFonts w:ascii="Arial" w:cs="Arial" w:eastAsia="Arial" w:hAnsi="Arial"/>
          <w:color w:val="64748b"/>
          <w:sz w:val="22"/>
          <w:szCs w:val="22"/>
        </w:rPr>
        <w:t xml:space="preserve">]</w:t>
      </w:r>
    </w:p>
    <w:p>
      <w:pPr>
        <w:spacing w:before="200" w:after="200"/>
      </w:pPr>
    </w:p>
    <w:p>
      <w:pPr>
        <w:pStyle w:val="Heading2"/>
      </w:pPr>
      <w:r>
        <w:t xml:space="preserve">1.2 Indication(s) Under Assessment</w:t>
      </w:r>
    </w:p>
    <w:p>
      <w:pPr>
        <w:spacing w:before="100" w:after="100"/>
      </w:pPr>
      <w:r>
        <w:rPr>
          <w:rFonts w:ascii="Arial" w:cs="Arial" w:eastAsia="Arial" w:hAnsi="Arial"/>
          <w:color w:val="64748b"/>
          <w:sz w:val="22"/>
          <w:szCs w:val="22"/>
        </w:rPr>
        <w:t xml:space="preserve">[</w:t>
      </w:r>
      <w:r>
        <w:rPr>
          <w:rFonts w:ascii="Arial" w:cs="Arial" w:eastAsia="Arial" w:hAnsi="Arial"/>
          <w:i/>
          <w:iCs/>
          <w:color w:val="64748b"/>
          <w:sz w:val="22"/>
          <w:szCs w:val="22"/>
        </w:rPr>
        <w:t xml:space="preserve">State the specific indication(s) being assessed, including target population and intended use.</w:t>
      </w:r>
      <w:r>
        <w:rPr>
          <w:rFonts w:ascii="Arial" w:cs="Arial" w:eastAsia="Arial" w:hAnsi="Arial"/>
          <w:color w:val="64748b"/>
          <w:sz w:val="22"/>
          <w:szCs w:val="22"/>
        </w:rPr>
        <w:t xml:space="preserve">]</w:t>
      </w:r>
    </w:p>
    <w:p>
      <w:pPr>
        <w:spacing w:before="200" w:after="200"/>
      </w:pPr>
    </w:p>
    <w:p>
      <w:pPr>
        <w:pStyle w:val="Heading2"/>
      </w:pPr>
      <w:r>
        <w:t xml:space="preserve">1.3 Summary of Key Benefits</w:t>
      </w:r>
    </w:p>
    <w:p>
      <w:pPr>
        <w:spacing w:before="100" w:after="100"/>
      </w:pPr>
      <w:r>
        <w:rPr>
          <w:rFonts w:ascii="Arial" w:cs="Arial" w:eastAsia="Arial" w:hAnsi="Arial"/>
          <w:color w:val="64748b"/>
          <w:sz w:val="22"/>
          <w:szCs w:val="22"/>
        </w:rPr>
        <w:t xml:space="preserve">[</w:t>
      </w:r>
      <w:r>
        <w:rPr>
          <w:rFonts w:ascii="Arial" w:cs="Arial" w:eastAsia="Arial" w:hAnsi="Arial"/>
          <w:i/>
          <w:iCs/>
          <w:color w:val="64748b"/>
          <w:sz w:val="22"/>
          <w:szCs w:val="22"/>
        </w:rPr>
        <w:t xml:space="preserve">Concise summary of the most important benefits supported by key efficacy data.</w:t>
      </w:r>
      <w:r>
        <w:rPr>
          <w:rFonts w:ascii="Arial" w:cs="Arial" w:eastAsia="Arial" w:hAnsi="Arial"/>
          <w:color w:val="64748b"/>
          <w:sz w:val="22"/>
          <w:szCs w:val="22"/>
        </w:rPr>
        <w:t xml:space="preserve">]</w:t>
      </w:r>
    </w:p>
    <w:p>
      <w:pPr>
        <w:spacing w:before="200" w:after="200"/>
      </w:pPr>
    </w:p>
    <w:p>
      <w:pPr>
        <w:pStyle w:val="Heading2"/>
      </w:pPr>
      <w:r>
        <w:t xml:space="preserve">1.4 Summary of Key Risks</w:t>
      </w:r>
    </w:p>
    <w:p>
      <w:pPr>
        <w:spacing w:before="100" w:after="100"/>
      </w:pPr>
      <w:r>
        <w:rPr>
          <w:rFonts w:ascii="Arial" w:cs="Arial" w:eastAsia="Arial" w:hAnsi="Arial"/>
          <w:color w:val="64748b"/>
          <w:sz w:val="22"/>
          <w:szCs w:val="22"/>
        </w:rPr>
        <w:t xml:space="preserve">[</w:t>
      </w:r>
      <w:r>
        <w:rPr>
          <w:rFonts w:ascii="Arial" w:cs="Arial" w:eastAsia="Arial" w:hAnsi="Arial"/>
          <w:i/>
          <w:iCs/>
          <w:color w:val="64748b"/>
          <w:sz w:val="22"/>
          <w:szCs w:val="22"/>
        </w:rPr>
        <w:t xml:space="preserve">Concise summary of the most important identified risks, potential risks, and missing information.</w:t>
      </w:r>
      <w:r>
        <w:rPr>
          <w:rFonts w:ascii="Arial" w:cs="Arial" w:eastAsia="Arial" w:hAnsi="Arial"/>
          <w:color w:val="64748b"/>
          <w:sz w:val="22"/>
          <w:szCs w:val="22"/>
        </w:rPr>
        <w:t xml:space="preserve">]</w:t>
      </w:r>
    </w:p>
    <w:p>
      <w:pPr>
        <w:spacing w:before="200" w:after="200"/>
      </w:pPr>
    </w:p>
    <w:p>
      <w:pPr>
        <w:pStyle w:val="Heading2"/>
      </w:pPr>
      <w:r>
        <w:t xml:space="preserve">1.5 Benefit-Risk Conclusion</w:t>
      </w:r>
    </w:p>
    <w:p>
      <w:pPr>
        <w:spacing w:before="100" w:after="100"/>
      </w:pPr>
      <w:r>
        <w:rPr>
          <w:rFonts w:ascii="Arial" w:cs="Arial" w:eastAsia="Arial" w:hAnsi="Arial"/>
          <w:color w:val="64748b"/>
          <w:sz w:val="22"/>
          <w:szCs w:val="22"/>
        </w:rPr>
        <w:t xml:space="preserve">[</w:t>
      </w:r>
      <w:r>
        <w:rPr>
          <w:rFonts w:ascii="Arial" w:cs="Arial" w:eastAsia="Arial" w:hAnsi="Arial"/>
          <w:i/>
          <w:iCs/>
          <w:color w:val="64748b"/>
          <w:sz w:val="22"/>
          <w:szCs w:val="22"/>
        </w:rPr>
        <w:t xml:space="preserve">Clear statement of whether benefits outweigh risks for the intended population under the proposed conditions of use, with key supporting rationale.</w:t>
      </w:r>
      <w:r>
        <w:rPr>
          <w:rFonts w:ascii="Arial" w:cs="Arial" w:eastAsia="Arial" w:hAnsi="Arial"/>
          <w:color w:val="64748b"/>
          <w:sz w:val="22"/>
          <w:szCs w:val="22"/>
        </w:rPr>
        <w:t xml:space="preserve">]</w:t>
      </w:r>
    </w:p>
    <w:p>
      <w:r>
        <w:br w:type="page"/>
      </w:r>
    </w:p>
    <w:p>
      <w:pPr>
        <w:pStyle w:val="Heading1"/>
      </w:pPr>
      <w:r>
        <w:t xml:space="preserve">2. Therapeutic Context (Product Opportunity)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2"/>
              <w:bottom w:val="single" w:color="0d9488" w:sz="2"/>
              <w:right w:val="single" w:color="0d9488" w:sz="2"/>
            </w:tcBorders>
            <w:shd w:fill="ccfbf1" w:val="clear"/>
          </w:tcPr>
          <w:p>
            <w:pPr>
              <w:spacing w:before="100" w:after="100"/>
            </w:pPr>
            <w:r>
              <w:rPr>
                <w:rFonts w:ascii="Arial" w:cs="Arial" w:eastAsia="Arial" w:hAnsi="Arial"/>
                <w:b/>
                <w:bCs/>
                <w:color w:val="0d9488"/>
                <w:sz w:val="18"/>
                <w:szCs w:val="18"/>
              </w:rPr>
              <w:t xml:space="preserve">◎ GUIDANCE: </w:t>
            </w:r>
            <w:r>
              <w:rPr>
                <w:rFonts w:ascii="Arial" w:cs="Arial" w:eastAsia="Arial" w:hAnsi="Arial"/>
                <w:i/>
                <w:iCs/>
                <w:color w:val="1a365d"/>
                <w:sz w:val="18"/>
                <w:szCs w:val="18"/>
              </w:rPr>
              <w:t xml:space="preserve">This section establishes why this product matters—the unmet medical need that justifies development and the therapeutic landscape into which the product enters. The therapeutic context directly influences what level of risk is acceptable: higher risks may be tolerable for serious conditions with limited treatment options.</w:t>
            </w:r>
          </w:p>
        </w:tc>
      </w:tr>
    </w:tbl>
    <w:p>
      <w:pPr>
        <w:spacing w:before="200" w:after="200"/>
      </w:pPr>
    </w:p>
    <w:p>
      <w:pPr>
        <w:pStyle w:val="Heading2"/>
      </w:pPr>
      <w:r>
        <w:t xml:space="preserve">2.1 Disease/Condition Overview</w:t>
      </w:r>
    </w:p>
    <w:p>
      <w:pPr>
        <w:pStyle w:val="Heading3"/>
      </w:pPr>
      <w:r>
        <w:t xml:space="preserve">2.1.1 Epidemiology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1a365d" w:sz="1"/>
              <w:left w:val="single" w:color="1a365d" w:sz="1"/>
              <w:bottom w:val="single" w:color="1a365d" w:sz="1"/>
              <w:right w:val="single" w:color="1a365d" w:sz="1"/>
            </w:tcBorders>
            <w:shd w:fill="1a365d" w:val="clear"/>
          </w:tcPr>
          <w:p>
            <w:r>
              <w:rPr>
                <w:rFonts w:ascii="Arial" w:cs="Arial" w:eastAsia="Arial" w:hAnsi="Arial"/>
                <w:b/>
                <w:bCs/>
                <w:color w:val="FFFFFF"/>
                <w:sz w:val="18"/>
                <w:szCs w:val="18"/>
              </w:rPr>
              <w:t xml:space="preserve">Parameter</w:t>
            </w:r>
          </w:p>
        </w:tc>
        <w:tc>
          <w:tcPr>
            <w:tcW w:type="dxa" w:w="5616"/>
            <w:tcBorders>
              <w:top w:val="single" w:color="1a365d" w:sz="1"/>
              <w:left w:val="single" w:color="1a365d" w:sz="1"/>
              <w:bottom w:val="single" w:color="1a365d" w:sz="1"/>
              <w:right w:val="single" w:color="1a365d" w:sz="1"/>
            </w:tcBorders>
            <w:shd w:fill="1a365d" w:val="clear"/>
          </w:tcPr>
          <w:p>
            <w:r>
              <w:rPr>
                <w:rFonts w:ascii="Arial" w:cs="Arial" w:eastAsia="Arial" w:hAnsi="Arial"/>
                <w:b/>
                <w:bCs/>
                <w:color w:val="FFFFFF"/>
                <w:sz w:val="18"/>
                <w:szCs w:val="18"/>
              </w:rPr>
              <w:t xml:space="preserve">Data / Description</w:t>
            </w:r>
          </w:p>
        </w:tc>
      </w:tr>
      <w:tr>
        <w:tc>
          <w:tcPr>
            <w:tcW w:type="dxa" w:w="3744"/>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Incidence (new cases/year)</w:t>
            </w:r>
          </w:p>
        </w:tc>
        <w:tc>
          <w:tcPr>
            <w:tcW w:type="dxa" w:w="5616"/>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 </w:t>
            </w:r>
          </w:p>
        </w:tc>
      </w:tr>
      <w:tr>
        <w:tc>
          <w:tcPr>
            <w:tcW w:type="dxa" w:w="3744"/>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Prevalence</w:t>
            </w:r>
          </w:p>
        </w:tc>
        <w:tc>
          <w:tcPr>
            <w:tcW w:type="dxa" w:w="5616"/>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 </w:t>
            </w:r>
          </w:p>
        </w:tc>
      </w:tr>
      <w:tr>
        <w:tc>
          <w:tcPr>
            <w:tcW w:type="dxa" w:w="3744"/>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Geographic distribution</w:t>
            </w:r>
          </w:p>
        </w:tc>
        <w:tc>
          <w:tcPr>
            <w:tcW w:type="dxa" w:w="5616"/>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 </w:t>
            </w:r>
          </w:p>
        </w:tc>
      </w:tr>
      <w:tr>
        <w:tc>
          <w:tcPr>
            <w:tcW w:type="dxa" w:w="3744"/>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Demographics (age, sex)</w:t>
            </w:r>
          </w:p>
        </w:tc>
        <w:tc>
          <w:tcPr>
            <w:tcW w:type="dxa" w:w="5616"/>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 </w:t>
            </w:r>
          </w:p>
        </w:tc>
      </w:tr>
      <w:tr>
        <w:tc>
          <w:tcPr>
            <w:tcW w:type="dxa" w:w="3744"/>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Mortality rate</w:t>
            </w:r>
          </w:p>
        </w:tc>
        <w:tc>
          <w:tcPr>
            <w:tcW w:type="dxa" w:w="5616"/>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 </w:t>
            </w:r>
          </w:p>
        </w:tc>
      </w:tr>
    </w:tbl>
    <w:p>
      <w:pPr>
        <w:spacing w:before="200" w:after="200"/>
      </w:pPr>
    </w:p>
    <w:p>
      <w:pPr>
        <w:pStyle w:val="Heading3"/>
      </w:pPr>
      <w:r>
        <w:t xml:space="preserve">2.1.2 Clinical Presentation and Natural History</w:t>
      </w:r>
    </w:p>
    <w:p>
      <w:pPr>
        <w:spacing w:before="100" w:after="100"/>
      </w:pPr>
      <w:r>
        <w:rPr>
          <w:rFonts w:ascii="Arial" w:cs="Arial" w:eastAsia="Arial" w:hAnsi="Arial"/>
          <w:color w:val="64748b"/>
          <w:sz w:val="22"/>
          <w:szCs w:val="22"/>
        </w:rPr>
        <w:t xml:space="preserve">[</w:t>
      </w:r>
      <w:r>
        <w:rPr>
          <w:rFonts w:ascii="Arial" w:cs="Arial" w:eastAsia="Arial" w:hAnsi="Arial"/>
          <w:i/>
          <w:iCs/>
          <w:color w:val="64748b"/>
          <w:sz w:val="22"/>
          <w:szCs w:val="22"/>
        </w:rPr>
        <w:t xml:space="preserve">Describe symptom progression, disease stages, prognosis without treatment, and impact on quality of life and daily functioning.</w:t>
      </w:r>
      <w:r>
        <w:rPr>
          <w:rFonts w:ascii="Arial" w:cs="Arial" w:eastAsia="Arial" w:hAnsi="Arial"/>
          <w:color w:val="64748b"/>
          <w:sz w:val="22"/>
          <w:szCs w:val="22"/>
        </w:rPr>
        <w:t xml:space="preserve">]</w:t>
      </w:r>
    </w:p>
    <w:p>
      <w:pPr>
        <w:spacing w:before="200" w:after="200"/>
      </w:pPr>
    </w:p>
    <w:p>
      <w:pPr>
        <w:pStyle w:val="Heading2"/>
      </w:pPr>
      <w:r>
        <w:t xml:space="preserve">2.2 Current Treatment Options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2"/>
              <w:bottom w:val="single" w:color="0d9488" w:sz="2"/>
              <w:right w:val="single" w:color="0d9488" w:sz="2"/>
            </w:tcBorders>
            <w:shd w:fill="ccfbf1" w:val="clear"/>
          </w:tcPr>
          <w:p>
            <w:pPr>
              <w:spacing w:before="100" w:after="100"/>
            </w:pPr>
            <w:r>
              <w:rPr>
                <w:rFonts w:ascii="Arial" w:cs="Arial" w:eastAsia="Arial" w:hAnsi="Arial"/>
                <w:b/>
                <w:bCs/>
                <w:color w:val="0d9488"/>
                <w:sz w:val="18"/>
                <w:szCs w:val="18"/>
              </w:rPr>
              <w:t xml:space="preserve">◎ GUIDANCE: </w:t>
            </w:r>
            <w:r>
              <w:rPr>
                <w:rFonts w:ascii="Arial" w:cs="Arial" w:eastAsia="Arial" w:hAnsi="Arial"/>
                <w:i/>
                <w:iCs/>
                <w:color w:val="1a365d"/>
                <w:sz w:val="18"/>
                <w:szCs w:val="18"/>
              </w:rPr>
              <w:t xml:space="preserve">Characterize the existing therapeutic landscape. This establishes the comparators against which the new product will be evaluated and identifies gaps the new product may address.</w:t>
            </w:r>
          </w:p>
        </w:tc>
      </w:tr>
    </w:tbl>
    <w:p>
      <w:pPr>
        <w:spacing w:before="20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6"/>
        <w:gridCol w:w="2106"/>
        <w:gridCol w:w="2574"/>
        <w:gridCol w:w="2574"/>
      </w:tblGrid>
      <w:tr>
        <w:tc>
          <w:tcPr>
            <w:tcW w:type="dxa" w:w="2106"/>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6"/>
                <w:szCs w:val="16"/>
              </w:rPr>
              <w:t xml:space="preserve">Treatment</w:t>
            </w:r>
          </w:p>
        </w:tc>
        <w:tc>
          <w:tcPr>
            <w:tcW w:type="dxa" w:w="2106"/>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6"/>
                <w:szCs w:val="16"/>
              </w:rPr>
              <w:t xml:space="preserve">Efficacy</w:t>
            </w:r>
          </w:p>
        </w:tc>
        <w:tc>
          <w:tcPr>
            <w:tcW w:type="dxa" w:w="2574"/>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6"/>
                <w:szCs w:val="16"/>
              </w:rPr>
              <w:t xml:space="preserve">Key Risks</w:t>
            </w:r>
          </w:p>
        </w:tc>
        <w:tc>
          <w:tcPr>
            <w:tcW w:type="dxa" w:w="2574"/>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6"/>
                <w:szCs w:val="16"/>
              </w:rPr>
              <w:t xml:space="preserve">Limitations</w:t>
            </w:r>
          </w:p>
        </w:tc>
      </w:tr>
      <w:tr>
        <w:tc>
          <w:tcPr>
            <w:tcW w:type="dxa" w:w="2106"/>
            <w:tcBorders>
              <w:top w:val="single" w:color="CCCCCC" w:sz="1"/>
              <w:left w:val="single" w:color="CCCCCC" w:sz="1"/>
              <w:bottom w:val="single" w:color="CCCCCC" w:sz="1"/>
              <w:right w:val="single" w:color="CCCCCC" w:sz="1"/>
            </w:tcBorders>
          </w:tcPr>
          <w:p>
            <w:r>
              <w:rPr>
                <w:rFonts w:ascii="Arial" w:cs="Arial" w:eastAsia="Arial" w:hAnsi="Arial"/>
                <w:color w:val="64748b"/>
                <w:sz w:val="16"/>
                <w:szCs w:val="16"/>
              </w:rPr>
              <w:t xml:space="preserve">[Comparator 1]</w:t>
            </w:r>
          </w:p>
        </w:tc>
        <w:tc>
          <w:tcPr>
            <w:tcW w:type="dxa" w:w="2106"/>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c>
          <w:tcPr>
            <w:tcW w:type="dxa" w:w="2574"/>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c>
          <w:tcPr>
            <w:tcW w:type="dxa" w:w="2574"/>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r>
      <w:tr>
        <w:tc>
          <w:tcPr>
            <w:tcW w:type="dxa" w:w="2106"/>
            <w:tcBorders>
              <w:top w:val="single" w:color="CCCCCC" w:sz="1"/>
              <w:left w:val="single" w:color="CCCCCC" w:sz="1"/>
              <w:bottom w:val="single" w:color="CCCCCC" w:sz="1"/>
              <w:right w:val="single" w:color="CCCCCC" w:sz="1"/>
            </w:tcBorders>
          </w:tcPr>
          <w:p>
            <w:r>
              <w:rPr>
                <w:rFonts w:ascii="Arial" w:cs="Arial" w:eastAsia="Arial" w:hAnsi="Arial"/>
                <w:color w:val="64748b"/>
                <w:sz w:val="16"/>
                <w:szCs w:val="16"/>
              </w:rPr>
              <w:t xml:space="preserve">[Comparator 2]</w:t>
            </w:r>
          </w:p>
        </w:tc>
        <w:tc>
          <w:tcPr>
            <w:tcW w:type="dxa" w:w="2106"/>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c>
          <w:tcPr>
            <w:tcW w:type="dxa" w:w="2574"/>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c>
          <w:tcPr>
            <w:tcW w:type="dxa" w:w="2574"/>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r>
      <w:tr>
        <w:tc>
          <w:tcPr>
            <w:tcW w:type="dxa" w:w="2106"/>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Standard of Care</w:t>
            </w:r>
          </w:p>
        </w:tc>
        <w:tc>
          <w:tcPr>
            <w:tcW w:type="dxa" w:w="2106"/>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c>
          <w:tcPr>
            <w:tcW w:type="dxa" w:w="2574"/>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c>
          <w:tcPr>
            <w:tcW w:type="dxa" w:w="2574"/>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r>
    </w:tbl>
    <w:p>
      <w:pPr>
        <w:spacing w:before="200" w:after="200"/>
      </w:pPr>
    </w:p>
    <w:p>
      <w:pPr>
        <w:pStyle w:val="Heading2"/>
      </w:pPr>
      <w:r>
        <w:t xml:space="preserve">2.3 Unmet Medical Need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2"/>
              <w:bottom w:val="single" w:color="0d9488" w:sz="2"/>
              <w:right w:val="single" w:color="0d9488" w:sz="2"/>
            </w:tcBorders>
            <w:shd w:fill="ccfbf1" w:val="clear"/>
          </w:tcPr>
          <w:p>
            <w:pPr>
              <w:spacing w:before="100" w:after="100"/>
            </w:pPr>
            <w:r>
              <w:rPr>
                <w:rFonts w:ascii="Arial" w:cs="Arial" w:eastAsia="Arial" w:hAnsi="Arial"/>
                <w:b/>
                <w:bCs/>
                <w:color w:val="0d9488"/>
                <w:sz w:val="18"/>
                <w:szCs w:val="18"/>
              </w:rPr>
              <w:t xml:space="preserve">◎ GUIDANCE: </w:t>
            </w:r>
            <w:r>
              <w:rPr>
                <w:rFonts w:ascii="Arial" w:cs="Arial" w:eastAsia="Arial" w:hAnsi="Arial"/>
                <w:i/>
                <w:iCs/>
                <w:color w:val="1a365d"/>
                <w:sz w:val="18"/>
                <w:szCs w:val="18"/>
              </w:rPr>
              <w:t xml:space="preserve">Articulate specifically what gap exists that the new product addresses. This is the strategic justification for the product's existence and influences acceptable risk tolerance.</w:t>
            </w:r>
          </w:p>
        </w:tc>
      </w:tr>
    </w:tbl>
    <w:p>
      <w:pPr>
        <w:spacing w:before="200" w:after="200"/>
      </w:pPr>
    </w:p>
    <w:p>
      <w:pPr>
        <w:spacing w:before="100" w:after="100"/>
      </w:pPr>
      <w:r>
        <w:rPr>
          <w:rFonts w:ascii="Arial" w:cs="Arial" w:eastAsia="Arial" w:hAnsi="Arial"/>
          <w:color w:val="64748b"/>
          <w:sz w:val="22"/>
          <w:szCs w:val="22"/>
        </w:rPr>
        <w:t xml:space="preserve">[</w:t>
      </w:r>
      <w:r>
        <w:rPr>
          <w:rFonts w:ascii="Arial" w:cs="Arial" w:eastAsia="Arial" w:hAnsi="Arial"/>
          <w:i/>
          <w:iCs/>
          <w:color w:val="64748b"/>
          <w:sz w:val="22"/>
          <w:szCs w:val="22"/>
        </w:rPr>
        <w:t xml:space="preserve">Describe the specific unmet needs including: inadequate efficacy of existing treatments, unacceptable safety profile of alternatives, underserved patient subpopulations, treatment burden or inconvenience, and any other gaps in current care.</w:t>
      </w:r>
      <w:r>
        <w:rPr>
          <w:rFonts w:ascii="Arial" w:cs="Arial" w:eastAsia="Arial" w:hAnsi="Arial"/>
          <w:color w:val="64748b"/>
          <w:sz w:val="22"/>
          <w:szCs w:val="22"/>
        </w:rPr>
        <w:t xml:space="preserve">]</w:t>
      </w:r>
    </w:p>
    <w:p>
      <w:r>
        <w:br w:type="page"/>
      </w:r>
    </w:p>
    <w:p>
      <w:pPr>
        <w:pStyle w:val="Heading1"/>
      </w:pPr>
      <w:r>
        <w:t xml:space="preserve">3. Key Benefits (Product Profile)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2"/>
              <w:bottom w:val="single" w:color="0d9488" w:sz="2"/>
              <w:right w:val="single" w:color="0d9488" w:sz="2"/>
            </w:tcBorders>
            <w:shd w:fill="ccfbf1" w:val="clear"/>
          </w:tcPr>
          <w:p>
            <w:pPr>
              <w:spacing w:before="100" w:after="100"/>
            </w:pPr>
            <w:r>
              <w:rPr>
                <w:rFonts w:ascii="Arial" w:cs="Arial" w:eastAsia="Arial" w:hAnsi="Arial"/>
                <w:b/>
                <w:bCs/>
                <w:color w:val="0d9488"/>
                <w:sz w:val="18"/>
                <w:szCs w:val="18"/>
              </w:rPr>
              <w:t xml:space="preserve">◎ GUIDANCE: </w:t>
            </w:r>
            <w:r>
              <w:rPr>
                <w:rFonts w:ascii="Arial" w:cs="Arial" w:eastAsia="Arial" w:hAnsi="Arial"/>
                <w:i/>
                <w:iCs/>
                <w:color w:val="1a365d"/>
                <w:sz w:val="18"/>
                <w:szCs w:val="18"/>
              </w:rPr>
              <w:t xml:space="preserve">Document the favorable effects that comprise the benefit side of the assessment. Focus on benefits that are clinically meaningful and supported by evidence. Structure benefits hierarchically: primary efficacy → secondary benefits → convenience/QoL.</w:t>
            </w:r>
          </w:p>
        </w:tc>
      </w:tr>
    </w:tbl>
    <w:p>
      <w:pPr>
        <w:spacing w:before="200" w:after="200"/>
      </w:pPr>
    </w:p>
    <w:p>
      <w:pPr>
        <w:pStyle w:val="Heading2"/>
      </w:pPr>
      <w:r>
        <w:t xml:space="preserve">3.1 Primary Efficacy</w:t>
      </w:r>
    </w:p>
    <w:p>
      <w:pPr>
        <w:pStyle w:val="Heading3"/>
      </w:pPr>
      <w:r>
        <w:t xml:space="preserve">3.1.1 Primary Endpoint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6"/>
                <w:szCs w:val="16"/>
              </w:rPr>
              <w:t xml:space="preserve">Study</w:t>
            </w:r>
          </w:p>
        </w:tc>
        <w:tc>
          <w:tcPr>
            <w:tcW w:type="dxa" w:w="1872"/>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6"/>
                <w:szCs w:val="16"/>
              </w:rPr>
              <w:t xml:space="preserve">Endpoint</w:t>
            </w:r>
          </w:p>
        </w:tc>
        <w:tc>
          <w:tcPr>
            <w:tcW w:type="dxa" w:w="1872"/>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6"/>
                <w:szCs w:val="16"/>
              </w:rPr>
              <w:t xml:space="preserve">Product</w:t>
            </w:r>
          </w:p>
        </w:tc>
        <w:tc>
          <w:tcPr>
            <w:tcW w:type="dxa" w:w="1872"/>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6"/>
                <w:szCs w:val="16"/>
              </w:rPr>
              <w:t xml:space="preserve">Comparator</w:t>
            </w:r>
          </w:p>
        </w:tc>
        <w:tc>
          <w:tcPr>
            <w:tcW w:type="dxa" w:w="1872"/>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6"/>
                <w:szCs w:val="16"/>
              </w:rPr>
              <w:t xml:space="preserve">Effect Size (95% CI)</w:t>
            </w:r>
          </w:p>
        </w:tc>
      </w:tr>
      <w:tr>
        <w:tc>
          <w:tcPr>
            <w:tcW w:type="dxa" w:w="1872"/>
            <w:tcBorders>
              <w:top w:val="single" w:color="CCCCCC" w:sz="1"/>
              <w:left w:val="single" w:color="CCCCCC" w:sz="1"/>
              <w:bottom w:val="single" w:color="CCCCCC" w:sz="1"/>
              <w:right w:val="single" w:color="CCCCCC" w:sz="1"/>
            </w:tcBorders>
          </w:tcPr>
          <w:p>
            <w:r>
              <w:rPr>
                <w:rFonts w:ascii="Arial" w:cs="Arial" w:eastAsia="Arial" w:hAnsi="Arial"/>
                <w:color w:val="64748b"/>
                <w:sz w:val="16"/>
                <w:szCs w:val="16"/>
              </w:rPr>
              <w:t xml:space="preserve">[Study ID]</w:t>
            </w:r>
          </w:p>
        </w:tc>
        <w:tc>
          <w:tcPr>
            <w:tcW w:type="dxa" w:w="1872"/>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c>
          <w:tcPr>
            <w:tcW w:type="dxa" w:w="1872"/>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c>
          <w:tcPr>
            <w:tcW w:type="dxa" w:w="1872"/>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c>
          <w:tcPr>
            <w:tcW w:type="dxa" w:w="1872"/>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r>
      <w:tr>
        <w:tc>
          <w:tcPr>
            <w:tcW w:type="dxa" w:w="1872"/>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c>
          <w:tcPr>
            <w:tcW w:type="dxa" w:w="1872"/>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c>
          <w:tcPr>
            <w:tcW w:type="dxa" w:w="1872"/>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c>
          <w:tcPr>
            <w:tcW w:type="dxa" w:w="1872"/>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c>
          <w:tcPr>
            <w:tcW w:type="dxa" w:w="1872"/>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r>
    </w:tbl>
    <w:p>
      <w:pPr>
        <w:spacing w:before="200" w:after="200"/>
      </w:pPr>
    </w:p>
    <w:p>
      <w:pPr>
        <w:pStyle w:val="Heading3"/>
      </w:pPr>
      <w:r>
        <w:t xml:space="preserve">3.1.2 Clinical Significance of Primary Benefit</w:t>
      </w:r>
    </w:p>
    <w:p>
      <w:pPr>
        <w:spacing w:before="100" w:after="100"/>
      </w:pPr>
      <w:r>
        <w:rPr>
          <w:rFonts w:ascii="Arial" w:cs="Arial" w:eastAsia="Arial" w:hAnsi="Arial"/>
          <w:color w:val="64748b"/>
          <w:sz w:val="22"/>
          <w:szCs w:val="22"/>
        </w:rPr>
        <w:t xml:space="preserve">[</w:t>
      </w:r>
      <w:r>
        <w:rPr>
          <w:rFonts w:ascii="Arial" w:cs="Arial" w:eastAsia="Arial" w:hAnsi="Arial"/>
          <w:i/>
          <w:iCs/>
          <w:color w:val="64748b"/>
          <w:sz w:val="22"/>
          <w:szCs w:val="22"/>
        </w:rPr>
        <w:t xml:space="preserve">Interpret the clinical meaningfulness of the primary efficacy results. Address: Is the effect size clinically meaningful? How does it compare to existing treatments? What is the NNT? How does this translate to patient-relevant outcomes?</w:t>
      </w:r>
      <w:r>
        <w:rPr>
          <w:rFonts w:ascii="Arial" w:cs="Arial" w:eastAsia="Arial" w:hAnsi="Arial"/>
          <w:color w:val="64748b"/>
          <w:sz w:val="22"/>
          <w:szCs w:val="22"/>
        </w:rPr>
        <w:t xml:space="preserve">]</w:t>
      </w:r>
    </w:p>
    <w:p>
      <w:pPr>
        <w:spacing w:before="200" w:after="200"/>
      </w:pPr>
    </w:p>
    <w:p>
      <w:pPr>
        <w:pStyle w:val="Heading2"/>
      </w:pPr>
      <w:r>
        <w:t xml:space="preserve">3.2 Secondary Benefits</w:t>
      </w:r>
    </w:p>
    <w:p>
      <w:pPr>
        <w:spacing w:before="100" w:after="100"/>
      </w:pPr>
      <w:r>
        <w:rPr>
          <w:rFonts w:ascii="Arial" w:cs="Arial" w:eastAsia="Arial" w:hAnsi="Arial"/>
          <w:color w:val="64748b"/>
          <w:sz w:val="22"/>
          <w:szCs w:val="22"/>
        </w:rPr>
        <w:t xml:space="preserve">[</w:t>
      </w:r>
      <w:r>
        <w:rPr>
          <w:rFonts w:ascii="Arial" w:cs="Arial" w:eastAsia="Arial" w:hAnsi="Arial"/>
          <w:i/>
          <w:iCs/>
          <w:color w:val="64748b"/>
          <w:sz w:val="22"/>
          <w:szCs w:val="22"/>
        </w:rPr>
        <w:t xml:space="preserve">Document additional efficacy endpoints, quality of life improvements, symptom relief, and other favorable effects supported by the clinical program.</w:t>
      </w:r>
      <w:r>
        <w:rPr>
          <w:rFonts w:ascii="Arial" w:cs="Arial" w:eastAsia="Arial" w:hAnsi="Arial"/>
          <w:color w:val="64748b"/>
          <w:sz w:val="22"/>
          <w:szCs w:val="22"/>
        </w:rPr>
        <w:t xml:space="preserve">]</w:t>
      </w:r>
    </w:p>
    <w:p>
      <w:pPr>
        <w:spacing w:before="200" w:after="200"/>
      </w:pPr>
    </w:p>
    <w:p>
      <w:pPr>
        <w:pStyle w:val="Heading2"/>
      </w:pPr>
      <w:r>
        <w:t xml:space="preserve">3.3 Convenience and Administration Benefits</w:t>
      </w:r>
    </w:p>
    <w:p>
      <w:pPr>
        <w:spacing w:before="100" w:after="100"/>
      </w:pPr>
      <w:r>
        <w:rPr>
          <w:rFonts w:ascii="Arial" w:cs="Arial" w:eastAsia="Arial" w:hAnsi="Arial"/>
          <w:color w:val="64748b"/>
          <w:sz w:val="22"/>
          <w:szCs w:val="22"/>
        </w:rPr>
        <w:t xml:space="preserve">[</w:t>
      </w:r>
      <w:r>
        <w:rPr>
          <w:rFonts w:ascii="Arial" w:cs="Arial" w:eastAsia="Arial" w:hAnsi="Arial"/>
          <w:i/>
          <w:iCs/>
          <w:color w:val="64748b"/>
          <w:sz w:val="22"/>
          <w:szCs w:val="22"/>
        </w:rPr>
        <w:t xml:space="preserve">Address benefits related to dosing frequency, route of administration, treatment duration, patient adherence factors, and reduced treatment burden compared to alternatives.</w:t>
      </w:r>
      <w:r>
        <w:rPr>
          <w:rFonts w:ascii="Arial" w:cs="Arial" w:eastAsia="Arial" w:hAnsi="Arial"/>
          <w:color w:val="64748b"/>
          <w:sz w:val="22"/>
          <w:szCs w:val="22"/>
        </w:rPr>
        <w:t xml:space="preserve">]</w:t>
      </w:r>
    </w:p>
    <w:p>
      <w:r>
        <w:br w:type="page"/>
      </w:r>
    </w:p>
    <w:p>
      <w:pPr>
        <w:pStyle w:val="Heading1"/>
      </w:pPr>
      <w:r>
        <w:t xml:space="preserve">4. Key Risks (Product Profile)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2"/>
              <w:bottom w:val="single" w:color="0d9488" w:sz="2"/>
              <w:right w:val="single" w:color="0d9488" w:sz="2"/>
            </w:tcBorders>
            <w:shd w:fill="ccfbf1" w:val="clear"/>
          </w:tcPr>
          <w:p>
            <w:pPr>
              <w:spacing w:before="100" w:after="100"/>
            </w:pPr>
            <w:r>
              <w:rPr>
                <w:rFonts w:ascii="Arial" w:cs="Arial" w:eastAsia="Arial" w:hAnsi="Arial"/>
                <w:b/>
                <w:bCs/>
                <w:color w:val="0d9488"/>
                <w:sz w:val="18"/>
                <w:szCs w:val="18"/>
              </w:rPr>
              <w:t xml:space="preserve">◎ GUIDANCE: </w:t>
            </w:r>
            <w:r>
              <w:rPr>
                <w:rFonts w:ascii="Arial" w:cs="Arial" w:eastAsia="Arial" w:hAnsi="Arial"/>
                <w:i/>
                <w:iCs/>
                <w:color w:val="1a365d"/>
                <w:sz w:val="18"/>
                <w:szCs w:val="18"/>
              </w:rPr>
              <w:t xml:space="preserve">Document the unfavorable effects comprising the risk side of the assessment. Categorize risks per ICH E2E: Identified Risks (adequate evidence of causal association), Potential Risks (suspected but unconfirmed), and Missing Information (gaps in knowledge).</w:t>
            </w:r>
          </w:p>
        </w:tc>
      </w:tr>
    </w:tbl>
    <w:p>
      <w:pPr>
        <w:spacing w:before="200" w:after="200"/>
      </w:pPr>
    </w:p>
    <w:p>
      <w:pPr>
        <w:pStyle w:val="Heading2"/>
      </w:pPr>
      <w:r>
        <w:t xml:space="preserve">4.1 Identified Risks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2"/>
              <w:bottom w:val="single" w:color="0d9488" w:sz="2"/>
              <w:right w:val="single" w:color="0d9488" w:sz="2"/>
            </w:tcBorders>
            <w:shd w:fill="ccfbf1" w:val="clear"/>
          </w:tcPr>
          <w:p>
            <w:pPr>
              <w:spacing w:before="100" w:after="100"/>
            </w:pPr>
            <w:r>
              <w:rPr>
                <w:rFonts w:ascii="Arial" w:cs="Arial" w:eastAsia="Arial" w:hAnsi="Arial"/>
                <w:b/>
                <w:bCs/>
                <w:color w:val="0d9488"/>
                <w:sz w:val="18"/>
                <w:szCs w:val="18"/>
              </w:rPr>
              <w:t xml:space="preserve">◎ GUIDANCE: </w:t>
            </w:r>
            <w:r>
              <w:rPr>
                <w:rFonts w:ascii="Arial" w:cs="Arial" w:eastAsia="Arial" w:hAnsi="Arial"/>
                <w:i/>
                <w:iCs/>
                <w:color w:val="1a365d"/>
                <w:sz w:val="18"/>
                <w:szCs w:val="18"/>
              </w:rPr>
              <w:t xml:space="preserve">List adverse reactions for which there is adequate evidence of a causal association with the product. Characterize by frequency, severity, seriousness, reversibility, and time to onset.</w:t>
            </w:r>
          </w:p>
        </w:tc>
      </w:tr>
    </w:tbl>
    <w:p>
      <w:pPr>
        <w:spacing w:before="20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404"/>
        <w:gridCol w:w="1404"/>
        <w:gridCol w:w="1404"/>
        <w:gridCol w:w="1404"/>
      </w:tblGrid>
      <w:tr>
        <w:tc>
          <w:tcPr>
            <w:tcW w:type="dxa" w:w="2340"/>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4"/>
                <w:szCs w:val="14"/>
              </w:rPr>
              <w:t xml:space="preserve">Identified Risk</w:t>
            </w:r>
          </w:p>
        </w:tc>
        <w:tc>
          <w:tcPr>
            <w:tcW w:type="dxa" w:w="1404"/>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4"/>
                <w:szCs w:val="14"/>
              </w:rPr>
              <w:t xml:space="preserve">Frequency</w:t>
            </w:r>
          </w:p>
        </w:tc>
        <w:tc>
          <w:tcPr>
            <w:tcW w:type="dxa" w:w="1404"/>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4"/>
                <w:szCs w:val="14"/>
              </w:rPr>
              <w:t xml:space="preserve">Severity</w:t>
            </w:r>
          </w:p>
        </w:tc>
        <w:tc>
          <w:tcPr>
            <w:tcW w:type="dxa" w:w="1404"/>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4"/>
                <w:szCs w:val="14"/>
              </w:rPr>
              <w:t xml:space="preserve">Serious?</w:t>
            </w:r>
          </w:p>
        </w:tc>
        <w:tc>
          <w:tcPr>
            <w:tcW w:type="dxa" w:w="1404"/>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4"/>
                <w:szCs w:val="14"/>
              </w:rPr>
              <w:t xml:space="preserve">Reversible?</w:t>
            </w:r>
          </w:p>
        </w:tc>
        <w:tc>
          <w:tcPr>
            <w:tcW w:type="dxa" w:w="1404"/>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4"/>
                <w:szCs w:val="14"/>
              </w:rPr>
              <w:t xml:space="preserve">Risk Mgmt</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color w:val="64748b"/>
                <w:sz w:val="14"/>
                <w:szCs w:val="14"/>
              </w:rPr>
              <w:t xml:space="preserve">[Risk 1]</w:t>
            </w:r>
          </w:p>
        </w:tc>
        <w:tc>
          <w:tcPr>
            <w:tcW w:type="dxa" w:w="1404"/>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c>
          <w:tcPr>
            <w:tcW w:type="dxa" w:w="1404"/>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c>
          <w:tcPr>
            <w:tcW w:type="dxa" w:w="1404"/>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c>
          <w:tcPr>
            <w:tcW w:type="dxa" w:w="1404"/>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c>
          <w:tcPr>
            <w:tcW w:type="dxa" w:w="1404"/>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color w:val="64748b"/>
                <w:sz w:val="14"/>
                <w:szCs w:val="14"/>
              </w:rPr>
              <w:t xml:space="preserve">[Risk 2]</w:t>
            </w:r>
          </w:p>
        </w:tc>
        <w:tc>
          <w:tcPr>
            <w:tcW w:type="dxa" w:w="1404"/>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c>
          <w:tcPr>
            <w:tcW w:type="dxa" w:w="1404"/>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c>
          <w:tcPr>
            <w:tcW w:type="dxa" w:w="1404"/>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c>
          <w:tcPr>
            <w:tcW w:type="dxa" w:w="1404"/>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c>
          <w:tcPr>
            <w:tcW w:type="dxa" w:w="1404"/>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color w:val="64748b"/>
                <w:sz w:val="14"/>
                <w:szCs w:val="14"/>
              </w:rPr>
              <w:t xml:space="preserve">[Risk 3]</w:t>
            </w:r>
          </w:p>
        </w:tc>
        <w:tc>
          <w:tcPr>
            <w:tcW w:type="dxa" w:w="1404"/>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c>
          <w:tcPr>
            <w:tcW w:type="dxa" w:w="1404"/>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c>
          <w:tcPr>
            <w:tcW w:type="dxa" w:w="1404"/>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c>
          <w:tcPr>
            <w:tcW w:type="dxa" w:w="1404"/>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c>
          <w:tcPr>
            <w:tcW w:type="dxa" w:w="1404"/>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r>
    </w:tbl>
    <w:p>
      <w:pPr>
        <w:spacing w:before="200" w:after="200"/>
      </w:pPr>
    </w:p>
    <w:p>
      <w:pPr>
        <w:pStyle w:val="Heading2"/>
      </w:pPr>
      <w:r>
        <w:t xml:space="preserve">4.2 Potential Risks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2"/>
              <w:bottom w:val="single" w:color="0d9488" w:sz="2"/>
              <w:right w:val="single" w:color="0d9488" w:sz="2"/>
            </w:tcBorders>
            <w:shd w:fill="ccfbf1" w:val="clear"/>
          </w:tcPr>
          <w:p>
            <w:pPr>
              <w:spacing w:before="100" w:after="100"/>
            </w:pPr>
            <w:r>
              <w:rPr>
                <w:rFonts w:ascii="Arial" w:cs="Arial" w:eastAsia="Arial" w:hAnsi="Arial"/>
                <w:b/>
                <w:bCs/>
                <w:color w:val="0d9488"/>
                <w:sz w:val="18"/>
                <w:szCs w:val="18"/>
              </w:rPr>
              <w:t xml:space="preserve">◎ GUIDANCE: </w:t>
            </w:r>
            <w:r>
              <w:rPr>
                <w:rFonts w:ascii="Arial" w:cs="Arial" w:eastAsia="Arial" w:hAnsi="Arial"/>
                <w:i/>
                <w:iCs/>
                <w:color w:val="1a365d"/>
                <w:sz w:val="18"/>
                <w:szCs w:val="18"/>
              </w:rPr>
              <w:t xml:space="preserve">List suspected risks where the association has not been confirmed. Include: nonclinical findings not yet observed clinically, class effects, theoretical risks based on mechanism, and early signals requiring further evaluation.</w:t>
            </w:r>
          </w:p>
        </w:tc>
      </w:tr>
    </w:tbl>
    <w:p>
      <w:pPr>
        <w:spacing w:before="20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6"/>
                <w:szCs w:val="16"/>
              </w:rPr>
              <w:t xml:space="preserve">Potential Risk</w:t>
            </w:r>
          </w:p>
        </w:tc>
        <w:tc>
          <w:tcPr>
            <w:tcW w:type="dxa" w:w="3276"/>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6"/>
                <w:szCs w:val="16"/>
              </w:rPr>
              <w:t xml:space="preserve">Basis for Concern</w:t>
            </w:r>
          </w:p>
        </w:tc>
        <w:tc>
          <w:tcPr>
            <w:tcW w:type="dxa" w:w="3276"/>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6"/>
                <w:szCs w:val="16"/>
              </w:rPr>
              <w:t xml:space="preserve">Planned Evaluation</w:t>
            </w:r>
          </w:p>
        </w:tc>
      </w:tr>
      <w:tr>
        <w:tc>
          <w:tcPr>
            <w:tcW w:type="dxa" w:w="2808"/>
            <w:tcBorders>
              <w:top w:val="single" w:color="CCCCCC" w:sz="1"/>
              <w:left w:val="single" w:color="CCCCCC" w:sz="1"/>
              <w:bottom w:val="single" w:color="CCCCCC" w:sz="1"/>
              <w:right w:val="single" w:color="CCCCCC" w:sz="1"/>
            </w:tcBorders>
          </w:tcPr>
          <w:p>
            <w:r>
              <w:rPr>
                <w:rFonts w:ascii="Arial" w:cs="Arial" w:eastAsia="Arial" w:hAnsi="Arial"/>
                <w:color w:val="64748b"/>
                <w:sz w:val="16"/>
                <w:szCs w:val="16"/>
              </w:rPr>
              <w:t xml:space="preserve">[Potential Risk 1]</w:t>
            </w:r>
          </w:p>
        </w:tc>
        <w:tc>
          <w:tcPr>
            <w:tcW w:type="dxa" w:w="3276"/>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c>
          <w:tcPr>
            <w:tcW w:type="dxa" w:w="3276"/>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r>
      <w:tr>
        <w:tc>
          <w:tcPr>
            <w:tcW w:type="dxa" w:w="2808"/>
            <w:tcBorders>
              <w:top w:val="single" w:color="CCCCCC" w:sz="1"/>
              <w:left w:val="single" w:color="CCCCCC" w:sz="1"/>
              <w:bottom w:val="single" w:color="CCCCCC" w:sz="1"/>
              <w:right w:val="single" w:color="CCCCCC" w:sz="1"/>
            </w:tcBorders>
          </w:tcPr>
          <w:p>
            <w:r>
              <w:rPr>
                <w:rFonts w:ascii="Arial" w:cs="Arial" w:eastAsia="Arial" w:hAnsi="Arial"/>
                <w:color w:val="64748b"/>
                <w:sz w:val="16"/>
                <w:szCs w:val="16"/>
              </w:rPr>
              <w:t xml:space="preserve">[Potential Risk 2]</w:t>
            </w:r>
          </w:p>
        </w:tc>
        <w:tc>
          <w:tcPr>
            <w:tcW w:type="dxa" w:w="3276"/>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c>
          <w:tcPr>
            <w:tcW w:type="dxa" w:w="3276"/>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r>
    </w:tbl>
    <w:p>
      <w:pPr>
        <w:spacing w:before="200" w:after="200"/>
      </w:pPr>
    </w:p>
    <w:p>
      <w:pPr>
        <w:pStyle w:val="Heading2"/>
      </w:pPr>
      <w:r>
        <w:t xml:space="preserve">4.3 Missing Information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2"/>
              <w:bottom w:val="single" w:color="0d9488" w:sz="2"/>
              <w:right w:val="single" w:color="0d9488" w:sz="2"/>
            </w:tcBorders>
            <w:shd w:fill="ccfbf1" w:val="clear"/>
          </w:tcPr>
          <w:p>
            <w:pPr>
              <w:spacing w:before="100" w:after="100"/>
            </w:pPr>
            <w:r>
              <w:rPr>
                <w:rFonts w:ascii="Arial" w:cs="Arial" w:eastAsia="Arial" w:hAnsi="Arial"/>
                <w:b/>
                <w:bCs/>
                <w:color w:val="0d9488"/>
                <w:sz w:val="18"/>
                <w:szCs w:val="18"/>
              </w:rPr>
              <w:t xml:space="preserve">◎ GUIDANCE: </w:t>
            </w:r>
            <w:r>
              <w:rPr>
                <w:rFonts w:ascii="Arial" w:cs="Arial" w:eastAsia="Arial" w:hAnsi="Arial"/>
                <w:i/>
                <w:iCs/>
                <w:color w:val="1a365d"/>
                <w:sz w:val="18"/>
                <w:szCs w:val="18"/>
              </w:rPr>
              <w:t xml:space="preserve">Identify gaps in safety knowledge that could affect the benefit-risk assessment. Common areas: special populations (pediatric, elderly, pregnant, renally/hepatically impaired), long-term use, drug-drug interactions, off-label use patterns.</w:t>
            </w:r>
          </w:p>
        </w:tc>
      </w:tr>
    </w:tbl>
    <w:p>
      <w:pPr>
        <w:spacing w:before="20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6"/>
                <w:szCs w:val="16"/>
              </w:rPr>
              <w:t xml:space="preserve">Missing Information</w:t>
            </w:r>
          </w:p>
        </w:tc>
        <w:tc>
          <w:tcPr>
            <w:tcW w:type="dxa" w:w="3120"/>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6"/>
                <w:szCs w:val="16"/>
              </w:rPr>
              <w:t xml:space="preserve">Impact on B-R</w:t>
            </w:r>
          </w:p>
        </w:tc>
        <w:tc>
          <w:tcPr>
            <w:tcW w:type="dxa" w:w="3120"/>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6"/>
                <w:szCs w:val="16"/>
              </w:rPr>
              <w:t xml:space="preserve">Plan to Address</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Use in pregnancy/lactation</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Long-term use (&gt;X months)</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Pediatric population</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Hepatic/renal impairment</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r>
    </w:tbl>
    <w:p>
      <w:r>
        <w:br w:type="page"/>
      </w:r>
    </w:p>
    <w:p>
      <w:pPr>
        <w:pStyle w:val="Heading1"/>
      </w:pPr>
      <w:r>
        <w:t xml:space="preserve">5. Benefit-Risk Uncertainties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2"/>
              <w:bottom w:val="single" w:color="0d9488" w:sz="2"/>
              <w:right w:val="single" w:color="0d9488" w:sz="2"/>
            </w:tcBorders>
            <w:shd w:fill="ccfbf1" w:val="clear"/>
          </w:tcPr>
          <w:p>
            <w:pPr>
              <w:spacing w:before="100" w:after="100"/>
            </w:pPr>
            <w:r>
              <w:rPr>
                <w:rFonts w:ascii="Arial" w:cs="Arial" w:eastAsia="Arial" w:hAnsi="Arial"/>
                <w:b/>
                <w:bCs/>
                <w:color w:val="0d9488"/>
                <w:sz w:val="18"/>
                <w:szCs w:val="18"/>
              </w:rPr>
              <w:t xml:space="preserve">◎ GUIDANCE: </w:t>
            </w:r>
            <w:r>
              <w:rPr>
                <w:rFonts w:ascii="Arial" w:cs="Arial" w:eastAsia="Arial" w:hAnsi="Arial"/>
                <w:i/>
                <w:iCs/>
                <w:color w:val="1a365d"/>
                <w:sz w:val="18"/>
                <w:szCs w:val="18"/>
              </w:rPr>
              <w:t xml:space="preserve">Document factors that limit confidence in the benefit-risk assessment. Uncertainties may relate to data quality, generalizability, methodology, or incomplete information. Acknowledge uncertainties transparently—this strengthens rather than weakens the assessment.</w:t>
            </w:r>
          </w:p>
        </w:tc>
      </w:tr>
    </w:tbl>
    <w:p>
      <w:pPr>
        <w:spacing w:before="200" w:after="200"/>
      </w:pPr>
    </w:p>
    <w:p>
      <w:pPr>
        <w:pStyle w:val="Heading2"/>
      </w:pPr>
      <w:r>
        <w:t xml:space="preserve">5.1 Uncertainties Related to Benefits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65d" w:sz="1"/>
              <w:left w:val="single" w:color="1a365d" w:sz="1"/>
              <w:bottom w:val="single" w:color="1a365d" w:sz="1"/>
              <w:right w:val="single" w:color="1a365d" w:sz="1"/>
            </w:tcBorders>
            <w:shd w:fill="0d9488" w:val="clear"/>
          </w:tcPr>
          <w:p>
            <w:pPr>
              <w:jc w:val="center"/>
            </w:pPr>
            <w:r>
              <w:rPr>
                <w:rFonts w:ascii="Arial" w:cs="Arial" w:eastAsia="Arial" w:hAnsi="Arial"/>
                <w:b/>
                <w:bCs/>
                <w:color w:val="FFFFFF"/>
                <w:sz w:val="16"/>
                <w:szCs w:val="16"/>
              </w:rPr>
              <w:t xml:space="preserve">Uncertainty</w:t>
            </w:r>
          </w:p>
        </w:tc>
        <w:tc>
          <w:tcPr>
            <w:tcW w:type="dxa" w:w="3120"/>
            <w:tcBorders>
              <w:top w:val="single" w:color="1a365d" w:sz="1"/>
              <w:left w:val="single" w:color="1a365d" w:sz="1"/>
              <w:bottom w:val="single" w:color="1a365d" w:sz="1"/>
              <w:right w:val="single" w:color="1a365d" w:sz="1"/>
            </w:tcBorders>
            <w:shd w:fill="0d9488" w:val="clear"/>
          </w:tcPr>
          <w:p>
            <w:pPr>
              <w:jc w:val="center"/>
            </w:pPr>
            <w:r>
              <w:rPr>
                <w:rFonts w:ascii="Arial" w:cs="Arial" w:eastAsia="Arial" w:hAnsi="Arial"/>
                <w:b/>
                <w:bCs/>
                <w:color w:val="FFFFFF"/>
                <w:sz w:val="16"/>
                <w:szCs w:val="16"/>
              </w:rPr>
              <w:t xml:space="preserve">Source / Cause</w:t>
            </w:r>
          </w:p>
        </w:tc>
        <w:tc>
          <w:tcPr>
            <w:tcW w:type="dxa" w:w="3120"/>
            <w:tcBorders>
              <w:top w:val="single" w:color="1a365d" w:sz="1"/>
              <w:left w:val="single" w:color="1a365d" w:sz="1"/>
              <w:bottom w:val="single" w:color="1a365d" w:sz="1"/>
              <w:right w:val="single" w:color="1a365d" w:sz="1"/>
            </w:tcBorders>
            <w:shd w:fill="0d9488" w:val="clear"/>
          </w:tcPr>
          <w:p>
            <w:pPr>
              <w:jc w:val="center"/>
            </w:pPr>
            <w:r>
              <w:rPr>
                <w:rFonts w:ascii="Arial" w:cs="Arial" w:eastAsia="Arial" w:hAnsi="Arial"/>
                <w:b/>
                <w:bCs/>
                <w:color w:val="FFFFFF"/>
                <w:sz w:val="16"/>
                <w:szCs w:val="16"/>
              </w:rPr>
              <w:t xml:space="preserve">Impact on Assessment</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Durability of response</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Limited follow-up duration</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Real-world effectiveness</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Controlled trial conditions</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Surrogate endpoint validity</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No direct outcome data</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r>
    </w:tbl>
    <w:p>
      <w:pPr>
        <w:spacing w:before="200" w:after="200"/>
      </w:pPr>
    </w:p>
    <w:p>
      <w:pPr>
        <w:pStyle w:val="Heading2"/>
      </w:pPr>
      <w:r>
        <w:t xml:space="preserve">5.2 Uncertainties Related to Risks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65d" w:sz="1"/>
              <w:left w:val="single" w:color="1a365d" w:sz="1"/>
              <w:bottom w:val="single" w:color="1a365d" w:sz="1"/>
              <w:right w:val="single" w:color="1a365d" w:sz="1"/>
            </w:tcBorders>
            <w:shd w:fill="d97706" w:val="clear"/>
          </w:tcPr>
          <w:p>
            <w:pPr>
              <w:jc w:val="center"/>
            </w:pPr>
            <w:r>
              <w:rPr>
                <w:rFonts w:ascii="Arial" w:cs="Arial" w:eastAsia="Arial" w:hAnsi="Arial"/>
                <w:b/>
                <w:bCs/>
                <w:color w:val="FFFFFF"/>
                <w:sz w:val="16"/>
                <w:szCs w:val="16"/>
              </w:rPr>
              <w:t xml:space="preserve">Uncertainty</w:t>
            </w:r>
          </w:p>
        </w:tc>
        <w:tc>
          <w:tcPr>
            <w:tcW w:type="dxa" w:w="3120"/>
            <w:tcBorders>
              <w:top w:val="single" w:color="1a365d" w:sz="1"/>
              <w:left w:val="single" w:color="1a365d" w:sz="1"/>
              <w:bottom w:val="single" w:color="1a365d" w:sz="1"/>
              <w:right w:val="single" w:color="1a365d" w:sz="1"/>
            </w:tcBorders>
            <w:shd w:fill="d97706" w:val="clear"/>
          </w:tcPr>
          <w:p>
            <w:pPr>
              <w:jc w:val="center"/>
            </w:pPr>
            <w:r>
              <w:rPr>
                <w:rFonts w:ascii="Arial" w:cs="Arial" w:eastAsia="Arial" w:hAnsi="Arial"/>
                <w:b/>
                <w:bCs/>
                <w:color w:val="FFFFFF"/>
                <w:sz w:val="16"/>
                <w:szCs w:val="16"/>
              </w:rPr>
              <w:t xml:space="preserve">Source / Cause</w:t>
            </w:r>
          </w:p>
        </w:tc>
        <w:tc>
          <w:tcPr>
            <w:tcW w:type="dxa" w:w="3120"/>
            <w:tcBorders>
              <w:top w:val="single" w:color="1a365d" w:sz="1"/>
              <w:left w:val="single" w:color="1a365d" w:sz="1"/>
              <w:bottom w:val="single" w:color="1a365d" w:sz="1"/>
              <w:right w:val="single" w:color="1a365d" w:sz="1"/>
            </w:tcBorders>
            <w:shd w:fill="d97706" w:val="clear"/>
          </w:tcPr>
          <w:p>
            <w:pPr>
              <w:jc w:val="center"/>
            </w:pPr>
            <w:r>
              <w:rPr>
                <w:rFonts w:ascii="Arial" w:cs="Arial" w:eastAsia="Arial" w:hAnsi="Arial"/>
                <w:b/>
                <w:bCs/>
                <w:color w:val="FFFFFF"/>
                <w:sz w:val="16"/>
                <w:szCs w:val="16"/>
              </w:rPr>
              <w:t xml:space="preserve">Impact on Assessment</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Rare adverse events</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Sample size limitations</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Long-latency effects</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Study duration</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r>
    </w:tbl>
    <w:p>
      <w:r>
        <w:br w:type="page"/>
      </w:r>
    </w:p>
    <w:p>
      <w:pPr>
        <w:pStyle w:val="Heading1"/>
      </w:pPr>
      <w:r>
        <w:t xml:space="preserve">6. Risk Management (Product Optimisations)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2"/>
              <w:bottom w:val="single" w:color="0d9488" w:sz="2"/>
              <w:right w:val="single" w:color="0d9488" w:sz="2"/>
            </w:tcBorders>
            <w:shd w:fill="ccfbf1" w:val="clear"/>
          </w:tcPr>
          <w:p>
            <w:pPr>
              <w:spacing w:before="100" w:after="100"/>
            </w:pPr>
            <w:r>
              <w:rPr>
                <w:rFonts w:ascii="Arial" w:cs="Arial" w:eastAsia="Arial" w:hAnsi="Arial"/>
                <w:b/>
                <w:bCs/>
                <w:color w:val="0d9488"/>
                <w:sz w:val="18"/>
                <w:szCs w:val="18"/>
              </w:rPr>
              <w:t xml:space="preserve">◎ GUIDANCE: </w:t>
            </w:r>
            <w:r>
              <w:rPr>
                <w:rFonts w:ascii="Arial" w:cs="Arial" w:eastAsia="Arial" w:hAnsi="Arial"/>
                <w:i/>
                <w:iCs/>
                <w:color w:val="1a365d"/>
                <w:sz w:val="18"/>
                <w:szCs w:val="18"/>
              </w:rPr>
              <w:t xml:space="preserve">Document measures to optimize the benefit-risk balance. Risk management includes both routine measures (labeling, packaging) and additional measures (educational materials, controlled distribution, REMS). Align with the Risk Management Plan.</w:t>
            </w:r>
          </w:p>
        </w:tc>
      </w:tr>
    </w:tbl>
    <w:p>
      <w:pPr>
        <w:spacing w:before="200" w:after="200"/>
      </w:pPr>
    </w:p>
    <w:p>
      <w:pPr>
        <w:pStyle w:val="Heading2"/>
      </w:pPr>
      <w:r>
        <w:t xml:space="preserve">6.1 Routine Risk Minimisation Measures</w:t>
      </w:r>
    </w:p>
    <w:p>
      <w:pPr>
        <w:pStyle w:val="ListParagraph"/>
        <w:numPr>
          <w:ilvl w:val="0"/>
          <w:numId w:val="2"/>
        </w:numPr>
      </w:pPr>
      <w:r>
        <w:rPr>
          <w:rFonts w:ascii="Arial" w:cs="Arial" w:eastAsia="Arial" w:hAnsi="Arial"/>
          <w:sz w:val="20"/>
          <w:szCs w:val="20"/>
        </w:rPr>
        <w:t xml:space="preserve">Product labeling (SmPC/Package Insert) — key safety messages:</w:t>
      </w:r>
    </w:p>
    <w:p>
      <w:pPr>
        <w:spacing w:before="100" w:after="100"/>
      </w:pPr>
      <w:r>
        <w:rPr>
          <w:rFonts w:ascii="Arial" w:cs="Arial" w:eastAsia="Arial" w:hAnsi="Arial"/>
          <w:color w:val="64748b"/>
          <w:sz w:val="22"/>
          <w:szCs w:val="22"/>
        </w:rPr>
        <w:t xml:space="preserve">[</w:t>
      </w:r>
      <w:r>
        <w:rPr>
          <w:rFonts w:ascii="Arial" w:cs="Arial" w:eastAsia="Arial" w:hAnsi="Arial"/>
          <w:i/>
          <w:iCs/>
          <w:color w:val="64748b"/>
          <w:sz w:val="22"/>
          <w:szCs w:val="22"/>
        </w:rPr>
        <w:t xml:space="preserve">Summarize key warnings, contraindications, precautions in labeling</w:t>
      </w:r>
      <w:r>
        <w:rPr>
          <w:rFonts w:ascii="Arial" w:cs="Arial" w:eastAsia="Arial" w:hAnsi="Arial"/>
          <w:color w:val="64748b"/>
          <w:sz w:val="22"/>
          <w:szCs w:val="22"/>
        </w:rPr>
        <w:t xml:space="preserve">]</w:t>
      </w:r>
    </w:p>
    <w:p>
      <w:pPr>
        <w:pStyle w:val="ListParagraph"/>
        <w:numPr>
          <w:ilvl w:val="0"/>
          <w:numId w:val="2"/>
        </w:numPr>
      </w:pPr>
      <w:r>
        <w:rPr>
          <w:rFonts w:ascii="Arial" w:cs="Arial" w:eastAsia="Arial" w:hAnsi="Arial"/>
          <w:sz w:val="20"/>
          <w:szCs w:val="20"/>
        </w:rPr>
        <w:t xml:space="preserve">Packaging and pack size considerations:</w:t>
      </w:r>
    </w:p>
    <w:p>
      <w:pPr>
        <w:spacing w:before="100" w:after="100"/>
      </w:pPr>
      <w:r>
        <w:rPr>
          <w:rFonts w:ascii="Arial" w:cs="Arial" w:eastAsia="Arial" w:hAnsi="Arial"/>
          <w:color w:val="64748b"/>
          <w:sz w:val="22"/>
          <w:szCs w:val="22"/>
        </w:rPr>
        <w:t xml:space="preserve">[</w:t>
      </w:r>
      <w:r>
        <w:rPr>
          <w:rFonts w:ascii="Arial" w:cs="Arial" w:eastAsia="Arial" w:hAnsi="Arial"/>
          <w:i/>
          <w:iCs/>
          <w:color w:val="64748b"/>
          <w:sz w:val="22"/>
          <w:szCs w:val="22"/>
        </w:rPr>
        <w:t xml:space="preserve">Describe packaging design elements that mitigate risk</w:t>
      </w:r>
      <w:r>
        <w:rPr>
          <w:rFonts w:ascii="Arial" w:cs="Arial" w:eastAsia="Arial" w:hAnsi="Arial"/>
          <w:color w:val="64748b"/>
          <w:sz w:val="22"/>
          <w:szCs w:val="22"/>
        </w:rPr>
        <w:t xml:space="preserve">]</w:t>
      </w:r>
    </w:p>
    <w:p>
      <w:pPr>
        <w:pStyle w:val="ListParagraph"/>
        <w:numPr>
          <w:ilvl w:val="0"/>
          <w:numId w:val="2"/>
        </w:numPr>
      </w:pPr>
      <w:r>
        <w:rPr>
          <w:rFonts w:ascii="Arial" w:cs="Arial" w:eastAsia="Arial" w:hAnsi="Arial"/>
          <w:sz w:val="20"/>
          <w:szCs w:val="20"/>
        </w:rPr>
        <w:t xml:space="preserve">Legal status (prescription only / OTC):</w:t>
      </w:r>
    </w:p>
    <w:p>
      <w:pPr>
        <w:spacing w:before="100" w:after="100"/>
      </w:pPr>
      <w:r>
        <w:rPr>
          <w:rFonts w:ascii="Arial" w:cs="Arial" w:eastAsia="Arial" w:hAnsi="Arial"/>
          <w:color w:val="64748b"/>
          <w:sz w:val="22"/>
          <w:szCs w:val="22"/>
        </w:rPr>
        <w:t xml:space="preserve">[</w:t>
      </w:r>
      <w:r>
        <w:rPr>
          <w:rFonts w:ascii="Arial" w:cs="Arial" w:eastAsia="Arial" w:hAnsi="Arial"/>
          <w:i/>
          <w:iCs/>
          <w:color w:val="64748b"/>
          <w:sz w:val="22"/>
          <w:szCs w:val="22"/>
        </w:rPr>
        <w:t xml:space="preserve">State legal classification and rationale</w:t>
      </w:r>
      <w:r>
        <w:rPr>
          <w:rFonts w:ascii="Arial" w:cs="Arial" w:eastAsia="Arial" w:hAnsi="Arial"/>
          <w:color w:val="64748b"/>
          <w:sz w:val="22"/>
          <w:szCs w:val="22"/>
        </w:rPr>
        <w:t xml:space="preserve">]</w:t>
      </w:r>
    </w:p>
    <w:p>
      <w:pPr>
        <w:spacing w:before="200" w:after="200"/>
      </w:pPr>
    </w:p>
    <w:p>
      <w:pPr>
        <w:pStyle w:val="Heading2"/>
      </w:pPr>
      <w:r>
        <w:t xml:space="preserve">6.2 Additional Risk Minimisation Measures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2"/>
              <w:bottom w:val="single" w:color="0d9488" w:sz="2"/>
              <w:right w:val="single" w:color="0d9488" w:sz="2"/>
            </w:tcBorders>
            <w:shd w:fill="ccfbf1" w:val="clear"/>
          </w:tcPr>
          <w:p>
            <w:pPr>
              <w:spacing w:before="100" w:after="100"/>
            </w:pPr>
            <w:r>
              <w:rPr>
                <w:rFonts w:ascii="Arial" w:cs="Arial" w:eastAsia="Arial" w:hAnsi="Arial"/>
                <w:b/>
                <w:bCs/>
                <w:color w:val="0d9488"/>
                <w:sz w:val="18"/>
                <w:szCs w:val="18"/>
              </w:rPr>
              <w:t xml:space="preserve">◎ GUIDANCE: </w:t>
            </w:r>
            <w:r>
              <w:rPr>
                <w:rFonts w:ascii="Arial" w:cs="Arial" w:eastAsia="Arial" w:hAnsi="Arial"/>
                <w:i/>
                <w:iCs/>
                <w:color w:val="1a365d"/>
                <w:sz w:val="18"/>
                <w:szCs w:val="18"/>
              </w:rPr>
              <w:t xml:space="preserve">Document any measures beyond routine labeling required to ensure the benefits outweigh the risks. Include: educational materials, healthcare professional training, patient registries, controlled distribution, monitoring requirements.</w:t>
            </w:r>
          </w:p>
        </w:tc>
      </w:tr>
    </w:tbl>
    <w:p>
      <w:pPr>
        <w:spacing w:before="20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4"/>
                <w:szCs w:val="14"/>
              </w:rPr>
              <w:t xml:space="preserve">Risk Being Addressed</w:t>
            </w:r>
          </w:p>
        </w:tc>
        <w:tc>
          <w:tcPr>
            <w:tcW w:type="dxa" w:w="2340"/>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4"/>
                <w:szCs w:val="14"/>
              </w:rPr>
              <w:t xml:space="preserve">Additional RMM</w:t>
            </w:r>
          </w:p>
        </w:tc>
        <w:tc>
          <w:tcPr>
            <w:tcW w:type="dxa" w:w="2340"/>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4"/>
                <w:szCs w:val="14"/>
              </w:rPr>
              <w:t xml:space="preserve">Objective</w:t>
            </w:r>
          </w:p>
        </w:tc>
        <w:tc>
          <w:tcPr>
            <w:tcW w:type="dxa" w:w="2340"/>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4"/>
                <w:szCs w:val="14"/>
              </w:rPr>
              <w:t xml:space="preserve">Effectiveness Indicator</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color w:val="64748b"/>
                <w:sz w:val="14"/>
                <w:szCs w:val="14"/>
              </w:rPr>
              <w:t xml:space="preserve">[Risk]</w:t>
            </w:r>
          </w:p>
        </w:tc>
        <w:tc>
          <w:tcPr>
            <w:tcW w:type="dxa" w:w="2340"/>
            <w:tcBorders>
              <w:top w:val="single" w:color="CCCCCC" w:sz="1"/>
              <w:left w:val="single" w:color="CCCCCC" w:sz="1"/>
              <w:bottom w:val="single" w:color="CCCCCC" w:sz="1"/>
              <w:right w:val="single" w:color="CCCCCC" w:sz="1"/>
            </w:tcBorders>
          </w:tcPr>
          <w:p>
            <w:r>
              <w:rPr>
                <w:rFonts w:ascii="Arial" w:cs="Arial" w:eastAsia="Arial" w:hAnsi="Arial"/>
                <w:color w:val="64748b"/>
                <w:sz w:val="14"/>
                <w:szCs w:val="14"/>
              </w:rPr>
              <w:t xml:space="preserve">[Measure]</w:t>
            </w:r>
          </w:p>
        </w:tc>
        <w:tc>
          <w:tcPr>
            <w:tcW w:type="dxa" w:w="2340"/>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c>
          <w:tcPr>
            <w:tcW w:type="dxa" w:w="2340"/>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r>
    </w:tbl>
    <w:p>
      <w:pPr>
        <w:spacing w:before="200" w:after="200"/>
      </w:pPr>
    </w:p>
    <w:p>
      <w:pPr>
        <w:pStyle w:val="Heading2"/>
      </w:pPr>
      <w:r>
        <w:t xml:space="preserve">6.3 Pharmacovigilance Activities</w:t>
      </w:r>
    </w:p>
    <w:p>
      <w:pPr>
        <w:spacing w:before="100" w:after="100"/>
      </w:pPr>
      <w:r>
        <w:rPr>
          <w:rFonts w:ascii="Arial" w:cs="Arial" w:eastAsia="Arial" w:hAnsi="Arial"/>
          <w:color w:val="64748b"/>
          <w:sz w:val="22"/>
          <w:szCs w:val="22"/>
        </w:rPr>
        <w:t xml:space="preserve">[</w:t>
      </w:r>
      <w:r>
        <w:rPr>
          <w:rFonts w:ascii="Arial" w:cs="Arial" w:eastAsia="Arial" w:hAnsi="Arial"/>
          <w:i/>
          <w:iCs/>
          <w:color w:val="64748b"/>
          <w:sz w:val="22"/>
          <w:szCs w:val="22"/>
        </w:rPr>
        <w:t xml:space="preserve">Summarize the pharmacovigilance plan including routine pharmacovigilance activities and any additional pharmacovigilance activities (PASS, targeted follow-up, signal management).</w:t>
      </w:r>
      <w:r>
        <w:rPr>
          <w:rFonts w:ascii="Arial" w:cs="Arial" w:eastAsia="Arial" w:hAnsi="Arial"/>
          <w:color w:val="64748b"/>
          <w:sz w:val="22"/>
          <w:szCs w:val="22"/>
        </w:rPr>
        <w:t xml:space="preserve">]</w:t>
      </w:r>
    </w:p>
    <w:p>
      <w:r>
        <w:br w:type="page"/>
      </w:r>
    </w:p>
    <w:p>
      <w:pPr>
        <w:pStyle w:val="Heading1"/>
      </w:pPr>
      <w:r>
        <w:t xml:space="preserve">7. Benefit-Risk Assessment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2"/>
              <w:bottom w:val="single" w:color="0d9488" w:sz="2"/>
              <w:right w:val="single" w:color="0d9488" w:sz="2"/>
            </w:tcBorders>
            <w:shd w:fill="ccfbf1" w:val="clear"/>
          </w:tcPr>
          <w:p>
            <w:pPr>
              <w:spacing w:before="100" w:after="100"/>
            </w:pPr>
            <w:r>
              <w:rPr>
                <w:rFonts w:ascii="Arial" w:cs="Arial" w:eastAsia="Arial" w:hAnsi="Arial"/>
                <w:b/>
                <w:bCs/>
                <w:color w:val="0d9488"/>
                <w:sz w:val="18"/>
                <w:szCs w:val="18"/>
              </w:rPr>
              <w:t xml:space="preserve">◎ GUIDANCE: </w:t>
            </w:r>
            <w:r>
              <w:rPr>
                <w:rFonts w:ascii="Arial" w:cs="Arial" w:eastAsia="Arial" w:hAnsi="Arial"/>
                <w:i/>
                <w:iCs/>
                <w:color w:val="1a365d"/>
                <w:sz w:val="18"/>
                <w:szCs w:val="18"/>
              </w:rPr>
              <w:t xml:space="preserve">This section integrates all preceding information into a structured evaluation. The assessment should systematically weigh benefits against risks in the context of therapeutic need and available alternatives.</w:t>
            </w:r>
          </w:p>
        </w:tc>
      </w:tr>
    </w:tbl>
    <w:p>
      <w:pPr>
        <w:spacing w:before="200" w:after="200"/>
      </w:pPr>
    </w:p>
    <w:p>
      <w:pPr>
        <w:pStyle w:val="Heading2"/>
      </w:pPr>
      <w:r>
        <w:t xml:space="preserve">7.1 Value Tree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2"/>
              <w:bottom w:val="single" w:color="0d9488" w:sz="2"/>
              <w:right w:val="single" w:color="0d9488" w:sz="2"/>
            </w:tcBorders>
            <w:shd w:fill="ccfbf1" w:val="clear"/>
          </w:tcPr>
          <w:p>
            <w:pPr>
              <w:spacing w:before="100" w:after="100"/>
            </w:pPr>
            <w:r>
              <w:rPr>
                <w:rFonts w:ascii="Arial" w:cs="Arial" w:eastAsia="Arial" w:hAnsi="Arial"/>
                <w:b/>
                <w:bCs/>
                <w:color w:val="0d9488"/>
                <w:sz w:val="18"/>
                <w:szCs w:val="18"/>
              </w:rPr>
              <w:t xml:space="preserve">◎ GUIDANCE: </w:t>
            </w:r>
            <w:r>
              <w:rPr>
                <w:rFonts w:ascii="Arial" w:cs="Arial" w:eastAsia="Arial" w:hAnsi="Arial"/>
                <w:i/>
                <w:iCs/>
                <w:color w:val="1a365d"/>
                <w:sz w:val="18"/>
                <w:szCs w:val="18"/>
              </w:rPr>
              <w:t xml:space="preserve">Include or reference the Value Tree visual that displays the hierarchy of key benefits and key risks for this indication. See separate Value Tree Builder tool.</w:t>
            </w:r>
          </w:p>
        </w:tc>
      </w:tr>
    </w:tbl>
    <w:p>
      <w:pPr>
        <w:spacing w:before="200" w:after="200"/>
      </w:pPr>
    </w:p>
    <w:p>
      <w:pPr>
        <w:spacing w:before="100" w:after="100"/>
      </w:pPr>
      <w:r>
        <w:rPr>
          <w:rFonts w:ascii="Arial" w:cs="Arial" w:eastAsia="Arial" w:hAnsi="Arial"/>
          <w:color w:val="64748b"/>
          <w:sz w:val="22"/>
          <w:szCs w:val="22"/>
        </w:rPr>
        <w:t xml:space="preserve">[</w:t>
      </w:r>
      <w:r>
        <w:rPr>
          <w:rFonts w:ascii="Arial" w:cs="Arial" w:eastAsia="Arial" w:hAnsi="Arial"/>
          <w:i/>
          <w:iCs/>
          <w:color w:val="64748b"/>
          <w:sz w:val="22"/>
          <w:szCs w:val="22"/>
        </w:rPr>
        <w:t xml:space="preserve">Insert Value Tree diagram or reference to separate document.</w:t>
      </w:r>
      <w:r>
        <w:rPr>
          <w:rFonts w:ascii="Arial" w:cs="Arial" w:eastAsia="Arial" w:hAnsi="Arial"/>
          <w:color w:val="64748b"/>
          <w:sz w:val="22"/>
          <w:szCs w:val="22"/>
        </w:rPr>
        <w:t xml:space="preserve">]</w:t>
      </w:r>
    </w:p>
    <w:p>
      <w:pPr>
        <w:spacing w:before="200" w:after="200"/>
      </w:pPr>
    </w:p>
    <w:p>
      <w:pPr>
        <w:pStyle w:val="Heading2"/>
      </w:pPr>
      <w:r>
        <w:t xml:space="preserve">7.2 Effects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2"/>
              <w:bottom w:val="single" w:color="0d9488" w:sz="2"/>
              <w:right w:val="single" w:color="0d9488" w:sz="2"/>
            </w:tcBorders>
            <w:shd w:fill="ccfbf1" w:val="clear"/>
          </w:tcPr>
          <w:p>
            <w:pPr>
              <w:spacing w:before="100" w:after="100"/>
            </w:pPr>
            <w:r>
              <w:rPr>
                <w:rFonts w:ascii="Arial" w:cs="Arial" w:eastAsia="Arial" w:hAnsi="Arial"/>
                <w:b/>
                <w:bCs/>
                <w:color w:val="0d9488"/>
                <w:sz w:val="18"/>
                <w:szCs w:val="18"/>
              </w:rPr>
              <w:t xml:space="preserve">◎ GUIDANCE: </w:t>
            </w:r>
            <w:r>
              <w:rPr>
                <w:rFonts w:ascii="Arial" w:cs="Arial" w:eastAsia="Arial" w:hAnsi="Arial"/>
                <w:i/>
                <w:iCs/>
                <w:color w:val="1a365d"/>
                <w:sz w:val="18"/>
                <w:szCs w:val="18"/>
              </w:rPr>
              <w:t xml:space="preserve">Present a summary table showing the magnitude of key benefits and risks. Include effect sizes, confidence intervals, and comparator data where available.</w:t>
            </w:r>
          </w:p>
        </w:tc>
      </w:tr>
    </w:tbl>
    <w:p>
      <w:pPr>
        <w:spacing w:before="20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170"/>
        <w:gridCol w:w="1170"/>
      </w:tblGrid>
      <w:tr>
        <w:tc>
          <w:tcPr>
            <w:tcW w:type="dxa" w:w="2340"/>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4"/>
                <w:szCs w:val="14"/>
              </w:rPr>
              <w:t xml:space="preserve">Outcome</w:t>
            </w:r>
          </w:p>
        </w:tc>
        <w:tc>
          <w:tcPr>
            <w:tcW w:type="dxa" w:w="1560"/>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4"/>
                <w:szCs w:val="14"/>
              </w:rPr>
              <w:t xml:space="preserve">Product</w:t>
            </w:r>
          </w:p>
        </w:tc>
        <w:tc>
          <w:tcPr>
            <w:tcW w:type="dxa" w:w="1560"/>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4"/>
                <w:szCs w:val="14"/>
              </w:rPr>
              <w:t xml:space="preserve">Comparator</w:t>
            </w:r>
          </w:p>
        </w:tc>
        <w:tc>
          <w:tcPr>
            <w:tcW w:type="dxa" w:w="1560"/>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4"/>
                <w:szCs w:val="14"/>
              </w:rPr>
              <w:t xml:space="preserve">Difference</w:t>
            </w:r>
          </w:p>
        </w:tc>
        <w:tc>
          <w:tcPr>
            <w:tcW w:type="dxa" w:w="1170"/>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4"/>
                <w:szCs w:val="14"/>
              </w:rPr>
              <w:t xml:space="preserve">95% CI</w:t>
            </w:r>
          </w:p>
        </w:tc>
        <w:tc>
          <w:tcPr>
            <w:tcW w:type="dxa" w:w="1170"/>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4"/>
                <w:szCs w:val="14"/>
              </w:rPr>
              <w:t xml:space="preserve">Favors</w:t>
            </w:r>
          </w:p>
        </w:tc>
      </w:tr>
      <w:tr>
        <w:tc>
          <w:tcPr>
            <w:tcW w:type="dxa" w:w="9360"/>
            <w:gridSpan w:val="6"/>
            <w:tcBorders>
              <w:top w:val="single" w:color="CCCCCC" w:sz="1"/>
              <w:left w:val="single" w:color="CCCCCC" w:sz="1"/>
              <w:bottom w:val="single" w:color="CCCCCC" w:sz="1"/>
              <w:right w:val="single" w:color="CCCCCC" w:sz="1"/>
            </w:tcBorders>
            <w:shd w:fill="ccfbf1" w:val="clear"/>
          </w:tcPr>
          <w:p>
            <w:r>
              <w:rPr>
                <w:rFonts w:ascii="Arial" w:cs="Arial" w:eastAsia="Arial" w:hAnsi="Arial"/>
                <w:b/>
                <w:bCs/>
                <w:color w:val="0d9488"/>
                <w:sz w:val="14"/>
                <w:szCs w:val="14"/>
              </w:rPr>
              <w:t xml:space="preserve">KEY BENEFITS</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color w:val="64748b"/>
                <w:sz w:val="14"/>
                <w:szCs w:val="14"/>
              </w:rPr>
              <w:t xml:space="preserve">[Primary efficacy]</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c>
          <w:tcPr>
            <w:tcW w:type="dxa" w:w="1170"/>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c>
          <w:tcPr>
            <w:tcW w:type="dxa" w:w="1170"/>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r>
      <w:tr>
        <w:tc>
          <w:tcPr>
            <w:tcW w:type="dxa" w:w="9360"/>
            <w:gridSpan w:val="6"/>
            <w:tcBorders>
              <w:top w:val="single" w:color="CCCCCC" w:sz="1"/>
              <w:left w:val="single" w:color="CCCCCC" w:sz="1"/>
              <w:bottom w:val="single" w:color="CCCCCC" w:sz="1"/>
              <w:right w:val="single" w:color="CCCCCC" w:sz="1"/>
            </w:tcBorders>
            <w:shd w:fill="fef3c7" w:val="clear"/>
          </w:tcPr>
          <w:p>
            <w:r>
              <w:rPr>
                <w:rFonts w:ascii="Arial" w:cs="Arial" w:eastAsia="Arial" w:hAnsi="Arial"/>
                <w:b/>
                <w:bCs/>
                <w:color w:val="d97706"/>
                <w:sz w:val="14"/>
                <w:szCs w:val="14"/>
              </w:rPr>
              <w:t xml:space="preserve">KEY RISKS</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color w:val="64748b"/>
                <w:sz w:val="14"/>
                <w:szCs w:val="14"/>
              </w:rPr>
              <w:t xml:space="preserve">[Key risk 1]</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c>
          <w:tcPr>
            <w:tcW w:type="dxa" w:w="1170"/>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c>
          <w:tcPr>
            <w:tcW w:type="dxa" w:w="1170"/>
            <w:tcBorders>
              <w:top w:val="single" w:color="CCCCCC" w:sz="1"/>
              <w:left w:val="single" w:color="CCCCCC" w:sz="1"/>
              <w:bottom w:val="single" w:color="CCCCCC" w:sz="1"/>
              <w:right w:val="single" w:color="CCCCCC" w:sz="1"/>
            </w:tcBorders>
          </w:tcPr>
          <w:p>
            <w:r>
              <w:rPr>
                <w:rFonts w:ascii="Arial" w:cs="Arial" w:eastAsia="Arial" w:hAnsi="Arial"/>
                <w:sz w:val="14"/>
                <w:szCs w:val="14"/>
              </w:rPr>
              <w:t xml:space="preserve"> </w:t>
            </w:r>
          </w:p>
        </w:tc>
      </w:tr>
    </w:tbl>
    <w:p>
      <w:pPr>
        <w:spacing w:before="200" w:after="200"/>
      </w:pPr>
    </w:p>
    <w:p>
      <w:pPr>
        <w:pStyle w:val="Heading2"/>
      </w:pPr>
      <w:r>
        <w:t xml:space="preserve">7.3 Qualitative Benefit-Risk Discussion</w:t>
      </w:r>
    </w:p>
    <w:p>
      <w:pPr>
        <w:spacing w:before="100" w:after="100"/>
      </w:pPr>
      <w:r>
        <w:rPr>
          <w:rFonts w:ascii="Arial" w:cs="Arial" w:eastAsia="Arial" w:hAnsi="Arial"/>
          <w:color w:val="64748b"/>
          <w:sz w:val="22"/>
          <w:szCs w:val="22"/>
        </w:rPr>
        <w:t xml:space="preserve">[</w:t>
      </w:r>
      <w:r>
        <w:rPr>
          <w:rFonts w:ascii="Arial" w:cs="Arial" w:eastAsia="Arial" w:hAnsi="Arial"/>
          <w:i/>
          <w:iCs/>
          <w:color w:val="64748b"/>
          <w:sz w:val="22"/>
          <w:szCs w:val="22"/>
        </w:rPr>
        <w:t xml:space="preserve">Provide a narrative synthesis of how benefits compare to risks in the context of therapeutic need, available alternatives, and target population. Address why the benefit-risk balance is or is not favorable.</w:t>
      </w:r>
      <w:r>
        <w:rPr>
          <w:rFonts w:ascii="Arial" w:cs="Arial" w:eastAsia="Arial" w:hAnsi="Arial"/>
          <w:color w:val="64748b"/>
          <w:sz w:val="22"/>
          <w:szCs w:val="22"/>
        </w:rPr>
        <w:t xml:space="preserve">]</w:t>
      </w:r>
    </w:p>
    <w:p>
      <w:pPr>
        <w:spacing w:before="200" w:after="200"/>
      </w:pPr>
    </w:p>
    <w:p>
      <w:pPr>
        <w:pStyle w:val="Heading2"/>
      </w:pPr>
      <w:r>
        <w:t xml:space="preserve">7.4 Quantitative Analysis (If Applicable)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2"/>
              <w:bottom w:val="single" w:color="0d9488" w:sz="2"/>
              <w:right w:val="single" w:color="0d9488" w:sz="2"/>
            </w:tcBorders>
            <w:shd w:fill="ccfbf1" w:val="clear"/>
          </w:tcPr>
          <w:p>
            <w:pPr>
              <w:spacing w:before="100" w:after="100"/>
            </w:pPr>
            <w:r>
              <w:rPr>
                <w:rFonts w:ascii="Arial" w:cs="Arial" w:eastAsia="Arial" w:hAnsi="Arial"/>
                <w:b/>
                <w:bCs/>
                <w:color w:val="0d9488"/>
                <w:sz w:val="18"/>
                <w:szCs w:val="18"/>
              </w:rPr>
              <w:t xml:space="preserve">◎ GUIDANCE: </w:t>
            </w:r>
            <w:r>
              <w:rPr>
                <w:rFonts w:ascii="Arial" w:cs="Arial" w:eastAsia="Arial" w:hAnsi="Arial"/>
                <w:i/>
                <w:iCs/>
                <w:color w:val="1a365d"/>
                <w:sz w:val="18"/>
                <w:szCs w:val="18"/>
              </w:rPr>
              <w:t xml:space="preserve">If quantitative methods were used (MCDA, DOOR, probabilistic simulation), summarize the methodology and results here. Reference detailed analyses in appendices.</w:t>
            </w:r>
          </w:p>
        </w:tc>
      </w:tr>
    </w:tbl>
    <w:p>
      <w:pPr>
        <w:spacing w:before="200" w:after="200"/>
      </w:pPr>
    </w:p>
    <w:p>
      <w:pPr>
        <w:spacing w:before="100" w:after="100"/>
      </w:pPr>
      <w:r>
        <w:rPr>
          <w:rFonts w:ascii="Arial" w:cs="Arial" w:eastAsia="Arial" w:hAnsi="Arial"/>
          <w:color w:val="64748b"/>
          <w:sz w:val="22"/>
          <w:szCs w:val="22"/>
        </w:rPr>
        <w:t xml:space="preserve">[</w:t>
      </w:r>
      <w:r>
        <w:rPr>
          <w:rFonts w:ascii="Arial" w:cs="Arial" w:eastAsia="Arial" w:hAnsi="Arial"/>
          <w:i/>
          <w:iCs/>
          <w:color w:val="64748b"/>
          <w:sz w:val="22"/>
          <w:szCs w:val="22"/>
        </w:rPr>
        <w:t xml:space="preserve">If quantitative analysis was performed, summarize: method used, key inputs, results, and sensitivity analyses. If not applicable, state 'Quantitative analysis was not required for this assessment' and briefly justify.</w:t>
      </w:r>
      <w:r>
        <w:rPr>
          <w:rFonts w:ascii="Arial" w:cs="Arial" w:eastAsia="Arial" w:hAnsi="Arial"/>
          <w:color w:val="64748b"/>
          <w:sz w:val="22"/>
          <w:szCs w:val="22"/>
        </w:rPr>
        <w:t xml:space="preserve">]</w:t>
      </w:r>
    </w:p>
    <w:p>
      <w:r>
        <w:br w:type="page"/>
      </w:r>
    </w:p>
    <w:p>
      <w:pPr>
        <w:pStyle w:val="Heading1"/>
      </w:pPr>
      <w:r>
        <w:t xml:space="preserve">8. Benefit-Risk Conclusion</w:t>
      </w:r>
    </w:p>
    <w:p>
      <w:pPr>
        <w:pStyle w:val="Heading2"/>
      </w:pPr>
      <w:r>
        <w:t xml:space="preserve">8.1 Overall Conclusion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65d" w:sz="4"/>
              <w:left w:val="single" w:color="1a365d" w:sz="4"/>
              <w:bottom w:val="single" w:color="1a365d" w:sz="4"/>
              <w:right w:val="single" w:color="1a365d" w:sz="4"/>
            </w:tcBorders>
            <w:shd w:fill="e0f2fe" w:val="clear"/>
          </w:tcPr>
          <w:p>
            <w:pPr>
              <w:spacing w:before="200" w:after="100"/>
              <w:jc w:val="center"/>
            </w:pPr>
            <w:r>
              <w:rPr>
                <w:rFonts w:ascii="Arial" w:cs="Arial" w:eastAsia="Arial" w:hAnsi="Arial"/>
                <w:b/>
                <w:bCs/>
                <w:color w:val="1a365d"/>
                <w:sz w:val="24"/>
                <w:szCs w:val="24"/>
              </w:rPr>
              <w:t xml:space="preserve">BENEFIT-RISK CONCLUSION STATEMENT</w:t>
            </w:r>
          </w:p>
          <w:p>
            <w:pPr>
              <w:spacing w:before="100" w:after="200"/>
            </w:pPr>
            <w:r>
              <w:rPr>
                <w:rFonts w:ascii="Arial" w:cs="Arial" w:eastAsia="Arial" w:hAnsi="Arial"/>
                <w:i/>
                <w:iCs/>
                <w:color w:val="64748b"/>
                <w:sz w:val="22"/>
                <w:szCs w:val="22"/>
              </w:rPr>
              <w:t xml:space="preserve">[State definitively whether the benefits of [Product] outweigh the risks for [Indication] in [Population] under the proposed conditions of use. Include key supporting rationale.]</w:t>
            </w:r>
          </w:p>
        </w:tc>
      </w:tr>
    </w:tbl>
    <w:p>
      <w:pPr>
        <w:spacing w:before="200" w:after="200"/>
      </w:pPr>
    </w:p>
    <w:p>
      <w:pPr>
        <w:pStyle w:val="Heading2"/>
      </w:pPr>
      <w:r>
        <w:t xml:space="preserve">8.2 Conditions for Favorable Benefit-Risk</w:t>
      </w:r>
    </w:p>
    <w:p>
      <w:pPr>
        <w:spacing w:before="100" w:after="100"/>
      </w:pPr>
      <w:r>
        <w:rPr>
          <w:rFonts w:ascii="Arial" w:cs="Arial" w:eastAsia="Arial" w:hAnsi="Arial"/>
          <w:color w:val="64748b"/>
          <w:sz w:val="22"/>
          <w:szCs w:val="22"/>
        </w:rPr>
        <w:t xml:space="preserve">[</w:t>
      </w:r>
      <w:r>
        <w:rPr>
          <w:rFonts w:ascii="Arial" w:cs="Arial" w:eastAsia="Arial" w:hAnsi="Arial"/>
          <w:i/>
          <w:iCs/>
          <w:color w:val="64748b"/>
          <w:sz w:val="22"/>
          <w:szCs w:val="22"/>
        </w:rPr>
        <w:t xml:space="preserve">List any conditions that must be met for the benefit-risk balance to remain favorable. This may include: adherence to labeling, implementation of risk minimisation measures, specific patient selection criteria, monitoring requirements.</w:t>
      </w:r>
      <w:r>
        <w:rPr>
          <w:rFonts w:ascii="Arial" w:cs="Arial" w:eastAsia="Arial" w:hAnsi="Arial"/>
          <w:color w:val="64748b"/>
          <w:sz w:val="22"/>
          <w:szCs w:val="22"/>
        </w:rPr>
        <w:t xml:space="preserve">]</w:t>
      </w:r>
    </w:p>
    <w:p>
      <w:pPr>
        <w:spacing w:before="200" w:after="200"/>
      </w:pPr>
    </w:p>
    <w:p>
      <w:pPr>
        <w:pStyle w:val="Heading2"/>
      </w:pPr>
      <w:r>
        <w:t xml:space="preserve">8.3 Outstanding Issues and Next Steps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6"/>
                <w:szCs w:val="16"/>
              </w:rPr>
              <w:t xml:space="preserve">Outstanding Issue</w:t>
            </w:r>
          </w:p>
        </w:tc>
        <w:tc>
          <w:tcPr>
            <w:tcW w:type="dxa" w:w="2340"/>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6"/>
                <w:szCs w:val="16"/>
              </w:rPr>
              <w:t xml:space="preserve">Action Required</w:t>
            </w:r>
          </w:p>
        </w:tc>
        <w:tc>
          <w:tcPr>
            <w:tcW w:type="dxa" w:w="2340"/>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6"/>
                <w:szCs w:val="16"/>
              </w:rPr>
              <w:t xml:space="preserve">Responsible</w:t>
            </w:r>
          </w:p>
        </w:tc>
        <w:tc>
          <w:tcPr>
            <w:tcW w:type="dxa" w:w="1560"/>
            <w:tcBorders>
              <w:top w:val="single" w:color="1a365d" w:sz="1"/>
              <w:left w:val="single" w:color="1a365d" w:sz="1"/>
              <w:bottom w:val="single" w:color="1a365d" w:sz="1"/>
              <w:right w:val="single" w:color="1a365d" w:sz="1"/>
            </w:tcBorders>
            <w:shd w:fill="1a365d" w:val="clear"/>
          </w:tcPr>
          <w:p>
            <w:pPr>
              <w:jc w:val="center"/>
            </w:pPr>
            <w:r>
              <w:rPr>
                <w:rFonts w:ascii="Arial" w:cs="Arial" w:eastAsia="Arial" w:hAnsi="Arial"/>
                <w:b/>
                <w:bCs/>
                <w:color w:val="FFFFFF"/>
                <w:sz w:val="16"/>
                <w:szCs w:val="16"/>
              </w:rPr>
              <w:t xml:space="preserve">Timeline</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c>
          <w:tcPr>
            <w:tcW w:type="dxa" w:w="234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c>
          <w:tcPr>
            <w:tcW w:type="dxa" w:w="234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sz w:val="16"/>
                <w:szCs w:val="16"/>
              </w:rPr>
              <w:t xml:space="preserve"> </w:t>
            </w:r>
          </w:p>
        </w:tc>
      </w:tr>
    </w:tbl>
    <w:p>
      <w:pPr>
        <w:spacing w:before="200" w:after="200"/>
      </w:pPr>
    </w:p>
    <w:p>
      <w:pPr>
        <w:pStyle w:val="Heading2"/>
      </w:pPr>
      <w:r>
        <w:t xml:space="preserve">8.4 Triggers for Reassessment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2"/>
              <w:bottom w:val="single" w:color="0d9488" w:sz="2"/>
              <w:right w:val="single" w:color="0d9488" w:sz="2"/>
            </w:tcBorders>
            <w:shd w:fill="ccfbf1" w:val="clear"/>
          </w:tcPr>
          <w:p>
            <w:pPr>
              <w:spacing w:before="100" w:after="100"/>
            </w:pPr>
            <w:r>
              <w:rPr>
                <w:rFonts w:ascii="Arial" w:cs="Arial" w:eastAsia="Arial" w:hAnsi="Arial"/>
                <w:b/>
                <w:bCs/>
                <w:color w:val="0d9488"/>
                <w:sz w:val="18"/>
                <w:szCs w:val="18"/>
              </w:rPr>
              <w:t xml:space="preserve">◎ GUIDANCE: </w:t>
            </w:r>
            <w:r>
              <w:rPr>
                <w:rFonts w:ascii="Arial" w:cs="Arial" w:eastAsia="Arial" w:hAnsi="Arial"/>
                <w:i/>
                <w:iCs/>
                <w:color w:val="1a365d"/>
                <w:sz w:val="18"/>
                <w:szCs w:val="18"/>
              </w:rPr>
              <w:t xml:space="preserve">Define events that would trigger a reassessment of the benefit-risk balance. This ensures the BRAD remains a living document that responds to new information.</w:t>
            </w:r>
          </w:p>
        </w:tc>
      </w:tr>
    </w:tbl>
    <w:p>
      <w:pPr>
        <w:spacing w:before="200" w:after="200"/>
      </w:pPr>
    </w:p>
    <w:p>
      <w:pPr>
        <w:pStyle w:val="ListParagraph"/>
        <w:numPr>
          <w:ilvl w:val="0"/>
          <w:numId w:val="2"/>
        </w:numPr>
      </w:pPr>
      <w:r>
        <w:rPr>
          <w:rFonts w:ascii="Arial" w:cs="Arial" w:eastAsia="Arial" w:hAnsi="Arial"/>
          <w:sz w:val="20"/>
          <w:szCs w:val="20"/>
        </w:rPr>
        <w:t xml:space="preserve">New safety signal meeting threshold for evaluation</w:t>
      </w:r>
    </w:p>
    <w:p>
      <w:pPr>
        <w:pStyle w:val="ListParagraph"/>
        <w:numPr>
          <w:ilvl w:val="0"/>
          <w:numId w:val="2"/>
        </w:numPr>
      </w:pPr>
      <w:r>
        <w:rPr>
          <w:rFonts w:ascii="Arial" w:cs="Arial" w:eastAsia="Arial" w:hAnsi="Arial"/>
          <w:sz w:val="20"/>
          <w:szCs w:val="20"/>
        </w:rPr>
        <w:t xml:space="preserve">Significant new efficacy data (positive or negative)</w:t>
      </w:r>
    </w:p>
    <w:p>
      <w:pPr>
        <w:pStyle w:val="ListParagraph"/>
        <w:numPr>
          <w:ilvl w:val="0"/>
          <w:numId w:val="2"/>
        </w:numPr>
      </w:pPr>
      <w:r>
        <w:rPr>
          <w:rFonts w:ascii="Arial" w:cs="Arial" w:eastAsia="Arial" w:hAnsi="Arial"/>
          <w:sz w:val="20"/>
          <w:szCs w:val="20"/>
        </w:rPr>
        <w:t xml:space="preserve">Regulatory referral or safety variation</w:t>
      </w:r>
    </w:p>
    <w:p>
      <w:pPr>
        <w:pStyle w:val="ListParagraph"/>
        <w:numPr>
          <w:ilvl w:val="0"/>
          <w:numId w:val="2"/>
        </w:numPr>
      </w:pPr>
      <w:r>
        <w:rPr>
          <w:rFonts w:ascii="Arial" w:cs="Arial" w:eastAsia="Arial" w:hAnsi="Arial"/>
          <w:sz w:val="20"/>
          <w:szCs w:val="20"/>
        </w:rPr>
        <w:t xml:space="preserve">Changes to therapeutic landscape (new comparators)</w:t>
      </w:r>
    </w:p>
    <w:p>
      <w:pPr>
        <w:pStyle w:val="ListParagraph"/>
        <w:numPr>
          <w:ilvl w:val="0"/>
          <w:numId w:val="2"/>
        </w:numPr>
      </w:pPr>
      <w:r>
        <w:rPr>
          <w:rFonts w:ascii="Arial" w:cs="Arial" w:eastAsia="Arial" w:hAnsi="Arial"/>
          <w:sz w:val="20"/>
          <w:szCs w:val="20"/>
        </w:rPr>
        <w:t xml:space="preserve">Periodic reporting cycle (PBRER/PSUR)</w:t>
      </w:r>
    </w:p>
    <w:p>
      <w:pPr>
        <w:pStyle w:val="ListParagraph"/>
        <w:numPr>
          <w:ilvl w:val="0"/>
          <w:numId w:val="2"/>
        </w:numPr>
      </w:pPr>
      <w:r>
        <w:rPr>
          <w:rFonts w:ascii="Arial" w:cs="Arial" w:eastAsia="Arial" w:hAnsi="Arial"/>
          <w:sz w:val="20"/>
          <w:szCs w:val="20"/>
        </w:rPr>
        <w:t xml:space="preserve">New indication application</w:t>
      </w:r>
    </w:p>
    <w:p>
      <w:pPr>
        <w:spacing w:before="100" w:after="100"/>
      </w:pPr>
      <w:r>
        <w:rPr>
          <w:rFonts w:ascii="Arial" w:cs="Arial" w:eastAsia="Arial" w:hAnsi="Arial"/>
          <w:color w:val="64748b"/>
          <w:sz w:val="22"/>
          <w:szCs w:val="22"/>
        </w:rPr>
        <w:t xml:space="preserve">[</w:t>
      </w:r>
      <w:r>
        <w:rPr>
          <w:rFonts w:ascii="Arial" w:cs="Arial" w:eastAsia="Arial" w:hAnsi="Arial"/>
          <w:i/>
          <w:iCs/>
          <w:color w:val="64748b"/>
          <w:sz w:val="22"/>
          <w:szCs w:val="22"/>
        </w:rPr>
        <w:t xml:space="preserve">Add product-specific triggers as appropriate</w:t>
      </w:r>
      <w:r>
        <w:rPr>
          <w:rFonts w:ascii="Arial" w:cs="Arial" w:eastAsia="Arial" w:hAnsi="Arial"/>
          <w:color w:val="64748b"/>
          <w:sz w:val="22"/>
          <w:szCs w:val="22"/>
        </w:rPr>
        <w:t xml:space="preserve">]</w:t>
      </w:r>
    </w:p>
    <w:p>
      <w:r>
        <w:br w:type="page"/>
      </w:r>
    </w:p>
    <w:p>
      <w:pPr>
        <w:pStyle w:val="Heading1"/>
      </w:pPr>
      <w:r>
        <w:t xml:space="preserve">Appendices</w:t>
      </w:r>
    </w:p>
    <w:p>
      <w:pPr>
        <w:pStyle w:val="Heading2"/>
      </w:pPr>
      <w:r>
        <w:t xml:space="preserve">Appendix A: Abbreviations and Acronyms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a365d" w:sz="1"/>
              <w:left w:val="single" w:color="1a365d" w:sz="1"/>
              <w:bottom w:val="single" w:color="1a365d" w:sz="1"/>
              <w:right w:val="single" w:color="1a365d" w:sz="1"/>
            </w:tcBorders>
            <w:shd w:fill="1a365d" w:val="clear"/>
          </w:tcPr>
          <w:p>
            <w:r>
              <w:rPr>
                <w:rFonts w:ascii="Arial" w:cs="Arial" w:eastAsia="Arial" w:hAnsi="Arial"/>
                <w:b/>
                <w:bCs/>
                <w:color w:val="FFFFFF"/>
                <w:sz w:val="18"/>
                <w:szCs w:val="18"/>
              </w:rPr>
              <w:t xml:space="preserve">Abbreviation</w:t>
            </w:r>
          </w:p>
        </w:tc>
        <w:tc>
          <w:tcPr>
            <w:tcW w:type="dxa" w:w="7020"/>
            <w:tcBorders>
              <w:top w:val="single" w:color="1a365d" w:sz="1"/>
              <w:left w:val="single" w:color="1a365d" w:sz="1"/>
              <w:bottom w:val="single" w:color="1a365d" w:sz="1"/>
              <w:right w:val="single" w:color="1a365d" w:sz="1"/>
            </w:tcBorders>
            <w:shd w:fill="1a365d" w:val="clear"/>
          </w:tcPr>
          <w:p>
            <w:r>
              <w:rPr>
                <w:rFonts w:ascii="Arial" w:cs="Arial" w:eastAsia="Arial" w:hAnsi="Arial"/>
                <w:b/>
                <w:bCs/>
                <w:color w:val="FFFFFF"/>
                <w:sz w:val="18"/>
                <w:szCs w:val="18"/>
              </w:rPr>
              <w:t xml:space="preserve">Definition</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AE</w:t>
            </w:r>
          </w:p>
        </w:tc>
        <w:tc>
          <w:tcPr>
            <w:tcW w:type="dxa" w:w="702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Adverse Event</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B-R</w:t>
            </w:r>
          </w:p>
        </w:tc>
        <w:tc>
          <w:tcPr>
            <w:tcW w:type="dxa" w:w="702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Benefit-Risk</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BRAD</w:t>
            </w:r>
          </w:p>
        </w:tc>
        <w:tc>
          <w:tcPr>
            <w:tcW w:type="dxa" w:w="702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Benefit-Risk Assessment Document</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BRMT</w:t>
            </w:r>
          </w:p>
        </w:tc>
        <w:tc>
          <w:tcPr>
            <w:tcW w:type="dxa" w:w="702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Benefit-Risk Management Team</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CI</w:t>
            </w:r>
          </w:p>
        </w:tc>
        <w:tc>
          <w:tcPr>
            <w:tcW w:type="dxa" w:w="702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Confidence Interval</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MCDA</w:t>
            </w:r>
          </w:p>
        </w:tc>
        <w:tc>
          <w:tcPr>
            <w:tcW w:type="dxa" w:w="702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Multi-Criteria Decision Analysis</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NNT</w:t>
            </w:r>
          </w:p>
        </w:tc>
        <w:tc>
          <w:tcPr>
            <w:tcW w:type="dxa" w:w="702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Number Needed to Treat</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PASS</w:t>
            </w:r>
          </w:p>
        </w:tc>
        <w:tc>
          <w:tcPr>
            <w:tcW w:type="dxa" w:w="702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Post-Authorization Safety Study</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PBRER</w:t>
            </w:r>
          </w:p>
        </w:tc>
        <w:tc>
          <w:tcPr>
            <w:tcW w:type="dxa" w:w="702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Periodic Benefit-Risk Evaluation Report</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REMS</w:t>
            </w:r>
          </w:p>
        </w:tc>
        <w:tc>
          <w:tcPr>
            <w:tcW w:type="dxa" w:w="702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Risk Evaluation and Mitigation Strategy</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RMM</w:t>
            </w:r>
          </w:p>
        </w:tc>
        <w:tc>
          <w:tcPr>
            <w:tcW w:type="dxa" w:w="702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Risk Minimisation Measure</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RMP</w:t>
            </w:r>
          </w:p>
        </w:tc>
        <w:tc>
          <w:tcPr>
            <w:tcW w:type="dxa" w:w="702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Risk Management Plan</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SmPC</w:t>
            </w:r>
          </w:p>
        </w:tc>
        <w:tc>
          <w:tcPr>
            <w:tcW w:type="dxa" w:w="7020"/>
            <w:tcBorders>
              <w:top w:val="single" w:color="CCCCCC" w:sz="1"/>
              <w:left w:val="single" w:color="CCCCCC" w:sz="1"/>
              <w:bottom w:val="single" w:color="CCCCCC" w:sz="1"/>
              <w:right w:val="single" w:color="CCCCCC" w:sz="1"/>
            </w:tcBorders>
          </w:tcPr>
          <w:p>
            <w:r>
              <w:rPr>
                <w:rFonts w:ascii="Arial" w:cs="Arial" w:eastAsia="Arial" w:hAnsi="Arial"/>
                <w:sz w:val="18"/>
                <w:szCs w:val="18"/>
              </w:rPr>
              <w:t xml:space="preserve">Summary of Product Characteristics</w:t>
            </w:r>
          </w:p>
        </w:tc>
      </w:tr>
    </w:tbl>
    <w:p>
      <w:pPr>
        <w:spacing w:before="200" w:after="200"/>
      </w:pPr>
    </w:p>
    <w:p>
      <w:pPr>
        <w:pStyle w:val="Heading2"/>
      </w:pPr>
      <w:r>
        <w:t xml:space="preserve">Appendix B: References</w:t>
      </w:r>
    </w:p>
    <w:p>
      <w:pPr>
        <w:spacing w:before="100" w:after="100"/>
      </w:pPr>
      <w:r>
        <w:rPr>
          <w:rFonts w:ascii="Arial" w:cs="Arial" w:eastAsia="Arial" w:hAnsi="Arial"/>
          <w:color w:val="64748b"/>
          <w:sz w:val="22"/>
          <w:szCs w:val="22"/>
        </w:rPr>
        <w:t xml:space="preserve">[</w:t>
      </w:r>
      <w:r>
        <w:rPr>
          <w:rFonts w:ascii="Arial" w:cs="Arial" w:eastAsia="Arial" w:hAnsi="Arial"/>
          <w:i/>
          <w:iCs/>
          <w:color w:val="64748b"/>
          <w:sz w:val="22"/>
          <w:szCs w:val="22"/>
        </w:rPr>
        <w:t xml:space="preserve">List all references cited in this document, including clinical study reports, publications, regulatory guidance, and internal documents.</w:t>
      </w:r>
      <w:r>
        <w:rPr>
          <w:rFonts w:ascii="Arial" w:cs="Arial" w:eastAsia="Arial" w:hAnsi="Arial"/>
          <w:color w:val="64748b"/>
          <w:sz w:val="22"/>
          <w:szCs w:val="22"/>
        </w:rPr>
        <w:t xml:space="preserve">]</w:t>
      </w:r>
    </w:p>
    <w:p>
      <w:pPr>
        <w:spacing w:before="200" w:after="200"/>
      </w:pPr>
    </w:p>
    <w:p>
      <w:pPr>
        <w:pStyle w:val="Heading2"/>
      </w:pPr>
      <w:r>
        <w:t xml:space="preserve">Appendix C: Supporting Data and Analyses</w:t>
      </w:r>
    </w:p>
    <w:p>
      <w:pPr>
        <w:spacing w:before="100" w:after="100"/>
      </w:pPr>
      <w:r>
        <w:rPr>
          <w:rFonts w:ascii="Arial" w:cs="Arial" w:eastAsia="Arial" w:hAnsi="Arial"/>
          <w:color w:val="64748b"/>
          <w:sz w:val="22"/>
          <w:szCs w:val="22"/>
        </w:rPr>
        <w:t xml:space="preserve">[</w:t>
      </w:r>
      <w:r>
        <w:rPr>
          <w:rFonts w:ascii="Arial" w:cs="Arial" w:eastAsia="Arial" w:hAnsi="Arial"/>
          <w:i/>
          <w:iCs/>
          <w:color w:val="64748b"/>
          <w:sz w:val="22"/>
          <w:szCs w:val="22"/>
        </w:rPr>
        <w:t xml:space="preserve">Include or reference detailed analyses, forest plots, additional tables, and other supporting materials not included in the main body.</w:t>
      </w:r>
      <w:r>
        <w:rPr>
          <w:rFonts w:ascii="Arial" w:cs="Arial" w:eastAsia="Arial" w:hAnsi="Arial"/>
          <w:color w:val="64748b"/>
          <w:sz w:val="22"/>
          <w:szCs w:val="22"/>
        </w:rPr>
        <w:t xml:space="preserve">]</w:t>
      </w:r>
    </w:p>
    <w:p>
      <w:r>
        <w:br w:type="pag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2"/>
              <w:bottom w:val="single" w:color="0d9488" w:sz="2"/>
              <w:right w:val="single" w:color="0d9488" w:sz="2"/>
            </w:tcBorders>
            <w:shd w:fill="f1f5f9" w:val="clear"/>
          </w:tcPr>
          <w:p>
            <w:pPr>
              <w:spacing w:before="200" w:after="100"/>
              <w:jc w:val="center"/>
            </w:pPr>
            <w:r>
              <w:rPr>
                <w:rFonts w:ascii="Arial" w:cs="Arial" w:eastAsia="Arial" w:hAnsi="Arial"/>
                <w:b/>
                <w:bCs/>
                <w:color w:val="1a365d"/>
                <w:sz w:val="24"/>
                <w:szCs w:val="24"/>
              </w:rPr>
              <w:t xml:space="preserve">TEMPLATE INFORMATION</w:t>
            </w:r>
          </w:p>
          <w:p>
            <w:pPr>
              <w:spacing w:before="100" w:after="100"/>
            </w:pPr>
            <w:r>
              <w:rPr>
                <w:rFonts w:ascii="Arial" w:cs="Arial" w:eastAsia="Arial" w:hAnsi="Arial"/>
                <w:sz w:val="20"/>
                <w:szCs w:val="20"/>
              </w:rPr>
              <w:t xml:space="preserve">This template is part of the </w:t>
            </w:r>
            <w:r>
              <w:rPr>
                <w:rFonts w:ascii="Arial" w:cs="Arial" w:eastAsia="Arial" w:hAnsi="Arial"/>
                <w:b/>
                <w:bCs/>
                <w:color w:val="0d9488"/>
                <w:sz w:val="20"/>
                <w:szCs w:val="20"/>
              </w:rPr>
              <w:t xml:space="preserve">NexVigilant Benefit-Risk Intelligence Toolkit</w:t>
            </w:r>
            <w:r>
              <w:rPr>
                <w:rFonts w:ascii="Arial" w:cs="Arial" w:eastAsia="Arial" w:hAnsi="Arial"/>
                <w:sz w:val="20"/>
                <w:szCs w:val="20"/>
              </w:rPr>
              <w:t xml:space="preserve">, developed by Matthew Campion, PharmD.</w:t>
            </w:r>
          </w:p>
          <w:p>
            <w:pPr>
              <w:spacing w:before="100" w:after="100"/>
            </w:pPr>
            <w:r>
              <w:rPr>
                <w:rFonts w:ascii="Arial" w:cs="Arial" w:eastAsia="Arial" w:hAnsi="Arial"/>
                <w:sz w:val="20"/>
                <w:szCs w:val="20"/>
              </w:rPr>
              <w:t xml:space="preserve">Based on CIOMS Working Group XII: Benefit-Risk Balance for Medicinal Products (May 2025).</w:t>
            </w:r>
          </w:p>
          <w:p>
            <w:pPr>
              <w:spacing w:before="100" w:after="100"/>
            </w:pPr>
            <w:r>
              <w:rPr>
                <w:rFonts w:ascii="Arial" w:cs="Arial" w:eastAsia="Arial" w:hAnsi="Arial"/>
                <w:i/>
                <w:iCs/>
                <w:color w:val="64748b"/>
                <w:sz w:val="18"/>
                <w:szCs w:val="18"/>
              </w:rPr>
              <w:t xml:space="preserve">Original CIOMS work licensed CC BY-NC-SA 4.0. This template © 2025 NexVigilant LLC.</w:t>
            </w:r>
          </w:p>
          <w:p>
            <w:pPr>
              <w:spacing w:before="150" w:after="200"/>
              <w:jc w:val="center"/>
            </w:pPr>
            <w:r>
              <w:rPr>
                <w:rFonts w:ascii="Arial" w:cs="Arial" w:eastAsia="Arial" w:hAnsi="Arial"/>
                <w:b/>
                <w:bCs/>
                <w:color w:val="0d9488"/>
                <w:sz w:val="22"/>
                <w:szCs w:val="22"/>
              </w:rPr>
              <w:t xml:space="preserve">www.nexvigilant.com/toolkit</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p>
    <w:pPr>
      <w:spacing w:before="60"/>
      <w:jc w:val="center"/>
    </w:pPr>
    <w:r>
      <w:rPr>
        <w:rFonts w:ascii="Arial" w:cs="Arial" w:eastAsia="Arial" w:hAnsi="Arial"/>
        <w:i/>
        <w:iCs/>
        <w:color w:val="64748b"/>
        <w:sz w:val="14"/>
        <w:szCs w:val="14"/>
      </w:rPr>
      <w:t xml:space="preserve">Template developed by NexVigilant LLC  |  www.nexvigilant.com  |  Based on CIOMS WG XII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a365d"/>
        <w:sz w:val="18"/>
        <w:szCs w:val="18"/>
      </w:rPr>
      <w:t xml:space="preserve">BENEFIT-RISK ASSESSMENT DOCUMENT</w:t>
    </w:r>
    <w:r>
      <w:rPr>
        <w:rFonts w:ascii="Arial" w:cs="Arial" w:eastAsia="Arial" w:hAnsi="Arial"/>
        <w:color w:val="64748b"/>
        <w:sz w:val="18"/>
        <w:szCs w:val="18"/>
      </w:rPr>
      <w:t xml:space="preserve">  |  </w:t>
    </w:r>
    <w:r>
      <w:rPr>
        <w:rFonts w:ascii="Arial" w:cs="Arial" w:eastAsia="Arial" w:hAnsi="Arial"/>
        <w:color w:val="d9770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a365d"/>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1a365d"/>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0d9488"/>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2025-12-18T02:42:39.140Z</dcterms:created>
  <dcterms:modified xsi:type="dcterms:W3CDTF">2025-12-18T02:42:39.141Z</dcterms:modified>
</cp:coreProperties>
</file>

<file path=docProps/custom.xml><?xml version="1.0" encoding="utf-8"?>
<Properties xmlns="http://schemas.openxmlformats.org/officeDocument/2006/custom-properties" xmlns:vt="http://schemas.openxmlformats.org/officeDocument/2006/docPropsVTypes"/>
</file>