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1000"/>
      </w:pPr>
      <w:r>
        <w:t xml:space="preserve">Vaccine Benefit-Risk Assessment</w:t>
      </w:r>
    </w:p>
    <w:p>
      <w:pPr>
        <w:spacing w:after="100"/>
        <w:jc w:val="center"/>
      </w:pPr>
      <w:r>
        <w:rPr>
          <w:b/>
          <w:bCs/>
          <w:color w:val="0D9488"/>
          <w:sz w:val="32"/>
          <w:szCs w:val="32"/>
        </w:rPr>
        <w:t xml:space="preserve">Interactive Worked Example</w:t>
      </w:r>
    </w:p>
    <w:p>
      <w:pPr>
        <w:spacing w:after="400"/>
        <w:jc w:val="center"/>
      </w:pPr>
      <w:r>
        <w:rPr>
          <w:color w:val="64748B"/>
          <w:sz w:val="28"/>
          <w:szCs w:val="28"/>
        </w:rPr>
        <w:t xml:space="preserve">Rotavirus Vaccine Case Study</w:t>
      </w:r>
    </w:p>
    <w:p>
      <w:pPr>
        <w:shd w:fill="CCFBF1" w:val="clear"/>
        <w:spacing w:after="200"/>
        <w:jc w:val="center"/>
      </w:pPr>
      <w:r>
        <w:rPr>
          <w:b/>
          <w:bCs/>
          <w:color w:val="0D9488"/>
          <w:sz w:val="24"/>
          <w:szCs w:val="24"/>
        </w:rPr>
        <w:t xml:space="preserve">  PRACTITIONER WORKBOOK  </w:t>
      </w:r>
    </w:p>
    <w:p>
      <w:pPr>
        <w:spacing w:after="600"/>
        <w:jc w:val="center"/>
      </w:pPr>
      <w:r>
        <w:rPr>
          <w:i/>
          <w:iCs/>
          <w:color w:val="64748B"/>
          <w:sz w:val="20"/>
          <w:szCs w:val="20"/>
        </w:rPr>
        <w:t xml:space="preserve">Complete the yellow highlighted sections as you work through the case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64748B" w:sz="8"/>
              <w:left w:val="single" w:color="64748B" w:sz="8"/>
              <w:bottom w:val="single" w:color="64748B" w:sz="8"/>
              <w:right w:val="single" w:color="64748B" w:sz="8"/>
            </w:tcBorders>
            <w:shd w:fill="DBEAFE" w:val="clear"/>
          </w:tcPr>
          <w:p>
            <w:pPr>
              <w:spacing w:before="100"/>
            </w:pPr>
            <w:r>
              <w:rPr>
                <w:b/>
                <w:bCs/>
                <w:color w:val="1A365D"/>
                <w:sz w:val="22"/>
                <w:szCs w:val="22"/>
              </w:rPr>
              <w:t xml:space="preserve">LEARNING OBJECTIVES</w:t>
            </w:r>
          </w:p>
          <w:p>
            <w:pPr>
              <w:pStyle w:val="ListParagraph"/>
              <w:numPr>
                <w:ilvl w:val="0"/>
                <w:numId w:val="2"/>
              </w:numPr>
            </w:pPr>
            <w:r>
              <w:rPr>
                <w:sz w:val="20"/>
                <w:szCs w:val="20"/>
              </w:rPr>
              <w:t xml:space="preserve">Apply the Structured Benefit-Risk Framework (SBRF) to a real-world vaccine case</w:t>
            </w:r>
          </w:p>
          <w:p>
            <w:pPr>
              <w:pStyle w:val="ListParagraph"/>
              <w:numPr>
                <w:ilvl w:val="0"/>
                <w:numId w:val="2"/>
              </w:numPr>
            </w:pPr>
            <w:r>
              <w:rPr>
                <w:sz w:val="20"/>
                <w:szCs w:val="20"/>
              </w:rPr>
              <w:t xml:space="preserve">Construct an Effects Table with quantitative benefit and risk data</w:t>
            </w:r>
          </w:p>
          <w:p>
            <w:pPr>
              <w:pStyle w:val="ListParagraph"/>
              <w:numPr>
                <w:ilvl w:val="0"/>
                <w:numId w:val="2"/>
              </w:numPr>
            </w:pPr>
            <w:r>
              <w:rPr>
                <w:sz w:val="20"/>
                <w:szCs w:val="20"/>
              </w:rPr>
              <w:t xml:space="preserve">Identify and characterize sources of uncertainty in benefit-risk assessment</w:t>
            </w:r>
          </w:p>
          <w:p>
            <w:pPr>
              <w:pStyle w:val="ListParagraph"/>
              <w:numPr>
                <w:ilvl w:val="0"/>
                <w:numId w:val="2"/>
              </w:numPr>
            </w:pPr>
            <w:r>
              <w:rPr>
                <w:sz w:val="20"/>
                <w:szCs w:val="20"/>
              </w:rPr>
              <w:t xml:space="preserve">Formulate evidence-based benefit-risk conclusions with appropriate caveats</w:t>
            </w:r>
          </w:p>
          <w:p>
            <w:pPr>
              <w:pStyle w:val="ListParagraph"/>
              <w:numPr>
                <w:ilvl w:val="0"/>
                <w:numId w:val="2"/>
              </w:numPr>
              <w:spacing w:after="100"/>
            </w:pPr>
            <w:r>
              <w:rPr>
                <w:sz w:val="20"/>
                <w:szCs w:val="20"/>
              </w:rPr>
              <w:t xml:space="preserve">Practice identifying re-evaluation triggers for post-marketing surveillance</w:t>
            </w:r>
          </w:p>
        </w:tc>
      </w:tr>
    </w:tbl>
    <w:p>
      <w:pPr>
        <w:spacing w:before="400"/>
        <w:jc w:val="center"/>
      </w:pPr>
      <w:r>
        <w:rPr>
          <w:color w:val="64748B"/>
          <w:sz w:val="18"/>
          <w:szCs w:val="18"/>
        </w:rPr>
        <w:t xml:space="preserve">Based on CIOMS Working Group XII Report (May 2025) — Appendix Case A</w:t>
      </w:r>
    </w:p>
    <w:p>
      <w:pPr>
        <w:jc w:val="center"/>
      </w:pPr>
      <w:r>
        <w:rPr>
          <w:color w:val="64748B"/>
          <w:sz w:val="18"/>
          <w:szCs w:val="18"/>
        </w:rPr>
        <w:t xml:space="preserve">Estimated completion time: 45-60 minutes</w:t>
      </w:r>
    </w:p>
    <w:p>
      <w:r>
        <w:br w:type="page"/>
      </w:r>
    </w:p>
    <w:p>
      <w:pPr>
        <w:pStyle w:val="Heading1"/>
      </w:pPr>
      <w:r>
        <w:t xml:space="preserve">  CASE BRIEFING: ROTAVIRUS VACCINE</w:t>
      </w:r>
    </w:p>
    <w:p>
      <w:pPr>
        <w:spacing w:before="200" w:after="100"/>
      </w:pPr>
      <w:r>
        <w:rPr>
          <w:b/>
          <w:bCs/>
          <w:color w:val="0D9488"/>
        </w:rPr>
        <w:t xml:space="preserve">◎ LOAD-BEARING CONCEPT: Real-World Benefit-Risk Complexity</w:t>
      </w:r>
    </w:p>
    <w:p>
      <w:pPr>
        <w:spacing w:after="200"/>
      </w:pPr>
      <w:r>
        <w:t xml:space="preserve">This case demonstrates how benefit-risk assessment operates under conditions of evolving evidence and emerging safety signals. The rotavirus vaccine case is instructive because it involves: (1) a well-characterized disease burden, (2) quantifiable efficacy from large clinical trials, (3) a rare but serious adverse event (intussusception), and (4) the need to balance individual-level risk against population-level benefit.</w:t>
      </w:r>
    </w:p>
    <w:p>
      <w:pPr>
        <w:pStyle w:val="Heading2"/>
      </w:pPr>
      <w:r>
        <w:t xml:space="preserve">Case Facts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tblGrid>
      <w:tr>
        <w:tc>
          <w:tcPr>
            <w:tcW w:type="dxa" w:w="2400"/>
            <w:tcBorders>
              <w:top w:val="single" w:color="64748B" w:sz="8"/>
              <w:left w:val="single" w:color="64748B" w:sz="8"/>
              <w:bottom w:val="single" w:color="64748B" w:sz="8"/>
              <w:right w:val="single" w:color="64748B" w:sz="8"/>
            </w:tcBorders>
            <w:shd w:fill="F1F5F9" w:val="clear"/>
          </w:tcPr>
          <w:p>
            <w:r>
              <w:rPr>
                <w:b/>
                <w:bCs/>
                <w:sz w:val="20"/>
                <w:szCs w:val="20"/>
              </w:rPr>
              <w:t xml:space="preserve">Product</w:t>
            </w:r>
          </w:p>
        </w:tc>
        <w:tc>
          <w:tcPr>
            <w:tcW w:type="dxa" w:w="5800"/>
            <w:tcBorders>
              <w:top w:val="single" w:color="64748B" w:sz="8"/>
              <w:left w:val="single" w:color="64748B" w:sz="8"/>
              <w:bottom w:val="single" w:color="64748B" w:sz="8"/>
              <w:right w:val="single" w:color="64748B" w:sz="8"/>
            </w:tcBorders>
          </w:tcPr>
          <w:p>
            <w:r>
              <w:rPr>
                <w:sz w:val="20"/>
                <w:szCs w:val="20"/>
              </w:rPr>
              <w:t xml:space="preserve">Rotavirus vaccine (live, oral, pentavalent) — RotaTeq®</w:t>
            </w:r>
          </w:p>
        </w:tc>
      </w:tr>
      <w:tr>
        <w:tc>
          <w:tcPr>
            <w:tcW w:type="dxa" w:w="2400"/>
            <w:tcBorders>
              <w:top w:val="single" w:color="64748B" w:sz="8"/>
              <w:left w:val="single" w:color="64748B" w:sz="8"/>
              <w:bottom w:val="single" w:color="64748B" w:sz="8"/>
              <w:right w:val="single" w:color="64748B" w:sz="8"/>
            </w:tcBorders>
            <w:shd w:fill="F1F5F9" w:val="clear"/>
          </w:tcPr>
          <w:p>
            <w:r>
              <w:rPr>
                <w:b/>
                <w:bCs/>
                <w:sz w:val="20"/>
                <w:szCs w:val="20"/>
              </w:rPr>
              <w:t xml:space="preserve">Indication</w:t>
            </w:r>
          </w:p>
        </w:tc>
        <w:tc>
          <w:tcPr>
            <w:tcW w:type="dxa" w:w="5800"/>
            <w:tcBorders>
              <w:top w:val="single" w:color="64748B" w:sz="8"/>
              <w:left w:val="single" w:color="64748B" w:sz="8"/>
              <w:bottom w:val="single" w:color="64748B" w:sz="8"/>
              <w:right w:val="single" w:color="64748B" w:sz="8"/>
            </w:tcBorders>
          </w:tcPr>
          <w:p>
            <w:r>
              <w:rPr>
                <w:sz w:val="20"/>
                <w:szCs w:val="20"/>
              </w:rPr>
              <w:t xml:space="preserve">Prevention of rotavirus gastroenteritis in infants (3-dose series at 2, 4, 6 months)</w:t>
            </w:r>
          </w:p>
        </w:tc>
      </w:tr>
      <w:tr>
        <w:tc>
          <w:tcPr>
            <w:tcW w:type="dxa" w:w="2400"/>
            <w:tcBorders>
              <w:top w:val="single" w:color="64748B" w:sz="8"/>
              <w:left w:val="single" w:color="64748B" w:sz="8"/>
              <w:bottom w:val="single" w:color="64748B" w:sz="8"/>
              <w:right w:val="single" w:color="64748B" w:sz="8"/>
            </w:tcBorders>
            <w:shd w:fill="F1F5F9" w:val="clear"/>
          </w:tcPr>
          <w:p>
            <w:r>
              <w:rPr>
                <w:b/>
                <w:bCs/>
                <w:sz w:val="20"/>
                <w:szCs w:val="20"/>
              </w:rPr>
              <w:t xml:space="preserve">Regulatory Status</w:t>
            </w:r>
          </w:p>
        </w:tc>
        <w:tc>
          <w:tcPr>
            <w:tcW w:type="dxa" w:w="5800"/>
            <w:tcBorders>
              <w:top w:val="single" w:color="64748B" w:sz="8"/>
              <w:left w:val="single" w:color="64748B" w:sz="8"/>
              <w:bottom w:val="single" w:color="64748B" w:sz="8"/>
              <w:right w:val="single" w:color="64748B" w:sz="8"/>
            </w:tcBorders>
          </w:tcPr>
          <w:p>
            <w:r>
              <w:rPr>
                <w:sz w:val="20"/>
                <w:szCs w:val="20"/>
              </w:rPr>
              <w:t xml:space="preserve">FDA approved 2006; WHO prequalified; included in national immunization programs globally</w:t>
            </w:r>
          </w:p>
        </w:tc>
      </w:tr>
      <w:tr>
        <w:tc>
          <w:tcPr>
            <w:tcW w:type="dxa" w:w="2400"/>
            <w:tcBorders>
              <w:top w:val="single" w:color="64748B" w:sz="8"/>
              <w:left w:val="single" w:color="64748B" w:sz="8"/>
              <w:bottom w:val="single" w:color="64748B" w:sz="8"/>
              <w:right w:val="single" w:color="64748B" w:sz="8"/>
            </w:tcBorders>
            <w:shd w:fill="F1F5F9" w:val="clear"/>
          </w:tcPr>
          <w:p>
            <w:r>
              <w:rPr>
                <w:b/>
                <w:bCs/>
                <w:sz w:val="20"/>
                <w:szCs w:val="20"/>
              </w:rPr>
              <w:t xml:space="preserve">Assessment Context</w:t>
            </w:r>
          </w:p>
        </w:tc>
        <w:tc>
          <w:tcPr>
            <w:tcW w:type="dxa" w:w="5800"/>
            <w:tcBorders>
              <w:top w:val="single" w:color="64748B" w:sz="8"/>
              <w:left w:val="single" w:color="64748B" w:sz="8"/>
              <w:bottom w:val="single" w:color="64748B" w:sz="8"/>
              <w:right w:val="single" w:color="64748B" w:sz="8"/>
            </w:tcBorders>
          </w:tcPr>
          <w:p>
            <w:r>
              <w:rPr>
                <w:sz w:val="20"/>
                <w:szCs w:val="20"/>
              </w:rPr>
              <w:t xml:space="preserve">Post-marketing signal evaluation: intussusception risk detected in surveillance</w:t>
            </w:r>
          </w:p>
        </w:tc>
      </w:tr>
    </w:tbl>
    <w:p>
      <w:pPr>
        <w:pStyle w:val="Heading2"/>
        <w:spacing w:before="300"/>
      </w:pPr>
      <w:r>
        <w:t xml:space="preserve">Disease Background: Rotavirus Gastroenteritis</w:t>
      </w:r>
    </w:p>
    <w:p>
      <w:pPr>
        <w:spacing w:after="200"/>
      </w:pPr>
      <w:r>
        <w:t xml:space="preserve">Rotavirus is the leading cause of severe diarrheal disease in infants and young children worldwide. Prior to vaccine introduction, virtually all children experienced rotavirus infection by age 5, with the majority of severe cases occurring between 6-24 months of 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tblGrid>
      <w:tr>
        <w:trPr>
          <w:tblHeader/>
        </w:trPr>
        <w:tc>
          <w:tcPr>
            <w:tcW w:type="dxa" w:w="3000"/>
            <w:tcBorders>
              <w:top w:val="single" w:color="64748B" w:sz="8"/>
              <w:left w:val="single" w:color="64748B" w:sz="8"/>
              <w:bottom w:val="single" w:color="64748B" w:sz="8"/>
              <w:right w:val="single" w:color="64748B" w:sz="8"/>
            </w:tcBorders>
            <w:shd w:fill="1A365D" w:val="clear"/>
          </w:tcPr>
          <w:p>
            <w:r>
              <w:rPr>
                <w:b/>
                <w:bCs/>
                <w:color w:val="FFFFFF"/>
                <w:sz w:val="20"/>
                <w:szCs w:val="20"/>
              </w:rPr>
              <w:t xml:space="preserve">Disease Burden Parameter</w:t>
            </w:r>
          </w:p>
        </w:tc>
        <w:tc>
          <w:tcPr>
            <w:tcW w:type="dxa" w:w="5200"/>
            <w:tcBorders>
              <w:top w:val="single" w:color="64748B" w:sz="8"/>
              <w:left w:val="single" w:color="64748B" w:sz="8"/>
              <w:bottom w:val="single" w:color="64748B" w:sz="8"/>
              <w:right w:val="single" w:color="64748B" w:sz="8"/>
            </w:tcBorders>
            <w:shd w:fill="1A365D" w:val="clear"/>
          </w:tcPr>
          <w:p>
            <w:r>
              <w:rPr>
                <w:b/>
                <w:bCs/>
                <w:color w:val="FFFFFF"/>
                <w:sz w:val="20"/>
                <w:szCs w:val="20"/>
              </w:rPr>
              <w:t xml:space="preserve">Pre-Vaccine Era Data (United States)</w:t>
            </w:r>
          </w:p>
        </w:tc>
      </w:tr>
      <w:tr>
        <w:tc>
          <w:tcPr>
            <w:tcW w:type="dxa" w:w="3000"/>
            <w:tcBorders>
              <w:top w:val="single" w:color="64748B" w:sz="8"/>
              <w:left w:val="single" w:color="64748B" w:sz="8"/>
              <w:bottom w:val="single" w:color="64748B" w:sz="8"/>
              <w:right w:val="single" w:color="64748B" w:sz="8"/>
            </w:tcBorders>
          </w:tcPr>
          <w:p>
            <w:r>
              <w:rPr>
                <w:sz w:val="20"/>
                <w:szCs w:val="20"/>
              </w:rPr>
              <w:t xml:space="preserve">Annual infections</w:t>
            </w:r>
          </w:p>
        </w:tc>
        <w:tc>
          <w:tcPr>
            <w:tcW w:type="dxa" w:w="5200"/>
            <w:tcBorders>
              <w:top w:val="single" w:color="64748B" w:sz="8"/>
              <w:left w:val="single" w:color="64748B" w:sz="8"/>
              <w:bottom w:val="single" w:color="64748B" w:sz="8"/>
              <w:right w:val="single" w:color="64748B" w:sz="8"/>
            </w:tcBorders>
          </w:tcPr>
          <w:p>
            <w:r>
              <w:rPr>
                <w:sz w:val="20"/>
                <w:szCs w:val="20"/>
              </w:rPr>
              <w:t xml:space="preserve">~2.7 million children &lt; 5 years</w:t>
            </w:r>
          </w:p>
        </w:tc>
      </w:tr>
      <w:tr>
        <w:tc>
          <w:tcPr>
            <w:tcW w:type="dxa" w:w="3000"/>
            <w:tcBorders>
              <w:top w:val="single" w:color="64748B" w:sz="8"/>
              <w:left w:val="single" w:color="64748B" w:sz="8"/>
              <w:bottom w:val="single" w:color="64748B" w:sz="8"/>
              <w:right w:val="single" w:color="64748B" w:sz="8"/>
            </w:tcBorders>
            <w:shd w:fill="F1F5F9" w:val="clear"/>
          </w:tcPr>
          <w:p>
            <w:r>
              <w:rPr>
                <w:sz w:val="20"/>
                <w:szCs w:val="20"/>
              </w:rPr>
              <w:t xml:space="preserve">Emergency department visits</w:t>
            </w:r>
          </w:p>
        </w:tc>
        <w:tc>
          <w:tcPr>
            <w:tcW w:type="dxa" w:w="5200"/>
            <w:tcBorders>
              <w:top w:val="single" w:color="64748B" w:sz="8"/>
              <w:left w:val="single" w:color="64748B" w:sz="8"/>
              <w:bottom w:val="single" w:color="64748B" w:sz="8"/>
              <w:right w:val="single" w:color="64748B" w:sz="8"/>
            </w:tcBorders>
            <w:shd w:fill="F1F5F9" w:val="clear"/>
          </w:tcPr>
          <w:p>
            <w:r>
              <w:rPr>
                <w:sz w:val="20"/>
                <w:szCs w:val="20"/>
              </w:rPr>
              <w:t xml:space="preserve">~410,000 annually</w:t>
            </w:r>
          </w:p>
        </w:tc>
      </w:tr>
      <w:tr>
        <w:tc>
          <w:tcPr>
            <w:tcW w:type="dxa" w:w="3000"/>
            <w:tcBorders>
              <w:top w:val="single" w:color="64748B" w:sz="8"/>
              <w:left w:val="single" w:color="64748B" w:sz="8"/>
              <w:bottom w:val="single" w:color="64748B" w:sz="8"/>
              <w:right w:val="single" w:color="64748B" w:sz="8"/>
            </w:tcBorders>
          </w:tcPr>
          <w:p>
            <w:r>
              <w:rPr>
                <w:sz w:val="20"/>
                <w:szCs w:val="20"/>
              </w:rPr>
              <w:t xml:space="preserve">Hospitalizations</w:t>
            </w:r>
          </w:p>
        </w:tc>
        <w:tc>
          <w:tcPr>
            <w:tcW w:type="dxa" w:w="5200"/>
            <w:tcBorders>
              <w:top w:val="single" w:color="64748B" w:sz="8"/>
              <w:left w:val="single" w:color="64748B" w:sz="8"/>
              <w:bottom w:val="single" w:color="64748B" w:sz="8"/>
              <w:right w:val="single" w:color="64748B" w:sz="8"/>
            </w:tcBorders>
          </w:tcPr>
          <w:p>
            <w:r>
              <w:rPr>
                <w:sz w:val="20"/>
                <w:szCs w:val="20"/>
              </w:rPr>
              <w:t xml:space="preserve">~55,000-70,000 annually</w:t>
            </w:r>
          </w:p>
        </w:tc>
      </w:tr>
      <w:tr>
        <w:tc>
          <w:tcPr>
            <w:tcW w:type="dxa" w:w="3000"/>
            <w:tcBorders>
              <w:top w:val="single" w:color="64748B" w:sz="8"/>
              <w:left w:val="single" w:color="64748B" w:sz="8"/>
              <w:bottom w:val="single" w:color="64748B" w:sz="8"/>
              <w:right w:val="single" w:color="64748B" w:sz="8"/>
            </w:tcBorders>
            <w:shd w:fill="F1F5F9" w:val="clear"/>
          </w:tcPr>
          <w:p>
            <w:r>
              <w:rPr>
                <w:sz w:val="20"/>
                <w:szCs w:val="20"/>
              </w:rPr>
              <w:t xml:space="preserve">Deaths (US)</w:t>
            </w:r>
          </w:p>
        </w:tc>
        <w:tc>
          <w:tcPr>
            <w:tcW w:type="dxa" w:w="5200"/>
            <w:tcBorders>
              <w:top w:val="single" w:color="64748B" w:sz="8"/>
              <w:left w:val="single" w:color="64748B" w:sz="8"/>
              <w:bottom w:val="single" w:color="64748B" w:sz="8"/>
              <w:right w:val="single" w:color="64748B" w:sz="8"/>
            </w:tcBorders>
            <w:shd w:fill="F1F5F9" w:val="clear"/>
          </w:tcPr>
          <w:p>
            <w:r>
              <w:rPr>
                <w:sz w:val="20"/>
                <w:szCs w:val="20"/>
              </w:rPr>
              <w:t xml:space="preserve">20-60 annually (primarily in high-risk populations)</w:t>
            </w:r>
          </w:p>
        </w:tc>
      </w:tr>
      <w:tr>
        <w:tc>
          <w:tcPr>
            <w:tcW w:type="dxa" w:w="3000"/>
            <w:tcBorders>
              <w:top w:val="single" w:color="64748B" w:sz="8"/>
              <w:left w:val="single" w:color="64748B" w:sz="8"/>
              <w:bottom w:val="single" w:color="64748B" w:sz="8"/>
              <w:right w:val="single" w:color="64748B" w:sz="8"/>
            </w:tcBorders>
          </w:tcPr>
          <w:p>
            <w:r>
              <w:rPr>
                <w:sz w:val="20"/>
                <w:szCs w:val="20"/>
              </w:rPr>
              <w:t xml:space="preserve">Deaths (Global)</w:t>
            </w:r>
          </w:p>
        </w:tc>
        <w:tc>
          <w:tcPr>
            <w:tcW w:type="dxa" w:w="5200"/>
            <w:tcBorders>
              <w:top w:val="single" w:color="64748B" w:sz="8"/>
              <w:left w:val="single" w:color="64748B" w:sz="8"/>
              <w:bottom w:val="single" w:color="64748B" w:sz="8"/>
              <w:right w:val="single" w:color="64748B" w:sz="8"/>
            </w:tcBorders>
          </w:tcPr>
          <w:p>
            <w:r>
              <w:rPr>
                <w:sz w:val="20"/>
                <w:szCs w:val="20"/>
              </w:rPr>
              <w:t xml:space="preserve">~450,000-500,000 annually (primarily in low-income countries)</w:t>
            </w:r>
          </w:p>
        </w:tc>
      </w:tr>
    </w:tbl>
    <w:p>
      <w:pPr>
        <w:pStyle w:val="Heading2"/>
        <w:spacing w:before="300"/>
      </w:pPr>
      <w:r>
        <w:t xml:space="preserve">Clinical Trial Efficacy Data</w:t>
      </w:r>
    </w:p>
    <w:p>
      <w:pPr>
        <w:spacing w:after="200"/>
      </w:pPr>
      <w:r>
        <w:t xml:space="preserve">The pivotal REST (Rotavirus Efficacy and Safety Trial) enrolled approximately 70,000 infants and demonstrated the following efficacy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1600"/>
      </w:tblGrid>
      <w:tr>
        <w:trPr>
          <w:tblHeader/>
        </w:trPr>
        <w:tc>
          <w:tcPr>
            <w:tcW w:type="dxa" w:w="3400"/>
            <w:tcBorders>
              <w:top w:val="single" w:color="64748B" w:sz="8"/>
              <w:left w:val="single" w:color="64748B" w:sz="8"/>
              <w:bottom w:val="single" w:color="64748B" w:sz="8"/>
              <w:right w:val="single" w:color="64748B" w:sz="8"/>
            </w:tcBorders>
            <w:shd w:fill="16A34A" w:val="clear"/>
          </w:tcPr>
          <w:p>
            <w:r>
              <w:rPr>
                <w:b/>
                <w:bCs/>
                <w:color w:val="FFFFFF"/>
                <w:sz w:val="20"/>
                <w:szCs w:val="20"/>
              </w:rPr>
              <w:t xml:space="preserve">Endpoint</w:t>
            </w:r>
          </w:p>
        </w:tc>
        <w:tc>
          <w:tcPr>
            <w:tcW w:type="dxa" w:w="1600"/>
            <w:tcBorders>
              <w:top w:val="single" w:color="64748B" w:sz="8"/>
              <w:left w:val="single" w:color="64748B" w:sz="8"/>
              <w:bottom w:val="single" w:color="64748B" w:sz="8"/>
              <w:right w:val="single" w:color="64748B" w:sz="8"/>
            </w:tcBorders>
            <w:shd w:fill="16A34A" w:val="clear"/>
          </w:tcPr>
          <w:p>
            <w:pPr>
              <w:jc w:val="center"/>
            </w:pPr>
            <w:r>
              <w:rPr>
                <w:b/>
                <w:bCs/>
                <w:color w:val="FFFFFF"/>
                <w:sz w:val="20"/>
                <w:szCs w:val="20"/>
              </w:rPr>
              <w:t xml:space="preserve">Vaccine</w:t>
            </w:r>
          </w:p>
        </w:tc>
        <w:tc>
          <w:tcPr>
            <w:tcW w:type="dxa" w:w="1600"/>
            <w:tcBorders>
              <w:top w:val="single" w:color="64748B" w:sz="8"/>
              <w:left w:val="single" w:color="64748B" w:sz="8"/>
              <w:bottom w:val="single" w:color="64748B" w:sz="8"/>
              <w:right w:val="single" w:color="64748B" w:sz="8"/>
            </w:tcBorders>
            <w:shd w:fill="16A34A" w:val="clear"/>
          </w:tcPr>
          <w:p>
            <w:pPr>
              <w:jc w:val="center"/>
            </w:pPr>
            <w:r>
              <w:rPr>
                <w:b/>
                <w:bCs/>
                <w:color w:val="FFFFFF"/>
                <w:sz w:val="20"/>
                <w:szCs w:val="20"/>
              </w:rPr>
              <w:t xml:space="preserve">Placebo</w:t>
            </w:r>
          </w:p>
        </w:tc>
        <w:tc>
          <w:tcPr>
            <w:tcW w:type="dxa" w:w="1600"/>
            <w:tcBorders>
              <w:top w:val="single" w:color="64748B" w:sz="8"/>
              <w:left w:val="single" w:color="64748B" w:sz="8"/>
              <w:bottom w:val="single" w:color="64748B" w:sz="8"/>
              <w:right w:val="single" w:color="64748B" w:sz="8"/>
            </w:tcBorders>
            <w:shd w:fill="16A34A" w:val="clear"/>
          </w:tcPr>
          <w:p>
            <w:pPr>
              <w:jc w:val="center"/>
            </w:pPr>
            <w:r>
              <w:rPr>
                <w:b/>
                <w:bCs/>
                <w:color w:val="FFFFFF"/>
                <w:sz w:val="20"/>
                <w:szCs w:val="20"/>
              </w:rPr>
              <w:t xml:space="preserve">Efficacy</w:t>
            </w:r>
          </w:p>
        </w:tc>
      </w:tr>
      <w:tr>
        <w:tc>
          <w:tcPr>
            <w:tcW w:type="dxa" w:w="3400"/>
            <w:tcBorders>
              <w:top w:val="single" w:color="64748B" w:sz="8"/>
              <w:left w:val="single" w:color="64748B" w:sz="8"/>
              <w:bottom w:val="single" w:color="64748B" w:sz="8"/>
              <w:right w:val="single" w:color="64748B" w:sz="8"/>
            </w:tcBorders>
          </w:tcPr>
          <w:p>
            <w:r>
              <w:rPr>
                <w:sz w:val="20"/>
                <w:szCs w:val="20"/>
              </w:rPr>
              <w:t xml:space="preserve">Any rotavirus gastroenteritis</w:t>
            </w:r>
          </w:p>
        </w:tc>
        <w:tc>
          <w:tcPr>
            <w:tcW w:type="dxa" w:w="1600"/>
            <w:tcBorders>
              <w:top w:val="single" w:color="64748B" w:sz="8"/>
              <w:left w:val="single" w:color="64748B" w:sz="8"/>
              <w:bottom w:val="single" w:color="64748B" w:sz="8"/>
              <w:right w:val="single" w:color="64748B" w:sz="8"/>
            </w:tcBorders>
          </w:tcPr>
          <w:p>
            <w:pPr>
              <w:jc w:val="center"/>
            </w:pPr>
            <w:r>
              <w:rPr>
                <w:sz w:val="20"/>
                <w:szCs w:val="20"/>
              </w:rPr>
              <w:t xml:space="preserve">82/2,834</w:t>
            </w:r>
          </w:p>
        </w:tc>
        <w:tc>
          <w:tcPr>
            <w:tcW w:type="dxa" w:w="1600"/>
            <w:tcBorders>
              <w:top w:val="single" w:color="64748B" w:sz="8"/>
              <w:left w:val="single" w:color="64748B" w:sz="8"/>
              <w:bottom w:val="single" w:color="64748B" w:sz="8"/>
              <w:right w:val="single" w:color="64748B" w:sz="8"/>
            </w:tcBorders>
          </w:tcPr>
          <w:p>
            <w:pPr>
              <w:jc w:val="center"/>
            </w:pPr>
            <w:r>
              <w:rPr>
                <w:sz w:val="20"/>
                <w:szCs w:val="20"/>
              </w:rPr>
              <w:t xml:space="preserve">315/2,839</w:t>
            </w:r>
          </w:p>
        </w:tc>
        <w:tc>
          <w:tcPr>
            <w:tcW w:type="dxa" w:w="1600"/>
            <w:tcBorders>
              <w:top w:val="single" w:color="64748B" w:sz="8"/>
              <w:left w:val="single" w:color="64748B" w:sz="8"/>
              <w:bottom w:val="single" w:color="64748B" w:sz="8"/>
              <w:right w:val="single" w:color="64748B" w:sz="8"/>
            </w:tcBorders>
          </w:tcPr>
          <w:p>
            <w:pPr>
              <w:jc w:val="center"/>
            </w:pPr>
            <w:r>
              <w:rPr>
                <w:b/>
                <w:bCs/>
                <w:sz w:val="20"/>
                <w:szCs w:val="20"/>
              </w:rPr>
              <w:t xml:space="preserve">74.0%</w:t>
            </w:r>
          </w:p>
        </w:tc>
      </w:tr>
      <w:tr>
        <w:tc>
          <w:tcPr>
            <w:tcW w:type="dxa" w:w="3400"/>
            <w:tcBorders>
              <w:top w:val="single" w:color="64748B" w:sz="8"/>
              <w:left w:val="single" w:color="64748B" w:sz="8"/>
              <w:bottom w:val="single" w:color="64748B" w:sz="8"/>
              <w:right w:val="single" w:color="64748B" w:sz="8"/>
            </w:tcBorders>
            <w:shd w:fill="DCFCE7" w:val="clear"/>
          </w:tcPr>
          <w:p>
            <w:r>
              <w:rPr>
                <w:sz w:val="20"/>
                <w:szCs w:val="20"/>
              </w:rPr>
              <w:t xml:space="preserve">Severe rotavirus gastroenteritis</w:t>
            </w:r>
          </w:p>
        </w:tc>
        <w:tc>
          <w:tcPr>
            <w:tcW w:type="dxa" w:w="1600"/>
            <w:tcBorders>
              <w:top w:val="single" w:color="64748B" w:sz="8"/>
              <w:left w:val="single" w:color="64748B" w:sz="8"/>
              <w:bottom w:val="single" w:color="64748B" w:sz="8"/>
              <w:right w:val="single" w:color="64748B" w:sz="8"/>
            </w:tcBorders>
            <w:shd w:fill="DCFCE7" w:val="clear"/>
          </w:tcPr>
          <w:p>
            <w:pPr>
              <w:jc w:val="center"/>
            </w:pPr>
            <w:r>
              <w:rPr>
                <w:sz w:val="20"/>
                <w:szCs w:val="20"/>
              </w:rPr>
              <w:t xml:space="preserve">1/2,834</w:t>
            </w:r>
          </w:p>
        </w:tc>
        <w:tc>
          <w:tcPr>
            <w:tcW w:type="dxa" w:w="1600"/>
            <w:tcBorders>
              <w:top w:val="single" w:color="64748B" w:sz="8"/>
              <w:left w:val="single" w:color="64748B" w:sz="8"/>
              <w:bottom w:val="single" w:color="64748B" w:sz="8"/>
              <w:right w:val="single" w:color="64748B" w:sz="8"/>
            </w:tcBorders>
            <w:shd w:fill="DCFCE7" w:val="clear"/>
          </w:tcPr>
          <w:p>
            <w:pPr>
              <w:jc w:val="center"/>
            </w:pPr>
            <w:r>
              <w:rPr>
                <w:sz w:val="20"/>
                <w:szCs w:val="20"/>
              </w:rPr>
              <w:t xml:space="preserve">51/2,839</w:t>
            </w:r>
          </w:p>
        </w:tc>
        <w:tc>
          <w:tcPr>
            <w:tcW w:type="dxa" w:w="1600"/>
            <w:tcBorders>
              <w:top w:val="single" w:color="64748B" w:sz="8"/>
              <w:left w:val="single" w:color="64748B" w:sz="8"/>
              <w:bottom w:val="single" w:color="64748B" w:sz="8"/>
              <w:right w:val="single" w:color="64748B" w:sz="8"/>
            </w:tcBorders>
            <w:shd w:fill="DCFCE7" w:val="clear"/>
          </w:tcPr>
          <w:p>
            <w:pPr>
              <w:jc w:val="center"/>
            </w:pPr>
            <w:r>
              <w:rPr>
                <w:b/>
                <w:bCs/>
                <w:sz w:val="20"/>
                <w:szCs w:val="20"/>
              </w:rPr>
              <w:t xml:space="preserve">98.0%</w:t>
            </w:r>
          </w:p>
        </w:tc>
      </w:tr>
      <w:tr>
        <w:tc>
          <w:tcPr>
            <w:tcW w:type="dxa" w:w="3400"/>
            <w:tcBorders>
              <w:top w:val="single" w:color="64748B" w:sz="8"/>
              <w:left w:val="single" w:color="64748B" w:sz="8"/>
              <w:bottom w:val="single" w:color="64748B" w:sz="8"/>
              <w:right w:val="single" w:color="64748B" w:sz="8"/>
            </w:tcBorders>
          </w:tcPr>
          <w:p>
            <w:r>
              <w:rPr>
                <w:sz w:val="20"/>
                <w:szCs w:val="20"/>
              </w:rPr>
              <w:t xml:space="preserve">Rotavirus hospitalization</w:t>
            </w:r>
          </w:p>
        </w:tc>
        <w:tc>
          <w:tcPr>
            <w:tcW w:type="dxa" w:w="1600"/>
            <w:tcBorders>
              <w:top w:val="single" w:color="64748B" w:sz="8"/>
              <w:left w:val="single" w:color="64748B" w:sz="8"/>
              <w:bottom w:val="single" w:color="64748B" w:sz="8"/>
              <w:right w:val="single" w:color="64748B" w:sz="8"/>
            </w:tcBorders>
          </w:tcPr>
          <w:p>
            <w:pPr>
              <w:jc w:val="center"/>
            </w:pPr>
            <w:r>
              <w:rPr>
                <w:sz w:val="20"/>
                <w:szCs w:val="20"/>
              </w:rPr>
              <w:t xml:space="preserve">6/34,035</w:t>
            </w:r>
          </w:p>
        </w:tc>
        <w:tc>
          <w:tcPr>
            <w:tcW w:type="dxa" w:w="1600"/>
            <w:tcBorders>
              <w:top w:val="single" w:color="64748B" w:sz="8"/>
              <w:left w:val="single" w:color="64748B" w:sz="8"/>
              <w:bottom w:val="single" w:color="64748B" w:sz="8"/>
              <w:right w:val="single" w:color="64748B" w:sz="8"/>
            </w:tcBorders>
          </w:tcPr>
          <w:p>
            <w:pPr>
              <w:jc w:val="center"/>
            </w:pPr>
            <w:r>
              <w:rPr>
                <w:sz w:val="20"/>
                <w:szCs w:val="20"/>
              </w:rPr>
              <w:t xml:space="preserve">144/34,003</w:t>
            </w:r>
          </w:p>
        </w:tc>
        <w:tc>
          <w:tcPr>
            <w:tcW w:type="dxa" w:w="1600"/>
            <w:tcBorders>
              <w:top w:val="single" w:color="64748B" w:sz="8"/>
              <w:left w:val="single" w:color="64748B" w:sz="8"/>
              <w:bottom w:val="single" w:color="64748B" w:sz="8"/>
              <w:right w:val="single" w:color="64748B" w:sz="8"/>
            </w:tcBorders>
          </w:tcPr>
          <w:p>
            <w:pPr>
              <w:jc w:val="center"/>
            </w:pPr>
            <w:r>
              <w:rPr>
                <w:b/>
                <w:bCs/>
                <w:sz w:val="20"/>
                <w:szCs w:val="20"/>
              </w:rPr>
              <w:t xml:space="preserve">95.8%</w:t>
            </w:r>
          </w:p>
        </w:tc>
      </w:tr>
    </w:tbl>
    <w:p>
      <w:pPr>
        <w:pStyle w:val="Heading2"/>
        <w:spacing w:before="300"/>
      </w:pPr>
      <w:r>
        <w:t xml:space="preserve">Post-Marketing Safety Signal: Intussusception</w:t>
      </w:r>
    </w:p>
    <w:p>
      <w:pPr>
        <w:spacing w:after="200"/>
      </w:pPr>
      <w:r>
        <w:rPr>
          <w:b/>
          <w:bCs/>
        </w:rPr>
        <w:t xml:space="preserve">Intussusception</w:t>
      </w:r>
      <w:r>
        <w:t xml:space="preserve"> is a condition where one segment of intestine telescopes into an adjacent segment, causing bowel obstruction. It is a medical emergency requiring prompt treatment (air/contrast enema reduction or surgery). Post-marketing surveillance detected a small increased risk of intussusception following rotavirus vaccination.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tblGrid>
      <w:tr>
        <w:trPr>
          <w:tblHeader/>
        </w:trPr>
        <w:tc>
          <w:tcPr>
            <w:tcW w:type="dxa" w:w="3400"/>
            <w:tcBorders>
              <w:top w:val="single" w:color="64748B" w:sz="8"/>
              <w:left w:val="single" w:color="64748B" w:sz="8"/>
              <w:bottom w:val="single" w:color="64748B" w:sz="8"/>
              <w:right w:val="single" w:color="64748B" w:sz="8"/>
            </w:tcBorders>
            <w:shd w:fill="D97706" w:val="clear"/>
          </w:tcPr>
          <w:p>
            <w:r>
              <w:rPr>
                <w:b/>
                <w:bCs/>
                <w:color w:val="FFFFFF"/>
                <w:sz w:val="20"/>
                <w:szCs w:val="20"/>
              </w:rPr>
              <w:t xml:space="preserve">Risk Parameter</w:t>
            </w:r>
          </w:p>
        </w:tc>
        <w:tc>
          <w:tcPr>
            <w:tcW w:type="dxa" w:w="4800"/>
            <w:tcBorders>
              <w:top w:val="single" w:color="64748B" w:sz="8"/>
              <w:left w:val="single" w:color="64748B" w:sz="8"/>
              <w:bottom w:val="single" w:color="64748B" w:sz="8"/>
              <w:right w:val="single" w:color="64748B" w:sz="8"/>
            </w:tcBorders>
            <w:shd w:fill="D97706" w:val="clear"/>
          </w:tcPr>
          <w:p>
            <w:r>
              <w:rPr>
                <w:b/>
                <w:bCs/>
                <w:color w:val="FFFFFF"/>
                <w:sz w:val="20"/>
                <w:szCs w:val="20"/>
              </w:rPr>
              <w:t xml:space="preserve">Post-Marketing Data</w:t>
            </w:r>
          </w:p>
        </w:tc>
      </w:tr>
      <w:tr>
        <w:tc>
          <w:tcPr>
            <w:tcW w:type="dxa" w:w="3400"/>
            <w:tcBorders>
              <w:top w:val="single" w:color="64748B" w:sz="8"/>
              <w:left w:val="single" w:color="64748B" w:sz="8"/>
              <w:bottom w:val="single" w:color="64748B" w:sz="8"/>
              <w:right w:val="single" w:color="64748B" w:sz="8"/>
            </w:tcBorders>
          </w:tcPr>
          <w:p>
            <w:r>
              <w:rPr>
                <w:sz w:val="20"/>
                <w:szCs w:val="20"/>
              </w:rPr>
              <w:t xml:space="preserve">Background rate (unvaccinated)</w:t>
            </w:r>
          </w:p>
        </w:tc>
        <w:tc>
          <w:tcPr>
            <w:tcW w:type="dxa" w:w="4800"/>
            <w:tcBorders>
              <w:top w:val="single" w:color="64748B" w:sz="8"/>
              <w:left w:val="single" w:color="64748B" w:sz="8"/>
              <w:bottom w:val="single" w:color="64748B" w:sz="8"/>
              <w:right w:val="single" w:color="64748B" w:sz="8"/>
            </w:tcBorders>
          </w:tcPr>
          <w:p>
            <w:r>
              <w:rPr>
                <w:sz w:val="20"/>
                <w:szCs w:val="20"/>
              </w:rPr>
              <w:t xml:space="preserve">~33 per 100,000 infant-years (peak at 5-7 months of age)</w:t>
            </w:r>
          </w:p>
        </w:tc>
      </w:tr>
      <w:tr>
        <w:tc>
          <w:tcPr>
            <w:tcW w:type="dxa" w:w="3400"/>
            <w:tcBorders>
              <w:top w:val="single" w:color="64748B" w:sz="8"/>
              <w:left w:val="single" w:color="64748B" w:sz="8"/>
              <w:bottom w:val="single" w:color="64748B" w:sz="8"/>
              <w:right w:val="single" w:color="64748B" w:sz="8"/>
            </w:tcBorders>
            <w:shd w:fill="FEF3C7" w:val="clear"/>
          </w:tcPr>
          <w:p>
            <w:r>
              <w:rPr>
                <w:sz w:val="20"/>
                <w:szCs w:val="20"/>
              </w:rPr>
              <w:t xml:space="preserve">Attributable risk (Dose 1)</w:t>
            </w:r>
          </w:p>
        </w:tc>
        <w:tc>
          <w:tcPr>
            <w:tcW w:type="dxa" w:w="4800"/>
            <w:tcBorders>
              <w:top w:val="single" w:color="64748B" w:sz="8"/>
              <w:left w:val="single" w:color="64748B" w:sz="8"/>
              <w:bottom w:val="single" w:color="64748B" w:sz="8"/>
              <w:right w:val="single" w:color="64748B" w:sz="8"/>
            </w:tcBorders>
            <w:shd w:fill="FEF3C7" w:val="clear"/>
          </w:tcPr>
          <w:p>
            <w:r>
              <w:rPr>
                <w:sz w:val="20"/>
                <w:szCs w:val="20"/>
              </w:rPr>
              <w:t xml:space="preserve">~1.5 additional cases per 100,000 vaccinated infants (1-7 days post-dose)</w:t>
            </w:r>
          </w:p>
        </w:tc>
      </w:tr>
      <w:tr>
        <w:tc>
          <w:tcPr>
            <w:tcW w:type="dxa" w:w="3400"/>
            <w:tcBorders>
              <w:top w:val="single" w:color="64748B" w:sz="8"/>
              <w:left w:val="single" w:color="64748B" w:sz="8"/>
              <w:bottom w:val="single" w:color="64748B" w:sz="8"/>
              <w:right w:val="single" w:color="64748B" w:sz="8"/>
            </w:tcBorders>
          </w:tcPr>
          <w:p>
            <w:r>
              <w:rPr>
                <w:sz w:val="20"/>
                <w:szCs w:val="20"/>
              </w:rPr>
              <w:t xml:space="preserve">Relative risk (1-7 days post-Dose 1)</w:t>
            </w:r>
          </w:p>
        </w:tc>
        <w:tc>
          <w:tcPr>
            <w:tcW w:type="dxa" w:w="4800"/>
            <w:tcBorders>
              <w:top w:val="single" w:color="64748B" w:sz="8"/>
              <w:left w:val="single" w:color="64748B" w:sz="8"/>
              <w:bottom w:val="single" w:color="64748B" w:sz="8"/>
              <w:right w:val="single" w:color="64748B" w:sz="8"/>
            </w:tcBorders>
          </w:tcPr>
          <w:p>
            <w:r>
              <w:rPr>
                <w:sz w:val="20"/>
                <w:szCs w:val="20"/>
              </w:rPr>
              <w:t xml:space="preserve">RR = 4.0-6.0 (varies by study; 95% CI typically 2.0-12.0)</w:t>
            </w:r>
          </w:p>
        </w:tc>
      </w:tr>
      <w:tr>
        <w:tc>
          <w:tcPr>
            <w:tcW w:type="dxa" w:w="3400"/>
            <w:tcBorders>
              <w:top w:val="single" w:color="64748B" w:sz="8"/>
              <w:left w:val="single" w:color="64748B" w:sz="8"/>
              <w:bottom w:val="single" w:color="64748B" w:sz="8"/>
              <w:right w:val="single" w:color="64748B" w:sz="8"/>
            </w:tcBorders>
            <w:shd w:fill="FEF3C7" w:val="clear"/>
          </w:tcPr>
          <w:p>
            <w:r>
              <w:rPr>
                <w:sz w:val="20"/>
                <w:szCs w:val="20"/>
              </w:rPr>
              <w:t xml:space="preserve">Outcomes of intussusception cases</w:t>
            </w:r>
          </w:p>
        </w:tc>
        <w:tc>
          <w:tcPr>
            <w:tcW w:type="dxa" w:w="4800"/>
            <w:tcBorders>
              <w:top w:val="single" w:color="64748B" w:sz="8"/>
              <w:left w:val="single" w:color="64748B" w:sz="8"/>
              <w:bottom w:val="single" w:color="64748B" w:sz="8"/>
              <w:right w:val="single" w:color="64748B" w:sz="8"/>
            </w:tcBorders>
            <w:shd w:fill="FEF3C7" w:val="clear"/>
          </w:tcPr>
          <w:p>
            <w:r>
              <w:rPr>
                <w:sz w:val="20"/>
                <w:szCs w:val="20"/>
              </w:rPr>
              <w:t xml:space="preserve">&gt;90% resolve with enema reduction; &lt;10% require surgery; deaths very rare with prompt treatment</w:t>
            </w:r>
          </w:p>
        </w:tc>
      </w:tr>
    </w:tbl>
    <w:p>
      <w:r>
        <w:br w:type="page"/>
      </w:r>
    </w:p>
    <w:p>
      <w:pPr>
        <w:pStyle w:val="Heading1"/>
      </w:pPr>
      <w:r>
        <w:t xml:space="preserve">  EXERCISE 1: THERAPEUTIC CONTEXT (SBRF Domain 1)</w:t>
      </w:r>
    </w:p>
    <w:p>
      <w:pPr>
        <w:spacing w:after="200"/>
      </w:pPr>
      <w:r>
        <w:rPr>
          <w:b/>
          <w:bCs/>
        </w:rPr>
        <w:t xml:space="preserve">Instructions: </w:t>
      </w:r>
      <w:r>
        <w:t xml:space="preserve">Using the case briefing information, complete the therapeutic context section of the SBRF. Fill in the yellow highlighted cells with your responses.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000"/>
      </w:tblGrid>
      <w:tr>
        <w:trPr>
          <w:tblHeader/>
        </w:trPr>
        <w:tc>
          <w:tcPr>
            <w:tcW w:type="dxa" w:w="2200"/>
            <w:tcBorders>
              <w:top w:val="single" w:color="64748B" w:sz="8"/>
              <w:left w:val="single" w:color="64748B" w:sz="8"/>
              <w:bottom w:val="single" w:color="64748B" w:sz="8"/>
              <w:right w:val="single" w:color="64748B" w:sz="8"/>
            </w:tcBorders>
            <w:shd w:fill="0D9488" w:val="clear"/>
          </w:tcPr>
          <w:p>
            <w:r>
              <w:rPr>
                <w:b/>
                <w:bCs/>
                <w:color w:val="FFFFFF"/>
                <w:sz w:val="20"/>
                <w:szCs w:val="20"/>
              </w:rPr>
              <w:t xml:space="preserve">Element</w:t>
            </w:r>
          </w:p>
        </w:tc>
        <w:tc>
          <w:tcPr>
            <w:tcW w:type="dxa" w:w="6000"/>
            <w:tcBorders>
              <w:top w:val="single" w:color="64748B" w:sz="8"/>
              <w:left w:val="single" w:color="64748B" w:sz="8"/>
              <w:bottom w:val="single" w:color="64748B" w:sz="8"/>
              <w:right w:val="single" w:color="64748B" w:sz="8"/>
            </w:tcBorders>
            <w:shd w:fill="0D9488" w:val="clear"/>
          </w:tcPr>
          <w:p>
            <w:r>
              <w:rPr>
                <w:b/>
                <w:bCs/>
                <w:color w:val="FFFFFF"/>
                <w:sz w:val="20"/>
                <w:szCs w:val="20"/>
              </w:rPr>
              <w:t xml:space="preserve">Your Response</w:t>
            </w:r>
          </w:p>
        </w:tc>
      </w:tr>
      <w:tr>
        <w:tc>
          <w:tcPr>
            <w:tcW w:type="dxa" w:w="2200"/>
            <w:tcBorders>
              <w:top w:val="single" w:color="64748B" w:sz="8"/>
              <w:left w:val="single" w:color="64748B" w:sz="8"/>
              <w:bottom w:val="single" w:color="64748B" w:sz="8"/>
              <w:right w:val="single" w:color="64748B" w:sz="8"/>
            </w:tcBorders>
          </w:tcPr>
          <w:p>
            <w:r>
              <w:rPr>
                <w:b/>
                <w:bCs/>
                <w:sz w:val="20"/>
                <w:szCs w:val="20"/>
              </w:rPr>
              <w:t xml:space="preserve">Disease/Condition</w:t>
            </w:r>
          </w:p>
        </w:tc>
        <w:tc>
          <w:tcPr>
            <w:tcW w:type="dxa" w:w="6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[Describe the disease, natural history, and clinical course]</w:t>
            </w:r>
          </w:p>
        </w:tc>
      </w:tr>
      <w:tr>
        <w:tc>
          <w:tcPr>
            <w:tcW w:type="dxa" w:w="2200"/>
            <w:tcBorders>
              <w:top w:val="single" w:color="64748B" w:sz="8"/>
              <w:left w:val="single" w:color="64748B" w:sz="8"/>
              <w:bottom w:val="single" w:color="64748B" w:sz="8"/>
              <w:right w:val="single" w:color="64748B" w:sz="8"/>
            </w:tcBorders>
          </w:tcPr>
          <w:p>
            <w:r>
              <w:rPr>
                <w:b/>
                <w:bCs/>
                <w:sz w:val="20"/>
                <w:szCs w:val="20"/>
              </w:rPr>
              <w:t xml:space="preserve">Disease Severity</w:t>
            </w:r>
          </w:p>
        </w:tc>
        <w:tc>
          <w:tcPr>
            <w:tcW w:type="dxa" w:w="6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[Characterize morbidity and mortality impact]</w:t>
            </w:r>
          </w:p>
        </w:tc>
      </w:tr>
      <w:tr>
        <w:tc>
          <w:tcPr>
            <w:tcW w:type="dxa" w:w="2200"/>
            <w:tcBorders>
              <w:top w:val="single" w:color="64748B" w:sz="8"/>
              <w:left w:val="single" w:color="64748B" w:sz="8"/>
              <w:bottom w:val="single" w:color="64748B" w:sz="8"/>
              <w:right w:val="single" w:color="64748B" w:sz="8"/>
            </w:tcBorders>
          </w:tcPr>
          <w:p>
            <w:r>
              <w:rPr>
                <w:b/>
                <w:bCs/>
                <w:sz w:val="20"/>
                <w:szCs w:val="20"/>
              </w:rPr>
              <w:t xml:space="preserve">Target Population</w:t>
            </w:r>
          </w:p>
        </w:tc>
        <w:tc>
          <w:tcPr>
            <w:tcW w:type="dxa" w:w="6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[Identify the population for vaccination]</w:t>
            </w:r>
          </w:p>
        </w:tc>
      </w:tr>
      <w:tr>
        <w:tc>
          <w:tcPr>
            <w:tcW w:type="dxa" w:w="2200"/>
            <w:tcBorders>
              <w:top w:val="single" w:color="64748B" w:sz="8"/>
              <w:left w:val="single" w:color="64748B" w:sz="8"/>
              <w:bottom w:val="single" w:color="64748B" w:sz="8"/>
              <w:right w:val="single" w:color="64748B" w:sz="8"/>
            </w:tcBorders>
          </w:tcPr>
          <w:p>
            <w:r>
              <w:rPr>
                <w:b/>
                <w:bCs/>
                <w:sz w:val="20"/>
                <w:szCs w:val="20"/>
              </w:rPr>
              <w:t xml:space="preserve">Unmet Medical Need</w:t>
            </w:r>
          </w:p>
        </w:tc>
        <w:tc>
          <w:tcPr>
            <w:tcW w:type="dxa" w:w="6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[Explain why this vaccine addresses an important need]</w:t>
            </w:r>
          </w:p>
        </w:tc>
      </w:tr>
      <w:tr>
        <w:tc>
          <w:tcPr>
            <w:tcW w:type="dxa" w:w="2200"/>
            <w:tcBorders>
              <w:top w:val="single" w:color="64748B" w:sz="8"/>
              <w:left w:val="single" w:color="64748B" w:sz="8"/>
              <w:bottom w:val="single" w:color="64748B" w:sz="8"/>
              <w:right w:val="single" w:color="64748B" w:sz="8"/>
            </w:tcBorders>
          </w:tcPr>
          <w:p>
            <w:r>
              <w:rPr>
                <w:b/>
                <w:bCs/>
                <w:sz w:val="20"/>
                <w:szCs w:val="20"/>
              </w:rPr>
              <w:t xml:space="preserve">Alternative Interventions</w:t>
            </w:r>
          </w:p>
        </w:tc>
        <w:tc>
          <w:tcPr>
            <w:tcW w:type="dxa" w:w="6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[List other prevention/treatment options and their limitations]</w:t>
            </w:r>
          </w:p>
        </w:tc>
      </w:tr>
    </w:tbl>
    <w:p>
      <w:pPr>
        <w:spacing w:before="300" w:after="100"/>
      </w:pPr>
      <w:r>
        <w:rPr>
          <w:b/>
          <w:bCs/>
          <w:color w:val="7C3AED"/>
        </w:rPr>
        <w:t xml:space="preserve">◆ CHECKPOINT QUESTION</w:t>
      </w:r>
    </w:p>
    <w:p>
      <w:pPr>
        <w:spacing w:after="100"/>
      </w:pPr>
      <w:r>
        <w:rPr>
          <w:i/>
          <w:iCs/>
        </w:rPr>
        <w:t xml:space="preserve">Why does the global disease burden differ so dramatically from the US burden? How might this affect the benefit-risk balance in different settings?</w:t>
      </w:r>
    </w:p>
    <w:p>
      <w:pPr>
        <w:shd w:fill="FEF9C3" w:val="clear"/>
        <w:spacing w:after="200"/>
      </w:pPr>
      <w:r>
        <w:rPr>
          <w:i/>
          <w:iCs/>
          <w:color w:val="64748B"/>
        </w:rPr>
        <w:t xml:space="preserve">[Your response]</w:t>
      </w:r>
    </w:p>
    <w:p>
      <w:r>
        <w:br w:type="page"/>
      </w:r>
    </w:p>
    <w:p>
      <w:pPr>
        <w:pStyle w:val="Heading1"/>
      </w:pPr>
      <w:r>
        <w:t xml:space="preserve">  EXERCISE 2: EFFECTS TABLE CONSTRUCTION</w:t>
      </w:r>
    </w:p>
    <w:p>
      <w:pPr>
        <w:spacing w:after="200"/>
      </w:pPr>
      <w:r>
        <w:rPr>
          <w:b/>
          <w:bCs/>
        </w:rPr>
        <w:t xml:space="preserve">Instructions: </w:t>
      </w:r>
      <w:r>
        <w:t xml:space="preserve">Complete the Effects Table below using data from the case briefing. Calculate the difference columns and identify the data source. For risks, express the attributable risk in terms that facilitate comparison with benefits.</w:t>
      </w:r>
    </w:p>
    <w:p>
      <w:pPr>
        <w:pStyle w:val="Heading3"/>
      </w:pPr>
      <w:r>
        <w:t xml:space="preserve">Benefits Section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400"/>
        <w:gridCol w:w="1200"/>
        <w:gridCol w:w="1200"/>
      </w:tblGrid>
      <w:tr>
        <w:trPr>
          <w:tblHeader/>
        </w:trPr>
        <w:tc>
          <w:tcPr>
            <w:tcW w:type="dxa" w:w="2000"/>
            <w:tcBorders>
              <w:top w:val="single" w:color="64748B" w:sz="8"/>
              <w:left w:val="single" w:color="64748B" w:sz="8"/>
              <w:bottom w:val="single" w:color="64748B" w:sz="8"/>
              <w:right w:val="single" w:color="64748B" w:sz="8"/>
            </w:tcBorders>
            <w:shd w:fill="16A34A" w:val="clear"/>
          </w:tcPr>
          <w:p>
            <w:pPr>
              <w:jc w:val="center"/>
            </w:pPr>
            <w:r>
              <w:rPr>
                <w:b/>
                <w:bCs/>
                <w:color w:val="FFFFFF"/>
                <w:sz w:val="18"/>
                <w:szCs w:val="18"/>
              </w:rPr>
              <w:t xml:space="preserve">Outcome</w:t>
            </w:r>
          </w:p>
        </w:tc>
        <w:tc>
          <w:tcPr>
            <w:tcW w:type="dxa" w:w="1200"/>
            <w:tcBorders>
              <w:top w:val="single" w:color="64748B" w:sz="8"/>
              <w:left w:val="single" w:color="64748B" w:sz="8"/>
              <w:bottom w:val="single" w:color="64748B" w:sz="8"/>
              <w:right w:val="single" w:color="64748B" w:sz="8"/>
            </w:tcBorders>
            <w:shd w:fill="16A34A" w:val="clear"/>
          </w:tcPr>
          <w:p>
            <w:pPr>
              <w:jc w:val="center"/>
            </w:pPr>
            <w:r>
              <w:rPr>
                <w:b/>
                <w:bCs/>
                <w:color w:val="FFFFFF"/>
                <w:sz w:val="18"/>
                <w:szCs w:val="18"/>
              </w:rPr>
              <w:t xml:space="preserve">Vaccine</w:t>
            </w:r>
          </w:p>
        </w:tc>
        <w:tc>
          <w:tcPr>
            <w:tcW w:type="dxa" w:w="1200"/>
            <w:tcBorders>
              <w:top w:val="single" w:color="64748B" w:sz="8"/>
              <w:left w:val="single" w:color="64748B" w:sz="8"/>
              <w:bottom w:val="single" w:color="64748B" w:sz="8"/>
              <w:right w:val="single" w:color="64748B" w:sz="8"/>
            </w:tcBorders>
            <w:shd w:fill="16A34A" w:val="clear"/>
          </w:tcPr>
          <w:p>
            <w:pPr>
              <w:jc w:val="center"/>
            </w:pPr>
            <w:r>
              <w:rPr>
                <w:b/>
                <w:bCs/>
                <w:color w:val="FFFFFF"/>
                <w:sz w:val="18"/>
                <w:szCs w:val="18"/>
              </w:rPr>
              <w:t xml:space="preserve">Placebo</w:t>
            </w:r>
          </w:p>
        </w:tc>
        <w:tc>
          <w:tcPr>
            <w:tcW w:type="dxa" w:w="1400"/>
            <w:tcBorders>
              <w:top w:val="single" w:color="64748B" w:sz="8"/>
              <w:left w:val="single" w:color="64748B" w:sz="8"/>
              <w:bottom w:val="single" w:color="64748B" w:sz="8"/>
              <w:right w:val="single" w:color="64748B" w:sz="8"/>
            </w:tcBorders>
            <w:shd w:fill="16A34A" w:val="clear"/>
          </w:tcPr>
          <w:p>
            <w:pPr>
              <w:jc w:val="center"/>
            </w:pPr>
            <w:r>
              <w:rPr>
                <w:b/>
                <w:bCs/>
                <w:color w:val="FFFFFF"/>
                <w:sz w:val="18"/>
                <w:szCs w:val="18"/>
              </w:rPr>
              <w:t xml:space="preserve">Efficacy</w:t>
            </w:r>
          </w:p>
        </w:tc>
        <w:tc>
          <w:tcPr>
            <w:tcW w:type="dxa" w:w="1200"/>
            <w:tcBorders>
              <w:top w:val="single" w:color="64748B" w:sz="8"/>
              <w:left w:val="single" w:color="64748B" w:sz="8"/>
              <w:bottom w:val="single" w:color="64748B" w:sz="8"/>
              <w:right w:val="single" w:color="64748B" w:sz="8"/>
            </w:tcBorders>
            <w:shd w:fill="16A34A" w:val="clear"/>
          </w:tcPr>
          <w:p>
            <w:pPr>
              <w:jc w:val="center"/>
            </w:pPr>
            <w:r>
              <w:rPr>
                <w:b/>
                <w:bCs/>
                <w:color w:val="FFFFFF"/>
                <w:sz w:val="18"/>
                <w:szCs w:val="18"/>
              </w:rPr>
              <w:t xml:space="preserve">NNV</w:t>
            </w:r>
          </w:p>
        </w:tc>
        <w:tc>
          <w:tcPr>
            <w:tcW w:type="dxa" w:w="1200"/>
            <w:tcBorders>
              <w:top w:val="single" w:color="64748B" w:sz="8"/>
              <w:left w:val="single" w:color="64748B" w:sz="8"/>
              <w:bottom w:val="single" w:color="64748B" w:sz="8"/>
              <w:right w:val="single" w:color="64748B" w:sz="8"/>
            </w:tcBorders>
            <w:shd w:fill="16A34A" w:val="clear"/>
          </w:tcPr>
          <w:p>
            <w:pPr>
              <w:jc w:val="center"/>
            </w:pPr>
            <w:r>
              <w:rPr>
                <w:b/>
                <w:bCs/>
                <w:color w:val="FFFFFF"/>
                <w:sz w:val="18"/>
                <w:szCs w:val="18"/>
              </w:rPr>
              <w:t xml:space="preserve">Source</w:t>
            </w:r>
          </w:p>
        </w:tc>
      </w:tr>
      <w:tr>
        <w:tc>
          <w:tcPr>
            <w:tcW w:type="dxa" w:w="2000"/>
            <w:tcBorders>
              <w:top w:val="single" w:color="64748B" w:sz="8"/>
              <w:left w:val="single" w:color="64748B" w:sz="8"/>
              <w:bottom w:val="single" w:color="64748B" w:sz="8"/>
              <w:right w:val="single" w:color="64748B" w:sz="8"/>
            </w:tcBorders>
          </w:tcPr>
          <w:p>
            <w:r>
              <w:rPr>
                <w:sz w:val="18"/>
                <w:szCs w:val="18"/>
              </w:rPr>
              <w:t xml:space="preserve">Severe rotavirus GE prevented</w:t>
            </w:r>
          </w:p>
        </w:tc>
        <w:tc>
          <w:tcPr>
            <w:tcW w:type="dxa" w:w="1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
            </w:r>
          </w:p>
        </w:tc>
        <w:tc>
          <w:tcPr>
            <w:tcW w:type="dxa" w:w="1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
            </w:r>
          </w:p>
        </w:tc>
        <w:tc>
          <w:tcPr>
            <w:tcW w:type="dxa" w:w="14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
            </w:r>
          </w:p>
        </w:tc>
        <w:tc>
          <w:tcPr>
            <w:tcW w:type="dxa" w:w="1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[calc]</w:t>
            </w:r>
          </w:p>
        </w:tc>
        <w:tc>
          <w:tcPr>
            <w:tcW w:type="dxa" w:w="1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
            </w:r>
          </w:p>
        </w:tc>
      </w:tr>
      <w:tr>
        <w:tc>
          <w:tcPr>
            <w:tcW w:type="dxa" w:w="2000"/>
            <w:tcBorders>
              <w:top w:val="single" w:color="64748B" w:sz="8"/>
              <w:left w:val="single" w:color="64748B" w:sz="8"/>
              <w:bottom w:val="single" w:color="64748B" w:sz="8"/>
              <w:right w:val="single" w:color="64748B" w:sz="8"/>
            </w:tcBorders>
          </w:tcPr>
          <w:p>
            <w:r>
              <w:rPr>
                <w:sz w:val="18"/>
                <w:szCs w:val="18"/>
              </w:rPr>
              <w:t xml:space="preserve">Hospitalizations prevented</w:t>
            </w:r>
          </w:p>
        </w:tc>
        <w:tc>
          <w:tcPr>
            <w:tcW w:type="dxa" w:w="1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
            </w:r>
          </w:p>
        </w:tc>
        <w:tc>
          <w:tcPr>
            <w:tcW w:type="dxa" w:w="1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
            </w:r>
          </w:p>
        </w:tc>
        <w:tc>
          <w:tcPr>
            <w:tcW w:type="dxa" w:w="14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
            </w:r>
          </w:p>
        </w:tc>
        <w:tc>
          <w:tcPr>
            <w:tcW w:type="dxa" w:w="1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[calc]</w:t>
            </w:r>
          </w:p>
        </w:tc>
        <w:tc>
          <w:tcPr>
            <w:tcW w:type="dxa" w:w="1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
            </w:r>
          </w:p>
        </w:tc>
      </w:tr>
    </w:tbl>
    <w:p>
      <w:pPr>
        <w:spacing w:before="100" w:after="100"/>
      </w:pPr>
      <w:r>
        <w:rPr>
          <w:i/>
          <w:iCs/>
          <w:color w:val="64748B"/>
          <w:sz w:val="18"/>
          <w:szCs w:val="18"/>
        </w:rPr>
        <w:t xml:space="preserve">NNV = Number Needed to Vaccinate (to prevent one case)</w:t>
      </w:r>
    </w:p>
    <w:p>
      <w:pPr>
        <w:pStyle w:val="Heading3"/>
        <w:spacing w:before="200"/>
      </w:pPr>
      <w:r>
        <w:t xml:space="preserve">Risks Section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1600"/>
      </w:tblGrid>
      <w:tr>
        <w:trPr>
          <w:tblHeader/>
        </w:trPr>
        <w:tc>
          <w:tcPr>
            <w:tcW w:type="dxa" w:w="2000"/>
            <w:tcBorders>
              <w:top w:val="single" w:color="64748B" w:sz="8"/>
              <w:left w:val="single" w:color="64748B" w:sz="8"/>
              <w:bottom w:val="single" w:color="64748B" w:sz="8"/>
              <w:right w:val="single" w:color="64748B" w:sz="8"/>
            </w:tcBorders>
            <w:shd w:fill="D97706" w:val="clear"/>
          </w:tcPr>
          <w:p>
            <w:pPr>
              <w:jc w:val="center"/>
            </w:pPr>
            <w:r>
              <w:rPr>
                <w:b/>
                <w:bCs/>
                <w:color w:val="FFFFFF"/>
                <w:sz w:val="18"/>
                <w:szCs w:val="18"/>
              </w:rPr>
              <w:t xml:space="preserve">Adverse Event</w:t>
            </w:r>
          </w:p>
        </w:tc>
        <w:tc>
          <w:tcPr>
            <w:tcW w:type="dxa" w:w="1600"/>
            <w:tcBorders>
              <w:top w:val="single" w:color="64748B" w:sz="8"/>
              <w:left w:val="single" w:color="64748B" w:sz="8"/>
              <w:bottom w:val="single" w:color="64748B" w:sz="8"/>
              <w:right w:val="single" w:color="64748B" w:sz="8"/>
            </w:tcBorders>
            <w:shd w:fill="D97706" w:val="clear"/>
          </w:tcPr>
          <w:p>
            <w:pPr>
              <w:jc w:val="center"/>
            </w:pPr>
            <w:r>
              <w:rPr>
                <w:b/>
                <w:bCs/>
                <w:color w:val="FFFFFF"/>
                <w:sz w:val="18"/>
                <w:szCs w:val="18"/>
              </w:rPr>
              <w:t xml:space="preserve">Attributable Risk</w:t>
            </w:r>
          </w:p>
        </w:tc>
        <w:tc>
          <w:tcPr>
            <w:tcW w:type="dxa" w:w="1600"/>
            <w:tcBorders>
              <w:top w:val="single" w:color="64748B" w:sz="8"/>
              <w:left w:val="single" w:color="64748B" w:sz="8"/>
              <w:bottom w:val="single" w:color="64748B" w:sz="8"/>
              <w:right w:val="single" w:color="64748B" w:sz="8"/>
            </w:tcBorders>
            <w:shd w:fill="D97706" w:val="clear"/>
          </w:tcPr>
          <w:p>
            <w:pPr>
              <w:jc w:val="center"/>
            </w:pPr>
            <w:r>
              <w:rPr>
                <w:b/>
                <w:bCs/>
                <w:color w:val="FFFFFF"/>
                <w:sz w:val="18"/>
                <w:szCs w:val="18"/>
              </w:rPr>
              <w:t xml:space="preserve">NNH</w:t>
            </w:r>
          </w:p>
        </w:tc>
        <w:tc>
          <w:tcPr>
            <w:tcW w:type="dxa" w:w="1400"/>
            <w:tcBorders>
              <w:top w:val="single" w:color="64748B" w:sz="8"/>
              <w:left w:val="single" w:color="64748B" w:sz="8"/>
              <w:bottom w:val="single" w:color="64748B" w:sz="8"/>
              <w:right w:val="single" w:color="64748B" w:sz="8"/>
            </w:tcBorders>
            <w:shd w:fill="D97706" w:val="clear"/>
          </w:tcPr>
          <w:p>
            <w:pPr>
              <w:jc w:val="center"/>
            </w:pPr>
            <w:r>
              <w:rPr>
                <w:b/>
                <w:bCs/>
                <w:color w:val="FFFFFF"/>
                <w:sz w:val="18"/>
                <w:szCs w:val="18"/>
              </w:rPr>
              <w:t xml:space="preserve">Severity</w:t>
            </w:r>
          </w:p>
        </w:tc>
        <w:tc>
          <w:tcPr>
            <w:tcW w:type="dxa" w:w="1600"/>
            <w:tcBorders>
              <w:top w:val="single" w:color="64748B" w:sz="8"/>
              <w:left w:val="single" w:color="64748B" w:sz="8"/>
              <w:bottom w:val="single" w:color="64748B" w:sz="8"/>
              <w:right w:val="single" w:color="64748B" w:sz="8"/>
            </w:tcBorders>
            <w:shd w:fill="D97706" w:val="clear"/>
          </w:tcPr>
          <w:p>
            <w:pPr>
              <w:jc w:val="center"/>
            </w:pPr>
            <w:r>
              <w:rPr>
                <w:b/>
                <w:bCs/>
                <w:color w:val="FFFFFF"/>
                <w:sz w:val="18"/>
                <w:szCs w:val="18"/>
              </w:rPr>
              <w:t xml:space="preserve">Source</w:t>
            </w:r>
          </w:p>
        </w:tc>
      </w:tr>
      <w:tr>
        <w:tc>
          <w:tcPr>
            <w:tcW w:type="dxa" w:w="2000"/>
            <w:tcBorders>
              <w:top w:val="single" w:color="64748B" w:sz="8"/>
              <w:left w:val="single" w:color="64748B" w:sz="8"/>
              <w:bottom w:val="single" w:color="64748B" w:sz="8"/>
              <w:right w:val="single" w:color="64748B" w:sz="8"/>
            </w:tcBorders>
          </w:tcPr>
          <w:p>
            <w:r>
              <w:rPr>
                <w:sz w:val="18"/>
                <w:szCs w:val="18"/>
              </w:rPr>
              <w:t xml:space="preserve">Intussusception (post-Dose 1)</w:t>
            </w:r>
          </w:p>
        </w:tc>
        <w:tc>
          <w:tcPr>
            <w:tcW w:type="dxa" w:w="16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
            </w:r>
          </w:p>
        </w:tc>
        <w:tc>
          <w:tcPr>
            <w:tcW w:type="dxa" w:w="16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[calc]</w:t>
            </w:r>
          </w:p>
        </w:tc>
        <w:tc>
          <w:tcPr>
            <w:tcW w:type="dxa" w:w="14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
            </w:r>
          </w:p>
        </w:tc>
        <w:tc>
          <w:tcPr>
            <w:tcW w:type="dxa" w:w="16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
            </w:r>
          </w:p>
        </w:tc>
      </w:tr>
    </w:tbl>
    <w:p>
      <w:pPr>
        <w:spacing w:before="100" w:after="100"/>
      </w:pPr>
      <w:r>
        <w:rPr>
          <w:i/>
          <w:iCs/>
          <w:color w:val="64748B"/>
          <w:sz w:val="18"/>
          <w:szCs w:val="18"/>
        </w:rPr>
        <w:t xml:space="preserve">NNH = Number Needed to Harm (number vaccinated for one additional case)</w:t>
      </w:r>
    </w:p>
    <w:p>
      <w:pPr>
        <w:spacing w:before="200" w:after="100"/>
      </w:pPr>
      <w:r>
        <w:rPr>
          <w:b/>
          <w:bCs/>
          <w:color w:val="D97706"/>
        </w:rPr>
        <w:t xml:space="preserve">⚠ CALCULATION GUIDANCE</w:t>
      </w:r>
    </w:p>
    <w:p>
      <w:pPr>
        <w:spacing w:after="200"/>
      </w:pPr>
      <w:r>
        <w:rPr>
          <w:b/>
          <w:bCs/>
        </w:rPr>
        <w:t xml:space="preserve">NNV calculation: </w:t>
      </w:r>
      <w:r>
        <w:t xml:space="preserve">NNV = 1 / (Absolute Risk Reduction). If efficacy is 98% against severe disease and the baseline risk is 1.8% (51/2839), then ARR = 0.018 × 0.98 = 0.0176, and NNV = 1/0.0176 ≈ 57.</w:t>
      </w:r>
    </w:p>
    <w:p>
      <w:pPr>
        <w:spacing w:after="200"/>
      </w:pPr>
      <w:r>
        <w:rPr>
          <w:b/>
          <w:bCs/>
        </w:rPr>
        <w:t xml:space="preserve">NNH calculation: </w:t>
      </w:r>
      <w:r>
        <w:t xml:space="preserve">NNH = 1 / (Attributable Risk). If attributable risk is 1.5 per 100,000, then NNH = 100,000/1.5 ≈ 67,000.</w:t>
      </w:r>
    </w:p>
    <w:p>
      <w:r>
        <w:br w:type="page"/>
      </w:r>
    </w:p>
    <w:p>
      <w:pPr>
        <w:pStyle w:val="Heading1"/>
      </w:pPr>
      <w:r>
        <w:t xml:space="preserve">  EXERCISE 3: BENEFIT-RISK BALANCE CALCULATION</w:t>
      </w:r>
    </w:p>
    <w:p>
      <w:pPr>
        <w:spacing w:after="200"/>
      </w:pPr>
      <w:r>
        <w:rPr>
          <w:b/>
          <w:bCs/>
        </w:rPr>
        <w:t xml:space="preserve">Instructions: </w:t>
      </w:r>
      <w:r>
        <w:t xml:space="preserve">Using your Effects Table data, calculate the net benefit-risk balance per 100,000 vaccinated infants. This exercise demonstrates how to express benefits and risks on a common scale for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200"/>
      </w:tblGrid>
      <w:tr>
        <w:trPr>
          <w:tblHeader/>
        </w:trPr>
        <w:tc>
          <w:tcPr>
            <w:tcW w:type="dxa" w:w="4000"/>
            <w:tcBorders>
              <w:top w:val="single" w:color="64748B" w:sz="8"/>
              <w:left w:val="single" w:color="64748B" w:sz="8"/>
              <w:bottom w:val="single" w:color="64748B" w:sz="8"/>
              <w:right w:val="single" w:color="64748B" w:sz="8"/>
            </w:tcBorders>
            <w:shd w:fill="1A365D" w:val="clear"/>
          </w:tcPr>
          <w:p>
            <w:r>
              <w:rPr>
                <w:b/>
                <w:bCs/>
                <w:color w:val="FFFFFF"/>
                <w:sz w:val="20"/>
                <w:szCs w:val="20"/>
              </w:rPr>
              <w:t xml:space="preserve">Outcome (per 100,000 vaccinated)</w:t>
            </w:r>
          </w:p>
        </w:tc>
        <w:tc>
          <w:tcPr>
            <w:tcW w:type="dxa" w:w="2000"/>
            <w:tcBorders>
              <w:top w:val="single" w:color="64748B" w:sz="8"/>
              <w:left w:val="single" w:color="64748B" w:sz="8"/>
              <w:bottom w:val="single" w:color="64748B" w:sz="8"/>
              <w:right w:val="single" w:color="64748B" w:sz="8"/>
            </w:tcBorders>
            <w:shd w:fill="1A365D" w:val="clear"/>
          </w:tcPr>
          <w:p>
            <w:pPr>
              <w:jc w:val="center"/>
            </w:pPr>
            <w:r>
              <w:rPr>
                <w:b/>
                <w:bCs/>
                <w:color w:val="FFFFFF"/>
                <w:sz w:val="20"/>
                <w:szCs w:val="20"/>
              </w:rPr>
              <w:t xml:space="preserve">Number</w:t>
            </w:r>
          </w:p>
        </w:tc>
        <w:tc>
          <w:tcPr>
            <w:tcW w:type="dxa" w:w="2200"/>
            <w:tcBorders>
              <w:top w:val="single" w:color="64748B" w:sz="8"/>
              <w:left w:val="single" w:color="64748B" w:sz="8"/>
              <w:bottom w:val="single" w:color="64748B" w:sz="8"/>
              <w:right w:val="single" w:color="64748B" w:sz="8"/>
            </w:tcBorders>
            <w:shd w:fill="1A365D" w:val="clear"/>
          </w:tcPr>
          <w:p>
            <w:pPr>
              <w:jc w:val="center"/>
            </w:pPr>
            <w:r>
              <w:rPr>
                <w:b/>
                <w:bCs/>
                <w:color w:val="FFFFFF"/>
                <w:sz w:val="20"/>
                <w:szCs w:val="20"/>
              </w:rPr>
              <w:t xml:space="preserve">Direction</w:t>
            </w:r>
          </w:p>
        </w:tc>
      </w:tr>
      <w:tr>
        <w:tc>
          <w:tcPr>
            <w:gridSpan w:val="3"/>
            <w:tcBorders>
              <w:top w:val="single" w:color="64748B" w:sz="8"/>
              <w:left w:val="single" w:color="64748B" w:sz="8"/>
              <w:bottom w:val="single" w:color="64748B" w:sz="8"/>
              <w:right w:val="single" w:color="64748B" w:sz="8"/>
            </w:tcBorders>
            <w:shd w:fill="DCFCE7" w:val="clear"/>
          </w:tcPr>
          <w:p>
            <w:r>
              <w:rPr>
                <w:b/>
                <w:bCs/>
                <w:color w:val="16A34A"/>
                <w:sz w:val="20"/>
                <w:szCs w:val="20"/>
              </w:rPr>
              <w:t xml:space="preserve">BENEFITS (Outcomes Prevented)</w:t>
            </w:r>
          </w:p>
        </w:tc>
      </w:tr>
      <w:tr>
        <w:tc>
          <w:tcPr>
            <w:tcW w:type="dxa" w:w="4000"/>
            <w:tcBorders>
              <w:top w:val="single" w:color="64748B" w:sz="8"/>
              <w:left w:val="single" w:color="64748B" w:sz="8"/>
              <w:bottom w:val="single" w:color="64748B" w:sz="8"/>
              <w:right w:val="single" w:color="64748B" w:sz="8"/>
            </w:tcBorders>
          </w:tcPr>
          <w:p>
            <w:r>
              <w:rPr>
                <w:sz w:val="20"/>
                <w:szCs w:val="20"/>
              </w:rPr>
              <w:t xml:space="preserve">Severe rotavirus cases prevented</w:t>
            </w:r>
          </w:p>
        </w:tc>
        <w:tc>
          <w:tcPr>
            <w:tcW w:type="dxa" w:w="2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[calculate]</w:t>
            </w:r>
          </w:p>
        </w:tc>
        <w:tc>
          <w:tcPr>
            <w:tcW w:type="dxa" w:w="2200"/>
            <w:tcBorders>
              <w:top w:val="single" w:color="64748B" w:sz="8"/>
              <w:left w:val="single" w:color="64748B" w:sz="8"/>
              <w:bottom w:val="single" w:color="64748B" w:sz="8"/>
              <w:right w:val="single" w:color="64748B" w:sz="8"/>
            </w:tcBorders>
          </w:tcPr>
          <w:p>
            <w:pPr>
              <w:jc w:val="center"/>
            </w:pPr>
            <w:r>
              <w:rPr>
                <w:color w:val="16A34A"/>
                <w:sz w:val="20"/>
                <w:szCs w:val="20"/>
              </w:rPr>
              <w:t xml:space="preserve">+ (Benefit)</w:t>
            </w:r>
          </w:p>
        </w:tc>
      </w:tr>
      <w:tr>
        <w:tc>
          <w:tcPr>
            <w:tcW w:type="dxa" w:w="4000"/>
            <w:tcBorders>
              <w:top w:val="single" w:color="64748B" w:sz="8"/>
              <w:left w:val="single" w:color="64748B" w:sz="8"/>
              <w:bottom w:val="single" w:color="64748B" w:sz="8"/>
              <w:right w:val="single" w:color="64748B" w:sz="8"/>
            </w:tcBorders>
          </w:tcPr>
          <w:p>
            <w:r>
              <w:rPr>
                <w:sz w:val="20"/>
                <w:szCs w:val="20"/>
              </w:rPr>
              <w:t xml:space="preserve">Hospitalizations prevented</w:t>
            </w:r>
          </w:p>
        </w:tc>
        <w:tc>
          <w:tcPr>
            <w:tcW w:type="dxa" w:w="2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[calculate]</w:t>
            </w:r>
          </w:p>
        </w:tc>
        <w:tc>
          <w:tcPr>
            <w:tcW w:type="dxa" w:w="2200"/>
            <w:tcBorders>
              <w:top w:val="single" w:color="64748B" w:sz="8"/>
              <w:left w:val="single" w:color="64748B" w:sz="8"/>
              <w:bottom w:val="single" w:color="64748B" w:sz="8"/>
              <w:right w:val="single" w:color="64748B" w:sz="8"/>
            </w:tcBorders>
          </w:tcPr>
          <w:p>
            <w:pPr>
              <w:jc w:val="center"/>
            </w:pPr>
            <w:r>
              <w:rPr>
                <w:color w:val="16A34A"/>
                <w:sz w:val="20"/>
                <w:szCs w:val="20"/>
              </w:rPr>
              <w:t xml:space="preserve">+ (Benefit)</w:t>
            </w:r>
          </w:p>
        </w:tc>
      </w:tr>
      <w:tr>
        <w:tc>
          <w:tcPr>
            <w:tcW w:type="dxa" w:w="4000"/>
            <w:tcBorders>
              <w:top w:val="single" w:color="64748B" w:sz="8"/>
              <w:left w:val="single" w:color="64748B" w:sz="8"/>
              <w:bottom w:val="single" w:color="64748B" w:sz="8"/>
              <w:right w:val="single" w:color="64748B" w:sz="8"/>
            </w:tcBorders>
          </w:tcPr>
          <w:p>
            <w:r>
              <w:rPr>
                <w:sz w:val="20"/>
                <w:szCs w:val="20"/>
              </w:rPr>
              <w:t xml:space="preserve">Deaths prevented (US estimate)</w:t>
            </w:r>
          </w:p>
        </w:tc>
        <w:tc>
          <w:tcPr>
            <w:tcW w:type="dxa" w:w="2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[calculate]</w:t>
            </w:r>
          </w:p>
        </w:tc>
        <w:tc>
          <w:tcPr>
            <w:tcW w:type="dxa" w:w="2200"/>
            <w:tcBorders>
              <w:top w:val="single" w:color="64748B" w:sz="8"/>
              <w:left w:val="single" w:color="64748B" w:sz="8"/>
              <w:bottom w:val="single" w:color="64748B" w:sz="8"/>
              <w:right w:val="single" w:color="64748B" w:sz="8"/>
            </w:tcBorders>
          </w:tcPr>
          <w:p>
            <w:pPr>
              <w:jc w:val="center"/>
            </w:pPr>
            <w:r>
              <w:rPr>
                <w:color w:val="16A34A"/>
                <w:sz w:val="20"/>
                <w:szCs w:val="20"/>
              </w:rPr>
              <w:t xml:space="preserve">+ (Benefit)</w:t>
            </w:r>
          </w:p>
        </w:tc>
      </w:tr>
      <w:tr>
        <w:tc>
          <w:tcPr>
            <w:gridSpan w:val="3"/>
            <w:tcBorders>
              <w:top w:val="single" w:color="64748B" w:sz="8"/>
              <w:left w:val="single" w:color="64748B" w:sz="8"/>
              <w:bottom w:val="single" w:color="64748B" w:sz="8"/>
              <w:right w:val="single" w:color="64748B" w:sz="8"/>
            </w:tcBorders>
            <w:shd w:fill="FEF3C7" w:val="clear"/>
          </w:tcPr>
          <w:p>
            <w:r>
              <w:rPr>
                <w:b/>
                <w:bCs/>
                <w:color w:val="D97706"/>
                <w:sz w:val="20"/>
                <w:szCs w:val="20"/>
              </w:rPr>
              <w:t xml:space="preserve">RISKS (Adverse Events Caused)</w:t>
            </w:r>
          </w:p>
        </w:tc>
      </w:tr>
      <w:tr>
        <w:tc>
          <w:tcPr>
            <w:tcW w:type="dxa" w:w="4000"/>
            <w:tcBorders>
              <w:top w:val="single" w:color="64748B" w:sz="8"/>
              <w:left w:val="single" w:color="64748B" w:sz="8"/>
              <w:bottom w:val="single" w:color="64748B" w:sz="8"/>
              <w:right w:val="single" w:color="64748B" w:sz="8"/>
            </w:tcBorders>
          </w:tcPr>
          <w:p>
            <w:r>
              <w:rPr>
                <w:sz w:val="20"/>
                <w:szCs w:val="20"/>
              </w:rPr>
              <w:t xml:space="preserve">Intussusception cases caused</w:t>
            </w:r>
          </w:p>
        </w:tc>
        <w:tc>
          <w:tcPr>
            <w:tcW w:type="dxa" w:w="2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[from data]</w:t>
            </w:r>
          </w:p>
        </w:tc>
        <w:tc>
          <w:tcPr>
            <w:tcW w:type="dxa" w:w="2200"/>
            <w:tcBorders>
              <w:top w:val="single" w:color="64748B" w:sz="8"/>
              <w:left w:val="single" w:color="64748B" w:sz="8"/>
              <w:bottom w:val="single" w:color="64748B" w:sz="8"/>
              <w:right w:val="single" w:color="64748B" w:sz="8"/>
            </w:tcBorders>
          </w:tcPr>
          <w:p>
            <w:pPr>
              <w:jc w:val="center"/>
            </w:pPr>
            <w:r>
              <w:rPr>
                <w:color w:val="D97706"/>
                <w:sz w:val="20"/>
                <w:szCs w:val="20"/>
              </w:rPr>
              <w:t xml:space="preserve">– (Risk)</w:t>
            </w:r>
          </w:p>
        </w:tc>
      </w:tr>
      <w:tr>
        <w:tc>
          <w:tcPr>
            <w:tcW w:type="dxa" w:w="4000"/>
            <w:tcBorders>
              <w:top w:val="single" w:color="64748B" w:sz="8"/>
              <w:left w:val="single" w:color="64748B" w:sz="8"/>
              <w:bottom w:val="single" w:color="64748B" w:sz="8"/>
              <w:right w:val="single" w:color="64748B" w:sz="8"/>
            </w:tcBorders>
          </w:tcPr>
          <w:p>
            <w:r>
              <w:rPr>
                <w:sz w:val="20"/>
                <w:szCs w:val="20"/>
              </w:rPr>
              <w:t xml:space="preserve">Intussusception surgeries (estimate)</w:t>
            </w:r>
          </w:p>
        </w:tc>
        <w:tc>
          <w:tcPr>
            <w:tcW w:type="dxa" w:w="2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[calculate]</w:t>
            </w:r>
          </w:p>
        </w:tc>
        <w:tc>
          <w:tcPr>
            <w:tcW w:type="dxa" w:w="2200"/>
            <w:tcBorders>
              <w:top w:val="single" w:color="64748B" w:sz="8"/>
              <w:left w:val="single" w:color="64748B" w:sz="8"/>
              <w:bottom w:val="single" w:color="64748B" w:sz="8"/>
              <w:right w:val="single" w:color="64748B" w:sz="8"/>
            </w:tcBorders>
          </w:tcPr>
          <w:p>
            <w:pPr>
              <w:jc w:val="center"/>
            </w:pPr>
            <w:r>
              <w:rPr>
                <w:color w:val="D97706"/>
                <w:sz w:val="20"/>
                <w:szCs w:val="20"/>
              </w:rPr>
              <w:t xml:space="preserve">– (Risk)</w:t>
            </w:r>
          </w:p>
        </w:tc>
      </w:tr>
      <w:tr>
        <w:tc>
          <w:tcPr>
            <w:tcW w:type="dxa" w:w="4000"/>
            <w:tcBorders>
              <w:top w:val="single" w:color="64748B" w:sz="8"/>
              <w:left w:val="single" w:color="64748B" w:sz="8"/>
              <w:bottom w:val="single" w:color="64748B" w:sz="8"/>
              <w:right w:val="single" w:color="64748B" w:sz="8"/>
            </w:tcBorders>
          </w:tcPr>
          <w:p>
            <w:r>
              <w:rPr>
                <w:sz w:val="20"/>
                <w:szCs w:val="20"/>
              </w:rPr>
              <w:t xml:space="preserve">Intussusception deaths (estimate)</w:t>
            </w:r>
          </w:p>
        </w:tc>
        <w:tc>
          <w:tcPr>
            <w:tcW w:type="dxa" w:w="2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[calculate]</w:t>
            </w:r>
          </w:p>
        </w:tc>
        <w:tc>
          <w:tcPr>
            <w:tcW w:type="dxa" w:w="2200"/>
            <w:tcBorders>
              <w:top w:val="single" w:color="64748B" w:sz="8"/>
              <w:left w:val="single" w:color="64748B" w:sz="8"/>
              <w:bottom w:val="single" w:color="64748B" w:sz="8"/>
              <w:right w:val="single" w:color="64748B" w:sz="8"/>
            </w:tcBorders>
          </w:tcPr>
          <w:p>
            <w:pPr>
              <w:jc w:val="center"/>
            </w:pPr>
            <w:r>
              <w:rPr>
                <w:color w:val="D97706"/>
                <w:sz w:val="20"/>
                <w:szCs w:val="20"/>
              </w:rPr>
              <w:t xml:space="preserve">– (Risk)</w:t>
            </w:r>
          </w:p>
        </w:tc>
      </w:tr>
    </w:tbl>
    <w:p>
      <w:pPr>
        <w:pStyle w:val="Heading3"/>
        <w:spacing w:before="300"/>
      </w:pPr>
      <w:r>
        <w:t xml:space="preserve">Net Benefit Calculation</w:t>
      </w:r>
    </w:p>
    <w:p>
      <w:pPr>
        <w:spacing w:after="100"/>
      </w:pPr>
      <w:r>
        <w:rPr>
          <w:b/>
          <w:bCs/>
        </w:rPr>
        <w:t xml:space="preserve">Per 100,000 vaccinated infants in the United States:</w:t>
      </w:r>
    </w:p>
    <w:p>
      <w:pPr>
        <w:shd w:fill="FEF9C3" w:val="clear"/>
        <w:spacing w:after="100"/>
      </w:pPr>
      <w:r>
        <w:rPr>
          <w:sz w:val="20"/>
          <w:szCs w:val="20"/>
        </w:rPr>
        <w:t xml:space="preserve">Hospitalizations prevented: _________ </w:t>
      </w:r>
      <w:r>
        <w:rPr>
          <w:i/>
          <w:iCs/>
          <w:sz w:val="20"/>
          <w:szCs w:val="20"/>
        </w:rPr>
        <w:t xml:space="preserve">minus</w:t>
      </w:r>
      <w:r>
        <w:rPr>
          <w:sz w:val="20"/>
          <w:szCs w:val="20"/>
        </w:rPr>
        <w:t xml:space="preserve"> Intussusception cases: _________ = </w:t>
      </w:r>
      <w:r>
        <w:rPr>
          <w:b/>
          <w:bCs/>
          <w:sz w:val="20"/>
          <w:szCs w:val="20"/>
        </w:rPr>
        <w:t xml:space="preserve">Net: _________</w:t>
      </w:r>
    </w:p>
    <w:p>
      <w:pPr>
        <w:spacing w:before="200" w:after="100"/>
      </w:pPr>
      <w:r>
        <w:rPr>
          <w:b/>
          <w:bCs/>
          <w:color w:val="7C3AED"/>
        </w:rPr>
        <w:t xml:space="preserve">◆ CHECKPOINT QUESTION</w:t>
      </w:r>
    </w:p>
    <w:p>
      <w:pPr>
        <w:spacing w:after="100"/>
      </w:pPr>
      <w:r>
        <w:rPr>
          <w:i/>
          <w:iCs/>
        </w:rPr>
        <w:t xml:space="preserve">The calculation above compares hospitalizations prevented to intussusception cases caused. Is this a fair comparison? What factors make these outcomes not directly equivalent?</w:t>
      </w:r>
    </w:p>
    <w:p>
      <w:pPr>
        <w:shd w:fill="FEF9C3" w:val="clear"/>
        <w:spacing w:after="200"/>
      </w:pPr>
      <w:r>
        <w:rPr>
          <w:i/>
          <w:iCs/>
          <w:color w:val="64748B"/>
        </w:rPr>
        <w:t xml:space="preserve">[Your response]</w:t>
      </w:r>
    </w:p>
    <w:p>
      <w:r>
        <w:br w:type="page"/>
      </w:r>
    </w:p>
    <w:p>
      <w:pPr>
        <w:pStyle w:val="Heading1"/>
      </w:pPr>
      <w:r>
        <w:t xml:space="preserve">  EXERCISE 4: UNCERTAINTY ASSESSMENT (SBRF Domain 4)</w:t>
      </w:r>
    </w:p>
    <w:p>
      <w:pPr>
        <w:spacing w:after="200"/>
      </w:pPr>
      <w:r>
        <w:rPr>
          <w:b/>
          <w:bCs/>
        </w:rPr>
        <w:t xml:space="preserve">Instructions: </w:t>
      </w:r>
      <w:r>
        <w:t xml:space="preserve">Identify and characterize the key sources of uncertainty in this benefit-risk assessment. For each uncertainty, describe the potential impact on the B-R conclusion.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000"/>
      </w:tblGrid>
      <w:tr>
        <w:trPr>
          <w:tblHeader/>
        </w:trPr>
        <w:tc>
          <w:tcPr>
            <w:tcW w:type="dxa" w:w="2000"/>
            <w:tcBorders>
              <w:top w:val="single" w:color="64748B" w:sz="8"/>
              <w:left w:val="single" w:color="64748B" w:sz="8"/>
              <w:bottom w:val="single" w:color="64748B" w:sz="8"/>
              <w:right w:val="single" w:color="64748B" w:sz="8"/>
            </w:tcBorders>
            <w:shd w:fill="7C3AED" w:val="clear"/>
          </w:tcPr>
          <w:p>
            <w:r>
              <w:rPr>
                <w:b/>
                <w:bCs/>
                <w:color w:val="FFFFFF"/>
                <w:sz w:val="20"/>
                <w:szCs w:val="20"/>
              </w:rPr>
              <w:t xml:space="preserve">Uncertainty Type</w:t>
            </w:r>
          </w:p>
        </w:tc>
        <w:tc>
          <w:tcPr>
            <w:tcW w:type="dxa" w:w="3200"/>
            <w:tcBorders>
              <w:top w:val="single" w:color="64748B" w:sz="8"/>
              <w:left w:val="single" w:color="64748B" w:sz="8"/>
              <w:bottom w:val="single" w:color="64748B" w:sz="8"/>
              <w:right w:val="single" w:color="64748B" w:sz="8"/>
            </w:tcBorders>
            <w:shd w:fill="7C3AED" w:val="clear"/>
          </w:tcPr>
          <w:p>
            <w:r>
              <w:rPr>
                <w:b/>
                <w:bCs/>
                <w:color w:val="FFFFFF"/>
                <w:sz w:val="20"/>
                <w:szCs w:val="20"/>
              </w:rPr>
              <w:t xml:space="preserve">Specific Concern</w:t>
            </w:r>
          </w:p>
        </w:tc>
        <w:tc>
          <w:tcPr>
            <w:tcW w:type="dxa" w:w="3000"/>
            <w:tcBorders>
              <w:top w:val="single" w:color="64748B" w:sz="8"/>
              <w:left w:val="single" w:color="64748B" w:sz="8"/>
              <w:bottom w:val="single" w:color="64748B" w:sz="8"/>
              <w:right w:val="single" w:color="64748B" w:sz="8"/>
            </w:tcBorders>
            <w:shd w:fill="7C3AED" w:val="clear"/>
          </w:tcPr>
          <w:p>
            <w:r>
              <w:rPr>
                <w:b/>
                <w:bCs/>
                <w:color w:val="FFFFFF"/>
                <w:sz w:val="20"/>
                <w:szCs w:val="20"/>
              </w:rPr>
              <w:t xml:space="preserve">Impact on B-R Conclusion</w:t>
            </w:r>
          </w:p>
        </w:tc>
      </w:tr>
      <w:tr>
        <w:tc>
          <w:tcPr>
            <w:tcW w:type="dxa" w:w="2000"/>
            <w:tcBorders>
              <w:top w:val="single" w:color="64748B" w:sz="8"/>
              <w:left w:val="single" w:color="64748B" w:sz="8"/>
              <w:bottom w:val="single" w:color="64748B" w:sz="8"/>
              <w:right w:val="single" w:color="64748B" w:sz="8"/>
            </w:tcBorders>
          </w:tcPr>
          <w:p>
            <w:r>
              <w:rPr>
                <w:b/>
                <w:bCs/>
                <w:sz w:val="20"/>
                <w:szCs w:val="20"/>
              </w:rPr>
              <w:t xml:space="preserve">Statistical Uncertainty</w:t>
            </w:r>
          </w:p>
        </w:tc>
        <w:tc>
          <w:tcPr>
            <w:tcW w:type="dxa" w:w="3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[e.g., confidence intervals, sample size]</w:t>
            </w:r>
          </w:p>
        </w:tc>
        <w:tc>
          <w:tcPr>
            <w:tcW w:type="dxa" w:w="3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[How might the true value differ?]</w:t>
            </w:r>
          </w:p>
        </w:tc>
      </w:tr>
      <w:tr>
        <w:tc>
          <w:tcPr>
            <w:tcW w:type="dxa" w:w="2000"/>
            <w:tcBorders>
              <w:top w:val="single" w:color="64748B" w:sz="8"/>
              <w:left w:val="single" w:color="64748B" w:sz="8"/>
              <w:bottom w:val="single" w:color="64748B" w:sz="8"/>
              <w:right w:val="single" w:color="64748B" w:sz="8"/>
            </w:tcBorders>
          </w:tcPr>
          <w:p>
            <w:r>
              <w:rPr>
                <w:b/>
                <w:bCs/>
                <w:sz w:val="20"/>
                <w:szCs w:val="20"/>
              </w:rPr>
              <w:t xml:space="preserve">Generalizability</w:t>
            </w:r>
          </w:p>
        </w:tc>
        <w:tc>
          <w:tcPr>
            <w:tcW w:type="dxa" w:w="3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[Trial population vs. real world]</w:t>
            </w:r>
          </w:p>
        </w:tc>
        <w:tc>
          <w:tcPr>
            <w:tcW w:type="dxa" w:w="3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[Which populations might differ?]</w:t>
            </w:r>
          </w:p>
        </w:tc>
      </w:tr>
      <w:tr>
        <w:tc>
          <w:tcPr>
            <w:tcW w:type="dxa" w:w="2000"/>
            <w:tcBorders>
              <w:top w:val="single" w:color="64748B" w:sz="8"/>
              <w:left w:val="single" w:color="64748B" w:sz="8"/>
              <w:bottom w:val="single" w:color="64748B" w:sz="8"/>
              <w:right w:val="single" w:color="64748B" w:sz="8"/>
            </w:tcBorders>
          </w:tcPr>
          <w:p>
            <w:r>
              <w:rPr>
                <w:b/>
                <w:bCs/>
                <w:sz w:val="20"/>
                <w:szCs w:val="20"/>
              </w:rPr>
              <w:t xml:space="preserve">Long-term Effects</w:t>
            </w:r>
          </w:p>
        </w:tc>
        <w:tc>
          <w:tcPr>
            <w:tcW w:type="dxa" w:w="3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[Duration of protection, late risks]</w:t>
            </w:r>
          </w:p>
        </w:tc>
        <w:tc>
          <w:tcPr>
            <w:tcW w:type="dxa" w:w="3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[What might change over time?]</w:t>
            </w:r>
          </w:p>
        </w:tc>
      </w:tr>
      <w:tr>
        <w:tc>
          <w:tcPr>
            <w:tcW w:type="dxa" w:w="2000"/>
            <w:tcBorders>
              <w:top w:val="single" w:color="64748B" w:sz="8"/>
              <w:left w:val="single" w:color="64748B" w:sz="8"/>
              <w:bottom w:val="single" w:color="64748B" w:sz="8"/>
              <w:right w:val="single" w:color="64748B" w:sz="8"/>
            </w:tcBorders>
          </w:tcPr>
          <w:p>
            <w:r>
              <w:rPr>
                <w:b/>
                <w:bCs/>
                <w:sz w:val="20"/>
                <w:szCs w:val="20"/>
              </w:rPr>
              <w:t xml:space="preserve">Risk Characterization</w:t>
            </w:r>
          </w:p>
        </w:tc>
        <w:tc>
          <w:tcPr>
            <w:tcW w:type="dxa" w:w="3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[Intussusception risk precision]</w:t>
            </w:r>
          </w:p>
        </w:tc>
        <w:tc>
          <w:tcPr>
            <w:tcW w:type="dxa" w:w="3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[Could risk be higher/lower?]</w:t>
            </w:r>
          </w:p>
        </w:tc>
      </w:tr>
      <w:tr>
        <w:tc>
          <w:tcPr>
            <w:tcW w:type="dxa" w:w="2000"/>
            <w:tcBorders>
              <w:top w:val="single" w:color="64748B" w:sz="8"/>
              <w:left w:val="single" w:color="64748B" w:sz="8"/>
              <w:bottom w:val="single" w:color="64748B" w:sz="8"/>
              <w:right w:val="single" w:color="64748B" w:sz="8"/>
            </w:tcBorders>
          </w:tcPr>
          <w:p>
            <w:r>
              <w:rPr>
                <w:b/>
                <w:bCs/>
                <w:sz w:val="20"/>
                <w:szCs w:val="20"/>
              </w:rPr>
              <w:t xml:space="preserve">Context Dependency</w:t>
            </w:r>
          </w:p>
        </w:tc>
        <w:tc>
          <w:tcPr>
            <w:tcW w:type="dxa" w:w="32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[US vs. global; healthcare access]</w:t>
            </w:r>
          </w:p>
        </w:tc>
        <w:tc>
          <w:tcPr>
            <w:tcW w:type="dxa" w:w="3000"/>
            <w:tcBorders>
              <w:top w:val="single" w:color="64748B" w:sz="8"/>
              <w:left w:val="single" w:color="64748B" w:sz="8"/>
              <w:bottom w:val="single" w:color="64748B" w:sz="8"/>
              <w:right w:val="single" w:color="64748B" w:sz="8"/>
            </w:tcBorders>
            <w:shd w:fill="FEF9C3" w:val="clear"/>
          </w:tcPr>
          <w:p>
            <w:r>
              <w:rPr>
                <w:i/>
                <w:iCs/>
                <w:color w:val="64748B"/>
                <w:sz w:val="18"/>
                <w:szCs w:val="18"/>
              </w:rPr>
              <w:t xml:space="preserve">[How does setting affect B-R?]</w:t>
            </w:r>
          </w:p>
        </w:tc>
      </w:tr>
    </w:tbl>
    <w:p>
      <w:pPr>
        <w:pStyle w:val="Heading1"/>
        <w:spacing w:before="400"/>
      </w:pPr>
      <w:r>
        <w:t xml:space="preserve">  EXERCISE 5: BENEFIT-RISK CONCLUSIONS (SBRF Domain 5)</w:t>
      </w:r>
    </w:p>
    <w:p>
      <w:pPr>
        <w:spacing w:after="200"/>
      </w:pPr>
      <w:r>
        <w:rPr>
          <w:b/>
          <w:bCs/>
        </w:rPr>
        <w:t xml:space="preserve">Instructions: </w:t>
      </w:r>
      <w:r>
        <w:t xml:space="preserve">Synthesize your analysis into a benefit-risk conclusion statement. Address the questions below and then write your overall conclusion.</w:t>
      </w:r>
    </w:p>
    <w:p>
      <w:pPr>
        <w:pStyle w:val="Heading3"/>
      </w:pPr>
      <w:r>
        <w:t xml:space="preserve">Key Questions to Address</w:t>
      </w:r>
    </w:p>
    <w:p>
      <w:pPr>
        <w:spacing w:after="100"/>
      </w:pPr>
      <w:r>
        <w:rPr>
          <w:b/>
          <w:bCs/>
        </w:rPr>
        <w:t xml:space="preserve">1. Is the benefit-risk balance favorable for the US population? Why or why not?</w:t>
      </w:r>
    </w:p>
    <w:p>
      <w:pPr>
        <w:shd w:fill="FEF9C3" w:val="clear"/>
        <w:spacing w:after="200"/>
      </w:pPr>
      <w:r>
        <w:rPr>
          <w:i/>
          <w:iCs/>
          <w:color w:val="64748B"/>
        </w:rPr>
        <w:t xml:space="preserve">[Your response]</w:t>
      </w:r>
    </w:p>
    <w:p>
      <w:pPr>
        <w:spacing w:after="100"/>
      </w:pPr>
      <w:r>
        <w:rPr>
          <w:b/>
          <w:bCs/>
        </w:rPr>
        <w:t xml:space="preserve">2. Would the benefit-risk balance differ in a low-income country with high rotavirus mortality? How?</w:t>
      </w:r>
    </w:p>
    <w:p>
      <w:pPr>
        <w:shd w:fill="FEF9C3" w:val="clear"/>
        <w:spacing w:after="200"/>
      </w:pPr>
      <w:r>
        <w:rPr>
          <w:i/>
          <w:iCs/>
          <w:color w:val="64748B"/>
        </w:rPr>
        <w:t xml:space="preserve">[Your response]</w:t>
      </w:r>
    </w:p>
    <w:p>
      <w:pPr>
        <w:spacing w:after="100"/>
      </w:pPr>
      <w:r>
        <w:rPr>
          <w:b/>
          <w:bCs/>
        </w:rPr>
        <w:t xml:space="preserve">3. What risk minimization measures would you recommend?</w:t>
      </w:r>
    </w:p>
    <w:p>
      <w:pPr>
        <w:shd w:fill="FEF9C3" w:val="clear"/>
        <w:spacing w:after="200"/>
      </w:pPr>
      <w:r>
        <w:rPr>
          <w:i/>
          <w:iCs/>
          <w:color w:val="64748B"/>
        </w:rPr>
        <w:t xml:space="preserve">[Your response]</w:t>
      </w:r>
    </w:p>
    <w:p>
      <w:pPr>
        <w:spacing w:after="100"/>
      </w:pPr>
      <w:r>
        <w:rPr>
          <w:b/>
          <w:bCs/>
        </w:rPr>
        <w:t xml:space="preserve">4. What would trigger a re-evaluation of this benefit-risk assessment?</w:t>
      </w:r>
    </w:p>
    <w:p>
      <w:pPr>
        <w:shd w:fill="FEF9C3" w:val="clear"/>
        <w:spacing w:after="200"/>
      </w:pPr>
      <w:r>
        <w:rPr>
          <w:i/>
          <w:iCs/>
          <w:color w:val="64748B"/>
        </w:rPr>
        <w:t xml:space="preserve">[Your response]</w:t>
      </w:r>
    </w:p>
    <w:p>
      <w:r>
        <w:br w:type="page"/>
      </w:r>
    </w:p>
    <w:p>
      <w:pPr>
        <w:pStyle w:val="Heading2"/>
      </w:pPr>
      <w:r>
        <w:t xml:space="preserve">Your Benefit-Risk Conclusion Statement</w:t>
      </w:r>
    </w:p>
    <w:p>
      <w:pPr>
        <w:spacing w:after="100"/>
      </w:pPr>
      <w:r>
        <w:rPr>
          <w:i/>
          <w:iCs/>
        </w:rPr>
        <w:t xml:space="preserve">Write a 2-3 paragraph conclusion that could appear in a regulatory assessment document. Include: (1) the overall B-R determination, (2) key factors driving the conclusion, (3) important caveats and uncertainties, and (4) conditions under which the conclusion applies.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64748B" w:sz="8"/>
              <w:left w:val="single" w:color="64748B" w:sz="8"/>
              <w:bottom w:val="single" w:color="64748B" w:sz="8"/>
              <w:right w:val="single" w:color="64748B" w:sz="8"/>
            </w:tcBorders>
            <w:shd w:fill="FEF9C3" w:val="clear"/>
          </w:tcPr>
          <w:p>
            <w:pPr>
              <w:spacing w:before="100"/>
            </w:pPr>
            <w:r>
              <w:rPr>
                <w:i/>
                <w:iCs/>
                <w:color w:val="64748B"/>
              </w:rPr>
              <w:t xml:space="preserve">[Your benefit-risk conclusion statement]</w:t>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after="100"/>
            </w:pPr>
            <w:r>
              <w:rPr>
                <w:sz w:val="20"/>
                <w:szCs w:val="20"/>
              </w:rPr>
              <w:t xml:space="preserve"/>
            </w:r>
          </w:p>
        </w:tc>
      </w:tr>
    </w:tbl>
    <w:p>
      <w:pPr>
        <w:pStyle w:val="Heading1"/>
        <w:spacing w:before="400"/>
      </w:pPr>
      <w:r>
        <w:t xml:space="preserve">  SELF-ASSESSMENT CHECKLIST</w:t>
      </w:r>
    </w:p>
    <w:p>
      <w:pPr>
        <w:spacing w:after="200"/>
      </w:pPr>
      <w:r>
        <w:t xml:space="preserve">Before reviewing the answer key, verify that your analysis addresses these elements:</w:t>
      </w:r>
    </w:p>
    <w:p>
      <w:pPr>
        <w:pStyle w:val="ListParagraph"/>
        <w:numPr>
          <w:ilvl w:val="0"/>
          <w:numId w:val="3"/>
        </w:numPr>
      </w:pPr>
      <w:r>
        <w:rPr>
          <w:sz w:val="20"/>
          <w:szCs w:val="20"/>
        </w:rPr>
        <w:t xml:space="preserve">Therapeutic context establishes disease severity and unmet need</w:t>
      </w:r>
    </w:p>
    <w:p>
      <w:pPr>
        <w:pStyle w:val="ListParagraph"/>
        <w:numPr>
          <w:ilvl w:val="0"/>
          <w:numId w:val="3"/>
        </w:numPr>
      </w:pPr>
      <w:r>
        <w:rPr>
          <w:sz w:val="20"/>
          <w:szCs w:val="20"/>
        </w:rPr>
        <w:t xml:space="preserve">Effects table includes both absolute and relative measures</w:t>
      </w:r>
    </w:p>
    <w:p>
      <w:pPr>
        <w:pStyle w:val="ListParagraph"/>
        <w:numPr>
          <w:ilvl w:val="0"/>
          <w:numId w:val="3"/>
        </w:numPr>
      </w:pPr>
      <w:r>
        <w:rPr>
          <w:sz w:val="20"/>
          <w:szCs w:val="20"/>
        </w:rPr>
        <w:t xml:space="preserve">NNV and NNH calculated correctly to enable direct comparison</w:t>
      </w:r>
    </w:p>
    <w:p>
      <w:pPr>
        <w:pStyle w:val="ListParagraph"/>
        <w:numPr>
          <w:ilvl w:val="0"/>
          <w:numId w:val="3"/>
        </w:numPr>
      </w:pPr>
      <w:r>
        <w:rPr>
          <w:sz w:val="20"/>
          <w:szCs w:val="20"/>
        </w:rPr>
        <w:t xml:space="preserve">Net benefit calculation acknowledges that outcomes are not equivalent</w:t>
      </w:r>
    </w:p>
    <w:p>
      <w:pPr>
        <w:pStyle w:val="ListParagraph"/>
        <w:numPr>
          <w:ilvl w:val="0"/>
          <w:numId w:val="3"/>
        </w:numPr>
      </w:pPr>
      <w:r>
        <w:rPr>
          <w:sz w:val="20"/>
          <w:szCs w:val="20"/>
        </w:rPr>
        <w:t xml:space="preserve">Uncertainty assessment identifies multiple sources with impact analysis</w:t>
      </w:r>
    </w:p>
    <w:p>
      <w:pPr>
        <w:pStyle w:val="ListParagraph"/>
        <w:numPr>
          <w:ilvl w:val="0"/>
          <w:numId w:val="3"/>
        </w:numPr>
      </w:pPr>
      <w:r>
        <w:rPr>
          <w:sz w:val="20"/>
          <w:szCs w:val="20"/>
        </w:rPr>
        <w:t xml:space="preserve">Conclusion addresses context-dependency (US vs. global)</w:t>
      </w:r>
    </w:p>
    <w:p>
      <w:pPr>
        <w:pStyle w:val="ListParagraph"/>
        <w:numPr>
          <w:ilvl w:val="0"/>
          <w:numId w:val="3"/>
        </w:numPr>
      </w:pPr>
      <w:r>
        <w:rPr>
          <w:sz w:val="20"/>
          <w:szCs w:val="20"/>
        </w:rPr>
        <w:t xml:space="preserve">Risk minimization recommendations are proportionate to risk</w:t>
      </w:r>
    </w:p>
    <w:p>
      <w:pPr>
        <w:pStyle w:val="ListParagraph"/>
        <w:numPr>
          <w:ilvl w:val="0"/>
          <w:numId w:val="3"/>
        </w:numPr>
      </w:pPr>
      <w:r>
        <w:rPr>
          <w:sz w:val="20"/>
          <w:szCs w:val="20"/>
        </w:rPr>
        <w:t xml:space="preserve">Re-evaluation triggers are specific and measurable</w:t>
      </w:r>
    </w:p>
    <w:p>
      <w:pPr>
        <w:spacing w:before="300" w:after="100"/>
      </w:pPr>
      <w:r>
        <w:rPr>
          <w:b/>
          <w:bCs/>
          <w:color w:val="0D9488"/>
        </w:rPr>
        <w:t xml:space="preserve">◎ LOAD-BEARING CONCEPT: The Denominator Matters</w:t>
      </w:r>
    </w:p>
    <w:p>
      <w:pPr>
        <w:spacing w:after="200"/>
      </w:pPr>
      <w:r>
        <w:t xml:space="preserve">The rotavirus case illustrates a fundamental principle: </w:t>
      </w:r>
      <w:r>
        <w:rPr>
          <w:b/>
          <w:bCs/>
        </w:rPr>
        <w:t xml:space="preserve">population-level benefit can coexist with individual-level harm</w:t>
      </w:r>
      <w:r>
        <w:t xml:space="preserve">. At the population level, vaccination prevents far more hospitalizations than it causes intussusception cases. But for the individual infant who develops intussusception, the population benefit provides no comfort. Benefit-risk assessment must grapple with this tension—and communicate it honestly to decision-makers and the public.</w:t>
      </w:r>
    </w:p>
    <w:p>
      <w:pPr>
        <w:spacing w:before="300"/>
        <w:jc w:val="center"/>
      </w:pPr>
      <w:r>
        <w:rPr>
          <w:color w:val="64748B"/>
          <w:sz w:val="18"/>
          <w:szCs w:val="18"/>
        </w:rPr>
        <w:t xml:space="preserve">Case Study Workbook | NexVigilant Benefit-Risk Intelligence Toolkit</w:t>
      </w:r>
    </w:p>
    <w:p>
      <w:pPr>
        <w:jc w:val="center"/>
      </w:pPr>
      <w:r>
        <w:rPr>
          <w:color w:val="64748B"/>
          <w:sz w:val="18"/>
          <w:szCs w:val="18"/>
        </w:rPr>
        <w:t xml:space="preserve">Based on CIOMS Working Group XII Report (May 2025) — Appendix Case A</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 2025 NexVigilant LLC | www.nexvigilant.com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NexVigilant Benefit-Risk Intelligence Toolkit | Case Study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jc w:val="center"/>
    </w:pPr>
    <w:rPr>
      <w:rFonts w:ascii="Arial" w:cs="Arial" w:eastAsia="Arial" w:hAnsi="Arial"/>
      <w:b/>
      <w:bCs/>
      <w:color w:val="1A365D"/>
      <w:sz w:val="40"/>
      <w:szCs w:val="40"/>
    </w:rPr>
  </w:style>
  <w:style w:type="paragraph" w:styleId="Heading1">
    <w:name w:val="Heading 1"/>
    <w:basedOn w:val="Normal"/>
    <w:next w:val="Normal"/>
    <w:qFormat/>
    <w:pPr>
      <w:shd w:fill="1A365D" w:val="clear"/>
      <w:spacing w:before="240" w:after="120"/>
    </w:pPr>
    <w:rPr>
      <w:rFonts w:ascii="Arial" w:cs="Arial" w:eastAsia="Arial" w:hAnsi="Arial"/>
      <w:b/>
      <w:bCs/>
      <w:color w:val="FFFFFF"/>
      <w:sz w:val="26"/>
      <w:szCs w:val="26"/>
    </w:rPr>
  </w:style>
  <w:style w:type="paragraph" w:styleId="Heading2">
    <w:name w:val="Heading 2"/>
    <w:basedOn w:val="Normal"/>
    <w:next w:val="Normal"/>
    <w:qFormat/>
    <w:pPr>
      <w:spacing w:before="200" w:after="80"/>
    </w:pPr>
    <w:rPr>
      <w:rFonts w:ascii="Arial" w:cs="Arial" w:eastAsia="Arial" w:hAnsi="Arial"/>
      <w:b/>
      <w:bCs/>
      <w:color w:val="0D9488"/>
      <w:sz w:val="24"/>
      <w:szCs w:val="24"/>
    </w:rPr>
  </w:style>
  <w:style w:type="paragraph" w:styleId="Heading3">
    <w:name w:val="Heading 3"/>
    <w:basedOn w:val="Normal"/>
    <w:next w:val="Normal"/>
    <w:qFormat/>
    <w:pPr>
      <w:spacing w:before="160" w:after="60"/>
    </w:pPr>
    <w:rPr>
      <w:rFonts w:ascii="Arial" w:cs="Arial" w:eastAsia="Arial" w:hAnsi="Arial"/>
      <w:b/>
      <w:bCs/>
      <w:color w:val="1A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2025-12-18T04:07:23.953Z</dcterms:created>
  <dcterms:modified xsi:type="dcterms:W3CDTF">2025-12-18T04:07:23.954Z</dcterms:modified>
</cp:coreProperties>
</file>

<file path=docProps/custom.xml><?xml version="1.0" encoding="utf-8"?>
<Properties xmlns="http://schemas.openxmlformats.org/officeDocument/2006/custom-properties" xmlns:vt="http://schemas.openxmlformats.org/officeDocument/2006/docPropsVTypes"/>
</file>