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before="400"/>
      </w:pPr>
      <w:r>
        <w:t xml:space="preserve">Benefit-Risk Framework</w:t>
      </w:r>
    </w:p>
    <w:p>
      <w:pPr>
        <w:spacing w:after="200"/>
        <w:jc w:val="center"/>
      </w:pPr>
      <w:r>
        <w:rPr>
          <w:color w:val="0D9488"/>
          <w:sz w:val="28"/>
          <w:szCs w:val="28"/>
        </w:rPr>
        <w:t xml:space="preserve">Self-Assessment Quiz &amp; Competency Checklist</w:t>
      </w:r>
    </w:p>
    <w:p>
      <w:pPr>
        <w:spacing w:after="400"/>
        <w:jc w:val="center"/>
      </w:pPr>
      <w:r>
        <w:rPr>
          <w:i/>
          <w:iCs/>
          <w:color w:val="64748B"/>
          <w:sz w:val="20"/>
          <w:szCs w:val="20"/>
        </w:rPr>
        <w:t xml:space="preserve">Based on CIOMS Working Group XII Guidance</w:t>
      </w:r>
    </w:p>
    <w:p>
      <w:pPr>
        <w:pStyle w:val="Heading1"/>
      </w:pPr>
      <w:r>
        <w:t xml:space="preserve">  PURPOSE &amp; INSTRUCTIONS</w:t>
      </w:r>
    </w:p>
    <w:p>
      <w:pPr>
        <w:spacing w:after="200"/>
      </w:pPr>
      <w:r>
        <w:t xml:space="preserve">This self-assessment tool enables practitioners and organizations to evaluate their current capability level in benefit-risk assessment methodology. Complete Part A (Knowledge Assessment) as a quiz, then use Part B (Competency Checklist) to identify development priorities.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6200"/>
      </w:tblGrid>
      <w:tr>
        <w:tc>
          <w:tcPr>
            <w:tcW w:type="dxa" w:w="2000"/>
            <w:tcBorders>
              <w:top w:val="single" w:color="64748B" w:sz="8"/>
              <w:left w:val="single" w:color="64748B" w:sz="8"/>
              <w:bottom w:val="single" w:color="64748B" w:sz="8"/>
              <w:right w:val="single" w:color="64748B" w:sz="8"/>
            </w:tcBorders>
            <w:shd w:fill="CCFBF1" w:val="clear"/>
          </w:tcPr>
          <w:p>
            <w:r>
              <w:rPr>
                <w:b/>
                <w:bCs/>
                <w:sz w:val="20"/>
                <w:szCs w:val="20"/>
              </w:rPr>
              <w:t xml:space="preserve">Part A</w:t>
            </w:r>
          </w:p>
        </w:tc>
        <w:tc>
          <w:tcPr>
            <w:tcW w:type="dxa" w:w="6200"/>
            <w:tcBorders>
              <w:top w:val="single" w:color="64748B" w:sz="8"/>
              <w:left w:val="single" w:color="64748B" w:sz="8"/>
              <w:bottom w:val="single" w:color="64748B" w:sz="8"/>
              <w:right w:val="single" w:color="64748B" w:sz="8"/>
            </w:tcBorders>
            <w:shd w:fill="CCFBF1" w:val="clear"/>
          </w:tcPr>
          <w:p>
            <w:r>
              <w:rPr>
                <w:sz w:val="20"/>
                <w:szCs w:val="20"/>
              </w:rPr>
              <w:t xml:space="preserve">Knowledge Assessment Quiz (25 questions) — Test conceptual understanding</w:t>
            </w:r>
          </w:p>
        </w:tc>
      </w:tr>
      <w:tr>
        <w:tc>
          <w:tcPr>
            <w:tcW w:type="dxa" w:w="2000"/>
            <w:tcBorders>
              <w:top w:val="single" w:color="64748B" w:sz="8"/>
              <w:left w:val="single" w:color="64748B" w:sz="8"/>
              <w:bottom w:val="single" w:color="64748B" w:sz="8"/>
              <w:right w:val="single" w:color="64748B" w:sz="8"/>
            </w:tcBorders>
            <w:shd w:fill="FEF3C7" w:val="clear"/>
          </w:tcPr>
          <w:p>
            <w:r>
              <w:rPr>
                <w:b/>
                <w:bCs/>
                <w:sz w:val="20"/>
                <w:szCs w:val="20"/>
              </w:rPr>
              <w:t xml:space="preserve">Part B</w:t>
            </w:r>
          </w:p>
        </w:tc>
        <w:tc>
          <w:tcPr>
            <w:tcW w:type="dxa" w:w="6200"/>
            <w:tcBorders>
              <w:top w:val="single" w:color="64748B" w:sz="8"/>
              <w:left w:val="single" w:color="64748B" w:sz="8"/>
              <w:bottom w:val="single" w:color="64748B" w:sz="8"/>
              <w:right w:val="single" w:color="64748B" w:sz="8"/>
            </w:tcBorders>
            <w:shd w:fill="FEF3C7" w:val="clear"/>
          </w:tcPr>
          <w:p>
            <w:r>
              <w:rPr>
                <w:sz w:val="20"/>
                <w:szCs w:val="20"/>
              </w:rPr>
              <w:t xml:space="preserve">Competency Checklist — Evaluate practical capability across B-R domains</w:t>
            </w:r>
          </w:p>
        </w:tc>
      </w:tr>
      <w:tr>
        <w:tc>
          <w:tcPr>
            <w:tcW w:type="dxa" w:w="2000"/>
            <w:tcBorders>
              <w:top w:val="single" w:color="64748B" w:sz="8"/>
              <w:left w:val="single" w:color="64748B" w:sz="8"/>
              <w:bottom w:val="single" w:color="64748B" w:sz="8"/>
              <w:right w:val="single" w:color="64748B" w:sz="8"/>
            </w:tcBorders>
            <w:shd w:fill="F1F5F9" w:val="clear"/>
          </w:tcPr>
          <w:p>
            <w:r>
              <w:rPr>
                <w:b/>
                <w:bCs/>
                <w:sz w:val="20"/>
                <w:szCs w:val="20"/>
              </w:rPr>
              <w:t xml:space="preserve">Part C</w:t>
            </w:r>
          </w:p>
        </w:tc>
        <w:tc>
          <w:tcPr>
            <w:tcW w:type="dxa" w:w="6200"/>
            <w:tcBorders>
              <w:top w:val="single" w:color="64748B" w:sz="8"/>
              <w:left w:val="single" w:color="64748B" w:sz="8"/>
              <w:bottom w:val="single" w:color="64748B" w:sz="8"/>
              <w:right w:val="single" w:color="64748B" w:sz="8"/>
            </w:tcBorders>
            <w:shd w:fill="F1F5F9" w:val="clear"/>
          </w:tcPr>
          <w:p>
            <w:r>
              <w:rPr>
                <w:sz w:val="20"/>
                <w:szCs w:val="20"/>
              </w:rPr>
              <w:t xml:space="preserve">Answer Key &amp; Scoring Guide — Assess results and identify development areas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  PART A: KNOWLEDGE ASSESSMENT QUIZ</w:t>
      </w:r>
    </w:p>
    <w:p>
      <w:pPr>
        <w:spacing w:after="200"/>
      </w:pPr>
      <w:r>
        <w:rPr>
          <w:b/>
          <w:bCs/>
        </w:rPr>
        <w:t xml:space="preserve">Instructions: </w:t>
      </w:r>
      <w:r>
        <w:t xml:space="preserve">Select the best answer for each question. Complete without reference materials for accurate assessment.</w:t>
      </w:r>
    </w:p>
    <w:p>
      <w:pPr>
        <w:pStyle w:val="Heading2"/>
      </w:pPr>
      <w:r>
        <w:t xml:space="preserve">Section 1: Core Concepts (Questions 1-5)</w:t>
      </w:r>
    </w:p>
    <w:p>
      <w:pPr>
        <w:spacing w:before="200" w:after="80"/>
      </w:pPr>
      <w:r>
        <w:rPr>
          <w:b/>
          <w:bCs/>
        </w:rPr>
        <w:t xml:space="preserve">1. According to CIOMS WG XII, the term 'benefit' refers to:</w:t>
      </w:r>
    </w:p>
    <w:p>
      <w:pPr>
        <w:spacing w:after="40"/>
        <w:ind w:left="360"/>
      </w:pPr>
      <w:r>
        <w:t xml:space="preserve">a) Any positive outcome reported by patients</w:t>
      </w:r>
    </w:p>
    <w:p>
      <w:pPr>
        <w:spacing w:after="40"/>
        <w:ind w:left="360"/>
      </w:pPr>
      <w:r>
        <w:t xml:space="preserve">b) Favorable effects demonstrably caused by a medicinal product under defined conditions</w:t>
      </w:r>
    </w:p>
    <w:p>
      <w:pPr>
        <w:spacing w:after="40"/>
        <w:ind w:left="360"/>
      </w:pPr>
      <w:r>
        <w:t xml:space="preserve">c) Efficacy results from clinical trials</w:t>
      </w:r>
    </w:p>
    <w:p>
      <w:pPr>
        <w:spacing w:after="120"/>
        <w:ind w:left="360"/>
      </w:pPr>
      <w:r>
        <w:t xml:space="preserve">d) Therapeutic outcomes superior to placebo</w:t>
      </w:r>
    </w:p>
    <w:p>
      <w:pPr>
        <w:spacing w:after="80"/>
      </w:pPr>
      <w:r>
        <w:rPr>
          <w:b/>
          <w:bCs/>
        </w:rPr>
        <w:t xml:space="preserve">2. The Structured Benefit-Risk Framework (SBRF) is best described as:</w:t>
      </w:r>
    </w:p>
    <w:p>
      <w:pPr>
        <w:spacing w:after="40"/>
        <w:ind w:left="360"/>
      </w:pPr>
      <w:r>
        <w:t xml:space="preserve">a) A quantitative calculation method for determining B-R scores</w:t>
      </w:r>
    </w:p>
    <w:p>
      <w:pPr>
        <w:spacing w:after="40"/>
        <w:ind w:left="360"/>
      </w:pPr>
      <w:r>
        <w:t xml:space="preserve">b) A regulatory requirement for all drug applications</w:t>
      </w:r>
    </w:p>
    <w:p>
      <w:pPr>
        <w:spacing w:after="40"/>
        <w:ind w:left="360"/>
      </w:pPr>
      <w:r>
        <w:t xml:space="preserve">c) A framework for organizing information that can accommodate various analytical approaches</w:t>
      </w:r>
    </w:p>
    <w:p>
      <w:pPr>
        <w:spacing w:after="120"/>
        <w:ind w:left="360"/>
      </w:pPr>
      <w:r>
        <w:t xml:space="preserve">d) A statistical model for aggregating efficacy and safety endpoints</w:t>
      </w:r>
    </w:p>
    <w:p>
      <w:pPr>
        <w:spacing w:after="80"/>
      </w:pPr>
      <w:r>
        <w:rPr>
          <w:b/>
          <w:bCs/>
        </w:rPr>
        <w:t xml:space="preserve">3. How many domains comprise the SBRF?</w:t>
      </w:r>
    </w:p>
    <w:p>
      <w:pPr>
        <w:spacing w:after="40"/>
        <w:ind w:left="360"/>
      </w:pPr>
      <w:r>
        <w:t xml:space="preserve">a) 3 (Benefits, Risks, Conclusions)</w:t>
      </w:r>
    </w:p>
    <w:p>
      <w:pPr>
        <w:spacing w:after="40"/>
        <w:ind w:left="360"/>
      </w:pPr>
      <w:r>
        <w:t xml:space="preserve">b) 4 (Context, Benefits, Risks, Conclusions)</w:t>
      </w:r>
    </w:p>
    <w:p>
      <w:pPr>
        <w:spacing w:after="40"/>
        <w:ind w:left="360"/>
      </w:pPr>
      <w:r>
        <w:t xml:space="preserve">c) 5 (Context, Benefits, Risks, Uncertainty, Conclusions)</w:t>
      </w:r>
    </w:p>
    <w:p>
      <w:pPr>
        <w:spacing w:after="120"/>
        <w:ind w:left="360"/>
      </w:pPr>
      <w:r>
        <w:t xml:space="preserve">d) 6 (Context, Benefits, Risks, Uncertainty, Risk Management, Conclusions)</w:t>
      </w:r>
    </w:p>
    <w:p>
      <w:pPr>
        <w:spacing w:after="80"/>
      </w:pPr>
      <w:r>
        <w:rPr>
          <w:b/>
          <w:bCs/>
        </w:rPr>
        <w:t xml:space="preserve">4. In benefit-risk assessment, 'risk' is defined as:</w:t>
      </w:r>
    </w:p>
    <w:p>
      <w:pPr>
        <w:spacing w:after="40"/>
        <w:ind w:left="360"/>
      </w:pPr>
      <w:r>
        <w:t xml:space="preserve">a) Any adverse event reported during clinical trials</w:t>
      </w:r>
    </w:p>
    <w:p>
      <w:pPr>
        <w:spacing w:after="40"/>
        <w:ind w:left="360"/>
      </w:pPr>
      <w:r>
        <w:t xml:space="preserve">b) Unfavorable effects probabilistically associated with a product (probability × severity)</w:t>
      </w:r>
    </w:p>
    <w:p>
      <w:pPr>
        <w:spacing w:after="40"/>
        <w:ind w:left="360"/>
      </w:pPr>
      <w:r>
        <w:t xml:space="preserve">c) The incidence rate of serious adverse events</w:t>
      </w:r>
    </w:p>
    <w:p>
      <w:pPr>
        <w:spacing w:after="120"/>
        <w:ind w:left="360"/>
      </w:pPr>
      <w:r>
        <w:t xml:space="preserve">d) Treatment discontinuation due to adverse events</w:t>
      </w:r>
    </w:p>
    <w:p>
      <w:pPr>
        <w:spacing w:after="80"/>
      </w:pPr>
      <w:r>
        <w:rPr>
          <w:b/>
          <w:bCs/>
        </w:rPr>
        <w:t xml:space="preserve">5. Which statement best describes the relationship between SBRF and quantitative methods?</w:t>
      </w:r>
    </w:p>
    <w:p>
      <w:pPr>
        <w:spacing w:after="40"/>
        <w:ind w:left="360"/>
      </w:pPr>
      <w:r>
        <w:t xml:space="preserve">a) SBRF requires MCDA for all assessments</w:t>
      </w:r>
    </w:p>
    <w:p>
      <w:pPr>
        <w:spacing w:after="40"/>
        <w:ind w:left="360"/>
      </w:pPr>
      <w:r>
        <w:t xml:space="preserve">b) Quantitative methods replace the need for SBRF documentation</w:t>
      </w:r>
    </w:p>
    <w:p>
      <w:pPr>
        <w:spacing w:after="40"/>
        <w:ind w:left="360"/>
      </w:pPr>
      <w:r>
        <w:t xml:space="preserve">c) SBRF provides the organizational structure; quantitative methods are optional analytical tools</w:t>
      </w:r>
    </w:p>
    <w:p>
      <w:pPr>
        <w:spacing w:after="200"/>
        <w:ind w:left="360"/>
      </w:pPr>
      <w:r>
        <w:t xml:space="preserve">d) SBRF and quantitative methods are competing approaches</w:t>
      </w:r>
    </w:p>
    <w:p>
      <w:pPr>
        <w:pStyle w:val="Heading2"/>
      </w:pPr>
      <w:r>
        <w:t xml:space="preserve">Section 2: SBRF Domains (Questions 6-10)</w:t>
      </w:r>
    </w:p>
    <w:p>
      <w:pPr>
        <w:spacing w:before="200" w:after="80"/>
      </w:pPr>
      <w:r>
        <w:rPr>
          <w:b/>
          <w:bCs/>
        </w:rPr>
        <w:t xml:space="preserve">6. SBRF Domain 1 (Therapeutic Context) should include all of the following EXCEPT:</w:t>
      </w:r>
    </w:p>
    <w:p>
      <w:pPr>
        <w:spacing w:after="40"/>
        <w:ind w:left="360"/>
      </w:pPr>
      <w:r>
        <w:t xml:space="preserve">a) Disease epidemiology and burden</w:t>
      </w:r>
    </w:p>
    <w:p>
      <w:pPr>
        <w:spacing w:after="40"/>
        <w:ind w:left="360"/>
      </w:pPr>
      <w:r>
        <w:t xml:space="preserve">b) Available treatment alternatives</w:t>
      </w:r>
    </w:p>
    <w:p>
      <w:pPr>
        <w:spacing w:after="40"/>
        <w:ind w:left="360"/>
      </w:pPr>
      <w:r>
        <w:t xml:space="preserve">c) Detailed statistical analysis of efficacy endpoints</w:t>
      </w:r>
    </w:p>
    <w:p>
      <w:pPr>
        <w:spacing w:after="120"/>
        <w:ind w:left="360"/>
      </w:pPr>
      <w:r>
        <w:t xml:space="preserve">d) Target population characteristics</w:t>
      </w:r>
    </w:p>
    <w:p>
      <w:pPr>
        <w:spacing w:after="80"/>
      </w:pPr>
      <w:r>
        <w:rPr>
          <w:b/>
          <w:bCs/>
        </w:rPr>
        <w:t xml:space="preserve">7. In SBRF Domain 3 (Risks), the ICH classification includes:</w:t>
      </w:r>
    </w:p>
    <w:p>
      <w:pPr>
        <w:spacing w:after="40"/>
        <w:ind w:left="360"/>
      </w:pPr>
      <w:r>
        <w:t xml:space="preserve">a) Common, Uncommon, and Rare adverse events</w:t>
      </w:r>
    </w:p>
    <w:p>
      <w:pPr>
        <w:spacing w:after="40"/>
        <w:ind w:left="360"/>
      </w:pPr>
      <w:r>
        <w:t xml:space="preserve">b) Important Identified Risks, Important Potential Risks, and Missing Information</w:t>
      </w:r>
    </w:p>
    <w:p>
      <w:pPr>
        <w:spacing w:after="40"/>
        <w:ind w:left="360"/>
      </w:pPr>
      <w:r>
        <w:t xml:space="preserve">c) Serious, Non-Serious, and Expected adverse events</w:t>
      </w:r>
    </w:p>
    <w:p>
      <w:pPr>
        <w:spacing w:after="120"/>
        <w:ind w:left="360"/>
      </w:pPr>
      <w:r>
        <w:t xml:space="preserve">d) Grade 1-5 toxicity classifications</w:t>
      </w:r>
    </w:p>
    <w:p>
      <w:pPr>
        <w:spacing w:after="80"/>
      </w:pPr>
      <w:r>
        <w:rPr>
          <w:b/>
          <w:bCs/>
        </w:rPr>
        <w:t xml:space="preserve">8. Which element is NOT part of SBRF Domain 4 (Uncertainty)?</w:t>
      </w:r>
    </w:p>
    <w:p>
      <w:pPr>
        <w:spacing w:after="40"/>
        <w:ind w:left="360"/>
      </w:pPr>
      <w:r>
        <w:t xml:space="preserve">a) Statistical uncertainty (confidence intervals)</w:t>
      </w:r>
    </w:p>
    <w:p>
      <w:pPr>
        <w:spacing w:after="40"/>
        <w:ind w:left="360"/>
      </w:pPr>
      <w:r>
        <w:t xml:space="preserve">b) Generalizability concerns</w:t>
      </w:r>
    </w:p>
    <w:p>
      <w:pPr>
        <w:spacing w:after="40"/>
        <w:ind w:left="360"/>
      </w:pPr>
      <w:r>
        <w:t xml:space="preserve">c) Risk minimization measures</w:t>
      </w:r>
    </w:p>
    <w:p>
      <w:pPr>
        <w:spacing w:after="120"/>
        <w:ind w:left="360"/>
      </w:pPr>
      <w:r>
        <w:t xml:space="preserve">d) Study design limitations</w:t>
      </w:r>
    </w:p>
    <w:p>
      <w:pPr>
        <w:spacing w:after="80"/>
      </w:pPr>
      <w:r>
        <w:rPr>
          <w:b/>
          <w:bCs/>
        </w:rPr>
        <w:t xml:space="preserve">9. The primary purpose of Domain 5 (Conclusions) is to:</w:t>
      </w:r>
    </w:p>
    <w:p>
      <w:pPr>
        <w:spacing w:after="40"/>
        <w:ind w:left="360"/>
      </w:pPr>
      <w:r>
        <w:t xml:space="preserve">a) Summarize all clinical trial results</w:t>
      </w:r>
    </w:p>
    <w:p>
      <w:pPr>
        <w:spacing w:after="40"/>
        <w:ind w:left="360"/>
      </w:pPr>
      <w:r>
        <w:t xml:space="preserve">b) Provide a defensible B-R determination with key drivers and re-evaluation triggers</w:t>
      </w:r>
    </w:p>
    <w:p>
      <w:pPr>
        <w:spacing w:after="40"/>
        <w:ind w:left="360"/>
      </w:pPr>
      <w:r>
        <w:t xml:space="preserve">c) Calculate the final B-R score</w:t>
      </w:r>
    </w:p>
    <w:p>
      <w:pPr>
        <w:spacing w:after="120"/>
        <w:ind w:left="360"/>
      </w:pPr>
      <w:r>
        <w:t xml:space="preserve">d) Compare the product to all available alternatives</w:t>
      </w:r>
    </w:p>
    <w:p>
      <w:pPr>
        <w:spacing w:after="80"/>
      </w:pPr>
      <w:r>
        <w:rPr>
          <w:b/>
          <w:bCs/>
        </w:rPr>
        <w:t xml:space="preserve">10. The 'Uncertainty Paradox' described in CIOMS WG XII refers to:</w:t>
      </w:r>
    </w:p>
    <w:p>
      <w:pPr>
        <w:spacing w:after="40"/>
        <w:ind w:left="360"/>
      </w:pPr>
      <w:r>
        <w:t xml:space="preserve">a) The difficulty of measuring uncertainty quantitatively</w:t>
      </w:r>
    </w:p>
    <w:p>
      <w:pPr>
        <w:spacing w:after="40"/>
        <w:ind w:left="360"/>
      </w:pPr>
      <w:r>
        <w:t xml:space="preserve">b) Some uncertainties decrease while others increase as evidence accumulates</w:t>
      </w:r>
    </w:p>
    <w:p>
      <w:pPr>
        <w:spacing w:after="40"/>
        <w:ind w:left="360"/>
      </w:pPr>
      <w:r>
        <w:t xml:space="preserve">c) Uncertainty is always highest at the time of approval</w:t>
      </w:r>
    </w:p>
    <w:p>
      <w:pPr>
        <w:spacing w:after="200"/>
        <w:ind w:left="360"/>
      </w:pPr>
      <w:r>
        <w:t xml:space="preserve">d) Regulators and sponsors have different uncertainty tolerances</w:t>
      </w:r>
    </w:p>
    <w:p>
      <w:r>
        <w:br w:type="page"/>
      </w:r>
    </w:p>
    <w:p>
      <w:pPr>
        <w:pStyle w:val="Heading2"/>
      </w:pPr>
      <w:r>
        <w:t xml:space="preserve">Section 3: Quantitative Methods (Questions 11-17)</w:t>
      </w:r>
    </w:p>
    <w:p>
      <w:pPr>
        <w:spacing w:before="200" w:after="80"/>
      </w:pPr>
      <w:r>
        <w:rPr>
          <w:b/>
          <w:bCs/>
        </w:rPr>
        <w:t xml:space="preserve">11. In MCDA, 'normalization' refers to:</w:t>
      </w:r>
    </w:p>
    <w:p>
      <w:pPr>
        <w:spacing w:after="40"/>
        <w:ind w:left="360"/>
      </w:pPr>
      <w:r>
        <w:t xml:space="preserve">a) Adjusting for baseline differences between treatment groups</w:t>
      </w:r>
    </w:p>
    <w:p>
      <w:pPr>
        <w:spacing w:after="40"/>
        <w:ind w:left="360"/>
      </w:pPr>
      <w:r>
        <w:t xml:space="preserve">b) Converting raw performance data to a common scale (typically 0-100)</w:t>
      </w:r>
    </w:p>
    <w:p>
      <w:pPr>
        <w:spacing w:after="40"/>
        <w:ind w:left="360"/>
      </w:pPr>
      <w:r>
        <w:t xml:space="preserve">c) Ensuring weights sum to 100%</w:t>
      </w:r>
    </w:p>
    <w:p>
      <w:pPr>
        <w:spacing w:after="120"/>
        <w:ind w:left="360"/>
      </w:pPr>
      <w:r>
        <w:t xml:space="preserve">d) Standardizing confidence intervals across endpoints</w:t>
      </w:r>
    </w:p>
    <w:p>
      <w:pPr>
        <w:spacing w:after="80"/>
      </w:pPr>
      <w:r>
        <w:rPr>
          <w:b/>
          <w:bCs/>
        </w:rPr>
        <w:t xml:space="preserve">12. Swing weighting is a method for:</w:t>
      </w:r>
    </w:p>
    <w:p>
      <w:pPr>
        <w:spacing w:after="40"/>
        <w:ind w:left="360"/>
      </w:pPr>
      <w:r>
        <w:t xml:space="preserve">a) Calculating the variance in treatment effects</w:t>
      </w:r>
    </w:p>
    <w:p>
      <w:pPr>
        <w:spacing w:after="40"/>
        <w:ind w:left="360"/>
      </w:pPr>
      <w:r>
        <w:t xml:space="preserve">b) Eliciting criterion weights based on the importance of moving from worst to best</w:t>
      </w:r>
    </w:p>
    <w:p>
      <w:pPr>
        <w:spacing w:after="40"/>
        <w:ind w:left="360"/>
      </w:pPr>
      <w:r>
        <w:t xml:space="preserve">c) Adjusting for swings in patient preferences over time</w:t>
      </w:r>
    </w:p>
    <w:p>
      <w:pPr>
        <w:spacing w:after="120"/>
        <w:ind w:left="360"/>
      </w:pPr>
      <w:r>
        <w:t xml:space="preserve">d) Normalizing efficacy and safety data to equal scales</w:t>
      </w:r>
    </w:p>
    <w:p>
      <w:pPr>
        <w:spacing w:after="80"/>
      </w:pPr>
      <w:r>
        <w:rPr>
          <w:b/>
          <w:bCs/>
        </w:rPr>
        <w:t xml:space="preserve">13. Discrete Choice Experiments (DCE) are used to:</w:t>
      </w:r>
    </w:p>
    <w:p>
      <w:pPr>
        <w:spacing w:after="40"/>
        <w:ind w:left="360"/>
      </w:pPr>
      <w:r>
        <w:t xml:space="preserve">a) Determine statistical significance of treatment differences</w:t>
      </w:r>
    </w:p>
    <w:p>
      <w:pPr>
        <w:spacing w:after="40"/>
        <w:ind w:left="360"/>
      </w:pPr>
      <w:r>
        <w:t xml:space="preserve">b) Quantify patient preferences by analyzing repeated choices between treatment profiles</w:t>
      </w:r>
    </w:p>
    <w:p>
      <w:pPr>
        <w:spacing w:after="40"/>
        <w:ind w:left="360"/>
      </w:pPr>
      <w:r>
        <w:t xml:space="preserve">c) Compare discrete clinical endpoints across trials</w:t>
      </w:r>
    </w:p>
    <w:p>
      <w:pPr>
        <w:spacing w:after="120"/>
        <w:ind w:left="360"/>
      </w:pPr>
      <w:r>
        <w:t xml:space="preserve">d) Test for preference heterogeneity in regulatory committees</w:t>
      </w:r>
    </w:p>
    <w:p>
      <w:pPr>
        <w:spacing w:after="80"/>
      </w:pPr>
      <w:r>
        <w:rPr>
          <w:b/>
          <w:bCs/>
        </w:rPr>
        <w:t xml:space="preserve">14. The Effects Table should present benefits and risks:</w:t>
      </w:r>
    </w:p>
    <w:p>
      <w:pPr>
        <w:spacing w:after="40"/>
        <w:ind w:left="360"/>
      </w:pPr>
      <w:r>
        <w:t xml:space="preserve">a) In separate documents to avoid confusion</w:t>
      </w:r>
    </w:p>
    <w:p>
      <w:pPr>
        <w:spacing w:after="40"/>
        <w:ind w:left="360"/>
      </w:pPr>
      <w:r>
        <w:t xml:space="preserve">b) Side-by-side with comparable metrics and uncertainty indicators</w:t>
      </w:r>
    </w:p>
    <w:p>
      <w:pPr>
        <w:spacing w:after="40"/>
        <w:ind w:left="360"/>
      </w:pPr>
      <w:r>
        <w:t xml:space="preserve">c) Benefits first with risks in an appendix</w:t>
      </w:r>
    </w:p>
    <w:p>
      <w:pPr>
        <w:spacing w:after="120"/>
        <w:ind w:left="360"/>
      </w:pPr>
      <w:r>
        <w:t xml:space="preserve">d) As relative measures only to facilitate comparison</w:t>
      </w:r>
    </w:p>
    <w:p>
      <w:pPr>
        <w:spacing w:after="80"/>
      </w:pPr>
      <w:r>
        <w:rPr>
          <w:b/>
          <w:bCs/>
        </w:rPr>
        <w:t xml:space="preserve">15. NNT (Number Needed to Treat) and NNH (Number Needed to Harm) are useful because they:</w:t>
      </w:r>
    </w:p>
    <w:p>
      <w:pPr>
        <w:spacing w:after="40"/>
        <w:ind w:left="360"/>
      </w:pPr>
      <w:r>
        <w:t xml:space="preserve">a) Are required by all regulatory authorities</w:t>
      </w:r>
    </w:p>
    <w:p>
      <w:pPr>
        <w:spacing w:after="40"/>
        <w:ind w:left="360"/>
      </w:pPr>
      <w:r>
        <w:t xml:space="preserve">b) Express benefits and risks on the same scale, enabling direct comparison</w:t>
      </w:r>
    </w:p>
    <w:p>
      <w:pPr>
        <w:spacing w:after="40"/>
        <w:ind w:left="360"/>
      </w:pPr>
      <w:r>
        <w:t xml:space="preserve">c) Account for patient preferences automatically</w:t>
      </w:r>
    </w:p>
    <w:p>
      <w:pPr>
        <w:spacing w:after="120"/>
        <w:ind w:left="360"/>
      </w:pPr>
      <w:r>
        <w:t xml:space="preserve">d) Eliminate the need for confidence intervals</w:t>
      </w:r>
    </w:p>
    <w:p>
      <w:pPr>
        <w:spacing w:after="80"/>
      </w:pPr>
      <w:r>
        <w:rPr>
          <w:b/>
          <w:bCs/>
        </w:rPr>
        <w:t xml:space="preserve">16. DOOR (Desirability of Outcome Ranking) analysis:</w:t>
      </w:r>
    </w:p>
    <w:p>
      <w:pPr>
        <w:spacing w:after="40"/>
        <w:ind w:left="360"/>
      </w:pPr>
      <w:r>
        <w:t xml:space="preserve">a) Requires explicit numerical weights for all outcomes</w:t>
      </w:r>
    </w:p>
    <w:p>
      <w:pPr>
        <w:spacing w:after="40"/>
        <w:ind w:left="360"/>
      </w:pPr>
      <w:r>
        <w:t xml:space="preserve">b) Ranks outcomes hierarchically and compares distributions between groups</w:t>
      </w:r>
    </w:p>
    <w:p>
      <w:pPr>
        <w:spacing w:after="40"/>
        <w:ind w:left="360"/>
      </w:pPr>
      <w:r>
        <w:t xml:space="preserve">c) Is only applicable to mortality outcomes</w:t>
      </w:r>
    </w:p>
    <w:p>
      <w:pPr>
        <w:spacing w:after="120"/>
        <w:ind w:left="360"/>
      </w:pPr>
      <w:r>
        <w:t xml:space="preserve">d) Cannot handle composite endpoints</w:t>
      </w:r>
    </w:p>
    <w:p>
      <w:pPr>
        <w:spacing w:after="80"/>
      </w:pPr>
      <w:r>
        <w:rPr>
          <w:b/>
          <w:bCs/>
        </w:rPr>
        <w:t xml:space="preserve">17. Sensitivity analysis in MCDA tests:</w:t>
      </w:r>
    </w:p>
    <w:p>
      <w:pPr>
        <w:spacing w:after="40"/>
        <w:ind w:left="360"/>
      </w:pPr>
      <w:r>
        <w:t xml:space="preserve">a) Whether patients are sensitive to treatment effects</w:t>
      </w:r>
    </w:p>
    <w:p>
      <w:pPr>
        <w:spacing w:after="40"/>
        <w:ind w:left="360"/>
      </w:pPr>
      <w:r>
        <w:t xml:space="preserve">b) Whether conclusions change when weight assumptions vary</w:t>
      </w:r>
    </w:p>
    <w:p>
      <w:pPr>
        <w:spacing w:after="40"/>
        <w:ind w:left="360"/>
      </w:pPr>
      <w:r>
        <w:t xml:space="preserve">c) The statistical sensitivity of the analysis</w:t>
      </w:r>
    </w:p>
    <w:p>
      <w:pPr>
        <w:spacing w:after="200"/>
        <w:ind w:left="360"/>
      </w:pPr>
      <w:r>
        <w:t xml:space="preserve">d) Whether normalized scores are accurate</w:t>
      </w:r>
    </w:p>
    <w:p>
      <w:pPr>
        <w:pStyle w:val="Heading2"/>
      </w:pPr>
      <w:r>
        <w:t xml:space="preserve">Section 4: Risk Management &amp; Regulatory (Questions 18-25)</w:t>
      </w:r>
    </w:p>
    <w:p>
      <w:pPr>
        <w:spacing w:before="200" w:after="80"/>
      </w:pPr>
      <w:r>
        <w:rPr>
          <w:b/>
          <w:bCs/>
        </w:rPr>
        <w:t xml:space="preserve">18. 'Routine risk minimization measures' include all of the following EXCEPT:</w:t>
      </w:r>
    </w:p>
    <w:p>
      <w:pPr>
        <w:spacing w:after="40"/>
        <w:ind w:left="360"/>
      </w:pPr>
      <w:r>
        <w:t xml:space="preserve">a) Prescribing information (SmPC/USPI)</w:t>
      </w:r>
    </w:p>
    <w:p>
      <w:pPr>
        <w:spacing w:after="40"/>
        <w:ind w:left="360"/>
      </w:pPr>
      <w:r>
        <w:t xml:space="preserve">b) Patient information leaflet</w:t>
      </w:r>
    </w:p>
    <w:p>
      <w:pPr>
        <w:spacing w:after="40"/>
        <w:ind w:left="360"/>
      </w:pPr>
      <w:r>
        <w:t xml:space="preserve">c) REMS with Elements to Assure Safe Use</w:t>
      </w:r>
    </w:p>
    <w:p>
      <w:pPr>
        <w:spacing w:after="120"/>
        <w:ind w:left="360"/>
      </w:pPr>
      <w:r>
        <w:t xml:space="preserve">d) Pack size and legal status</w:t>
      </w:r>
    </w:p>
    <w:p>
      <w:pPr>
        <w:spacing w:after="80"/>
      </w:pPr>
      <w:r>
        <w:rPr>
          <w:b/>
          <w:bCs/>
        </w:rPr>
        <w:t xml:space="preserve">19. According to CIOMS WG XII, when should B-R assessment be re-evaluated?</w:t>
      </w:r>
    </w:p>
    <w:p>
      <w:pPr>
        <w:spacing w:after="40"/>
        <w:ind w:left="360"/>
      </w:pPr>
      <w:r>
        <w:t xml:space="preserve">a) Only during periodic safety update reports</w:t>
      </w:r>
    </w:p>
    <w:p>
      <w:pPr>
        <w:spacing w:after="40"/>
        <w:ind w:left="360"/>
      </w:pPr>
      <w:r>
        <w:t xml:space="preserve">b) When triggered by new safety signals, new benefit data, or context changes</w:t>
      </w:r>
    </w:p>
    <w:p>
      <w:pPr>
        <w:spacing w:after="40"/>
        <w:ind w:left="360"/>
      </w:pPr>
      <w:r>
        <w:t xml:space="preserve">c) Every 5 years after approval</w:t>
      </w:r>
    </w:p>
    <w:p>
      <w:pPr>
        <w:spacing w:after="120"/>
        <w:ind w:left="360"/>
      </w:pPr>
      <w:r>
        <w:t xml:space="preserve">d) Only when requested by regulatory authorities</w:t>
      </w:r>
    </w:p>
    <w:p>
      <w:pPr>
        <w:spacing w:after="80"/>
      </w:pPr>
      <w:r>
        <w:rPr>
          <w:b/>
          <w:bCs/>
        </w:rPr>
        <w:t xml:space="preserve">20. The FDA Benefit-Risk Framework (2013) and EMA PrOACT-URL are:</w:t>
      </w:r>
    </w:p>
    <w:p>
      <w:pPr>
        <w:spacing w:after="40"/>
        <w:ind w:left="360"/>
      </w:pPr>
      <w:r>
        <w:t xml:space="preserve">a) Mutually exclusive approaches to B-R assessment</w:t>
      </w:r>
    </w:p>
    <w:p>
      <w:pPr>
        <w:spacing w:after="40"/>
        <w:ind w:left="360"/>
      </w:pPr>
      <w:r>
        <w:t xml:space="preserve">b) Different but compatible frameworks aligned with CIOMS WG XII principles</w:t>
      </w:r>
    </w:p>
    <w:p>
      <w:pPr>
        <w:spacing w:after="40"/>
        <w:ind w:left="360"/>
      </w:pPr>
      <w:r>
        <w:t xml:space="preserve">c) Quantitative methods that replace descriptive approaches</w:t>
      </w:r>
    </w:p>
    <w:p>
      <w:pPr>
        <w:spacing w:after="120"/>
        <w:ind w:left="360"/>
      </w:pPr>
      <w:r>
        <w:t xml:space="preserve">d) Applicable only to specific therapeutic areas</w:t>
      </w:r>
    </w:p>
    <w:p>
      <w:pPr>
        <w:spacing w:after="80"/>
      </w:pPr>
      <w:r>
        <w:rPr>
          <w:b/>
          <w:bCs/>
        </w:rPr>
        <w:t xml:space="preserve">21. PBRER (Periodic Benefit-Risk Evaluation Report) is required to:</w:t>
      </w:r>
    </w:p>
    <w:p>
      <w:pPr>
        <w:spacing w:after="40"/>
        <w:ind w:left="360"/>
      </w:pPr>
      <w:r>
        <w:t xml:space="preserve">a) Provide a benefit-risk conclusion for the reporting period</w:t>
      </w:r>
    </w:p>
    <w:p>
      <w:pPr>
        <w:spacing w:after="40"/>
        <w:ind w:left="360"/>
      </w:pPr>
      <w:r>
        <w:t xml:space="preserve">b) List all adverse events reported during the period</w:t>
      </w:r>
    </w:p>
    <w:p>
      <w:pPr>
        <w:spacing w:after="40"/>
        <w:ind w:left="360"/>
      </w:pPr>
      <w:r>
        <w:t xml:space="preserve">c) Submit new efficacy data from clinical trials</w:t>
      </w:r>
    </w:p>
    <w:p>
      <w:pPr>
        <w:spacing w:after="120"/>
        <w:ind w:left="360"/>
      </w:pPr>
      <w:r>
        <w:t xml:space="preserve">d) Calculate quantitative B-R scores</w:t>
      </w:r>
    </w:p>
    <w:p>
      <w:pPr>
        <w:spacing w:after="80"/>
      </w:pPr>
      <w:r>
        <w:rPr>
          <w:b/>
          <w:bCs/>
        </w:rPr>
        <w:t xml:space="preserve">22. Patient preference information is increasingly accepted by regulators because:</w:t>
      </w:r>
    </w:p>
    <w:p>
      <w:pPr>
        <w:spacing w:after="40"/>
        <w:ind w:left="360"/>
      </w:pPr>
      <w:r>
        <w:t xml:space="preserve">a) It replaces the need for clinical efficacy data</w:t>
      </w:r>
    </w:p>
    <w:p>
      <w:pPr>
        <w:spacing w:after="40"/>
        <w:ind w:left="360"/>
      </w:pPr>
      <w:r>
        <w:t xml:space="preserve">b) It provides evidence about what trade-offs patients consider acceptable</w:t>
      </w:r>
    </w:p>
    <w:p>
      <w:pPr>
        <w:spacing w:after="40"/>
        <w:ind w:left="360"/>
      </w:pPr>
      <w:r>
        <w:t xml:space="preserve">c) It is required by ICH E2C(R2)</w:t>
      </w:r>
    </w:p>
    <w:p>
      <w:pPr>
        <w:spacing w:after="120"/>
        <w:ind w:left="360"/>
      </w:pPr>
      <w:r>
        <w:t xml:space="preserve">d) It simplifies the regulatory review process</w:t>
      </w:r>
    </w:p>
    <w:p>
      <w:pPr>
        <w:spacing w:after="80"/>
      </w:pPr>
      <w:r>
        <w:rPr>
          <w:b/>
          <w:bCs/>
        </w:rPr>
        <w:t xml:space="preserve">23. A 'favorable benefit-risk balance' determination means:</w:t>
      </w:r>
    </w:p>
    <w:p>
      <w:pPr>
        <w:spacing w:after="40"/>
        <w:ind w:left="360"/>
      </w:pPr>
      <w:r>
        <w:t xml:space="preserve">a) Benefits exceed risks in all populations</w:t>
      </w:r>
    </w:p>
    <w:p>
      <w:pPr>
        <w:spacing w:after="40"/>
        <w:ind w:left="360"/>
      </w:pPr>
      <w:r>
        <w:t xml:space="preserve">b) Benefits outweigh risks for the defined population under specified conditions of use</w:t>
      </w:r>
    </w:p>
    <w:p>
      <w:pPr>
        <w:spacing w:after="40"/>
        <w:ind w:left="360"/>
      </w:pPr>
      <w:r>
        <w:t xml:space="preserve">c) No serious adverse events have been identified</w:t>
      </w:r>
    </w:p>
    <w:p>
      <w:pPr>
        <w:spacing w:after="120"/>
        <w:ind w:left="360"/>
      </w:pPr>
      <w:r>
        <w:t xml:space="preserve">d) The drug is superior to all available alternatives</w:t>
      </w:r>
    </w:p>
    <w:p>
      <w:pPr>
        <w:spacing w:after="80"/>
      </w:pPr>
      <w:r>
        <w:rPr>
          <w:b/>
          <w:bCs/>
        </w:rPr>
        <w:t xml:space="preserve">24. The 'Checkbox Trap' failure mode refers to:</w:t>
      </w:r>
    </w:p>
    <w:p>
      <w:pPr>
        <w:spacing w:after="40"/>
        <w:ind w:left="360"/>
      </w:pPr>
      <w:r>
        <w:t xml:space="preserve">a) Using too many checkboxes in electronic data capture</w:t>
      </w:r>
    </w:p>
    <w:p>
      <w:pPr>
        <w:spacing w:after="40"/>
        <w:ind w:left="360"/>
      </w:pPr>
      <w:r>
        <w:t xml:space="preserve">b) Treating SBRF as a compliance exercise rather than an analytical synthesis tool</w:t>
      </w:r>
    </w:p>
    <w:p>
      <w:pPr>
        <w:spacing w:after="40"/>
        <w:ind w:left="360"/>
      </w:pPr>
      <w:r>
        <w:t xml:space="preserve">c) Failing to check all adverse event reports</w:t>
      </w:r>
    </w:p>
    <w:p>
      <w:pPr>
        <w:spacing w:after="120"/>
        <w:ind w:left="360"/>
      </w:pPr>
      <w:r>
        <w:t xml:space="preserve">d) Using checkboxes instead of free-text in assessments</w:t>
      </w:r>
    </w:p>
    <w:p>
      <w:pPr>
        <w:spacing w:after="80"/>
      </w:pPr>
      <w:r>
        <w:rPr>
          <w:b/>
          <w:bCs/>
        </w:rPr>
        <w:t xml:space="preserve">25. 'Approval Anchoring' is a cognitive bias where:</w:t>
      </w:r>
    </w:p>
    <w:p>
      <w:pPr>
        <w:spacing w:after="40"/>
        <w:ind w:left="360"/>
      </w:pPr>
      <w:r>
        <w:t xml:space="preserve">a) Patients prefer already-approved treatments</w:t>
      </w:r>
    </w:p>
    <w:p>
      <w:pPr>
        <w:spacing w:after="40"/>
        <w:ind w:left="360"/>
      </w:pPr>
      <w:r>
        <w:t xml:space="preserve">b) The original approval determination overly influences subsequent re-evaluations</w:t>
      </w:r>
    </w:p>
    <w:p>
      <w:pPr>
        <w:spacing w:after="40"/>
        <w:ind w:left="360"/>
      </w:pPr>
      <w:r>
        <w:t xml:space="preserve">c) Regulators anchor to historical approval rates</w:t>
      </w:r>
    </w:p>
    <w:p>
      <w:pPr>
        <w:spacing w:after="200"/>
        <w:ind w:left="360"/>
      </w:pPr>
      <w:r>
        <w:t xml:space="preserve">d) Sponsors anchor expectations to competitor approvals</w:t>
      </w:r>
    </w:p>
    <w:p>
      <w:r>
        <w:br w:type="page"/>
      </w:r>
    </w:p>
    <w:p>
      <w:pPr>
        <w:pStyle w:val="Heading1"/>
      </w:pPr>
      <w:r>
        <w:t xml:space="preserve">  PART B: COMPETENCY CHECKLIST</w:t>
      </w:r>
    </w:p>
    <w:p>
      <w:pPr>
        <w:spacing w:after="200"/>
      </w:pPr>
      <w:r>
        <w:rPr>
          <w:b/>
          <w:bCs/>
        </w:rPr>
        <w:t xml:space="preserve">Instructions: </w:t>
      </w:r>
      <w:r>
        <w:t xml:space="preserve">Check each capability you can perform independently and reliably. Use this to identify development priorities.</w:t>
      </w:r>
    </w:p>
    <w:p>
      <w:pPr>
        <w:pStyle w:val="Heading2"/>
      </w:pPr>
      <w:r>
        <w:t xml:space="preserve">Domain 1: Therapeutic Context</w:t>
      </w:r>
    </w:p>
    <w:p>
      <w:pPr>
        <w:spacing w:after="80"/>
        <w:ind w:left="360"/>
      </w:pPr>
      <w:r>
        <w:rPr>
          <w:sz w:val="22"/>
          <w:szCs w:val="22"/>
        </w:rPr>
        <w:t xml:space="preserve">☐ </w:t>
      </w:r>
      <w:r>
        <w:rPr>
          <w:sz w:val="20"/>
          <w:szCs w:val="20"/>
        </w:rPr>
        <w:t xml:space="preserve">Characterize disease epidemiology using appropriate data sources</w:t>
      </w:r>
    </w:p>
    <w:p>
      <w:pPr>
        <w:spacing w:after="80"/>
        <w:ind w:left="360"/>
      </w:pPr>
      <w:r>
        <w:rPr>
          <w:sz w:val="22"/>
          <w:szCs w:val="22"/>
        </w:rPr>
        <w:t xml:space="preserve">☐ </w:t>
      </w:r>
      <w:r>
        <w:rPr>
          <w:sz w:val="20"/>
          <w:szCs w:val="20"/>
        </w:rPr>
        <w:t xml:space="preserve">Describe the natural history and clinical course of the target condition</w:t>
      </w:r>
    </w:p>
    <w:p>
      <w:pPr>
        <w:spacing w:after="80"/>
        <w:ind w:left="360"/>
      </w:pPr>
      <w:r>
        <w:rPr>
          <w:sz w:val="22"/>
          <w:szCs w:val="22"/>
        </w:rPr>
        <w:t xml:space="preserve">☐ </w:t>
      </w:r>
      <w:r>
        <w:rPr>
          <w:sz w:val="20"/>
          <w:szCs w:val="20"/>
        </w:rPr>
        <w:t xml:space="preserve">Identify and evaluate current treatment alternatives</w:t>
      </w:r>
    </w:p>
    <w:p>
      <w:pPr>
        <w:spacing w:after="80"/>
        <w:ind w:left="360"/>
      </w:pPr>
      <w:r>
        <w:rPr>
          <w:sz w:val="22"/>
          <w:szCs w:val="22"/>
        </w:rPr>
        <w:t xml:space="preserve">☐ </w:t>
      </w:r>
      <w:r>
        <w:rPr>
          <w:sz w:val="20"/>
          <w:szCs w:val="20"/>
        </w:rPr>
        <w:t xml:space="preserve">Articulate the unmet medical need addressed by the product</w:t>
      </w:r>
    </w:p>
    <w:p>
      <w:pPr>
        <w:spacing w:after="80"/>
        <w:ind w:left="360"/>
      </w:pPr>
      <w:r>
        <w:rPr>
          <w:sz w:val="22"/>
          <w:szCs w:val="22"/>
        </w:rPr>
        <w:t xml:space="preserve">☐ </w:t>
      </w:r>
      <w:r>
        <w:rPr>
          <w:sz w:val="20"/>
          <w:szCs w:val="20"/>
        </w:rPr>
        <w:t xml:space="preserve">Define the target population with appropriate inclusion/exclusion considerations</w:t>
      </w:r>
    </w:p>
    <w:p>
      <w:pPr>
        <w:spacing w:after="80"/>
        <w:ind w:left="360"/>
      </w:pPr>
      <w:r>
        <w:rPr>
          <w:sz w:val="22"/>
          <w:szCs w:val="22"/>
        </w:rPr>
        <w:t xml:space="preserve">☐ </w:t>
      </w:r>
      <w:r>
        <w:rPr>
          <w:sz w:val="20"/>
          <w:szCs w:val="20"/>
        </w:rPr>
        <w:t xml:space="preserve">Explain how therapeutic context influences acceptable risk levels</w:t>
      </w:r>
    </w:p>
    <w:p>
      <w:pPr>
        <w:pStyle w:val="Heading2"/>
        <w:spacing w:before="200"/>
      </w:pPr>
      <w:r>
        <w:t xml:space="preserve">Domain 2: Benefits Assessment</w:t>
      </w:r>
    </w:p>
    <w:p>
      <w:pPr>
        <w:spacing w:after="80"/>
        <w:ind w:left="360"/>
      </w:pPr>
      <w:r>
        <w:rPr>
          <w:sz w:val="22"/>
          <w:szCs w:val="22"/>
        </w:rPr>
        <w:t xml:space="preserve">☐ </w:t>
      </w:r>
      <w:r>
        <w:rPr>
          <w:sz w:val="20"/>
          <w:szCs w:val="20"/>
        </w:rPr>
        <w:t xml:space="preserve">Identify and prioritize efficacy endpoints</w:t>
      </w:r>
    </w:p>
    <w:p>
      <w:pPr>
        <w:spacing w:after="80"/>
        <w:ind w:left="360"/>
      </w:pPr>
      <w:r>
        <w:rPr>
          <w:sz w:val="22"/>
          <w:szCs w:val="22"/>
        </w:rPr>
        <w:t xml:space="preserve">☐ </w:t>
      </w:r>
      <w:r>
        <w:rPr>
          <w:sz w:val="20"/>
          <w:szCs w:val="20"/>
        </w:rPr>
        <w:t xml:space="preserve">Calculate and interpret absolute and relative measures (ARR, RRR, NNT, OR, HR)</w:t>
      </w:r>
    </w:p>
    <w:p>
      <w:pPr>
        <w:spacing w:after="80"/>
        <w:ind w:left="360"/>
      </w:pPr>
      <w:r>
        <w:rPr>
          <w:sz w:val="22"/>
          <w:szCs w:val="22"/>
        </w:rPr>
        <w:t xml:space="preserve">☐ </w:t>
      </w:r>
      <w:r>
        <w:rPr>
          <w:sz w:val="20"/>
          <w:szCs w:val="20"/>
        </w:rPr>
        <w:t xml:space="preserve">Assess the clinical significance vs. statistical significance of efficacy results</w:t>
      </w:r>
    </w:p>
    <w:p>
      <w:pPr>
        <w:spacing w:after="80"/>
        <w:ind w:left="360"/>
      </w:pPr>
      <w:r>
        <w:rPr>
          <w:sz w:val="22"/>
          <w:szCs w:val="22"/>
        </w:rPr>
        <w:t xml:space="preserve">☐ </w:t>
      </w:r>
      <w:r>
        <w:rPr>
          <w:sz w:val="20"/>
          <w:szCs w:val="20"/>
        </w:rPr>
        <w:t xml:space="preserve">Evaluate durability and consistency of benefits across subgroups</w:t>
      </w:r>
    </w:p>
    <w:p>
      <w:pPr>
        <w:spacing w:after="80"/>
        <w:ind w:left="360"/>
      </w:pPr>
      <w:r>
        <w:rPr>
          <w:sz w:val="22"/>
          <w:szCs w:val="22"/>
        </w:rPr>
        <w:t xml:space="preserve">☐ </w:t>
      </w:r>
      <w:r>
        <w:rPr>
          <w:sz w:val="20"/>
          <w:szCs w:val="20"/>
        </w:rPr>
        <w:t xml:space="preserve">Compare efficacy to available alternatives using appropriate methods</w:t>
      </w:r>
    </w:p>
    <w:p>
      <w:pPr>
        <w:spacing w:after="80"/>
        <w:ind w:left="360"/>
      </w:pPr>
      <w:r>
        <w:rPr>
          <w:sz w:val="22"/>
          <w:szCs w:val="22"/>
        </w:rPr>
        <w:t xml:space="preserve">☐ </w:t>
      </w:r>
      <w:r>
        <w:rPr>
          <w:sz w:val="20"/>
          <w:szCs w:val="20"/>
        </w:rPr>
        <w:t xml:space="preserve">Construct the benefits section of an Effects Table</w:t>
      </w:r>
    </w:p>
    <w:p>
      <w:pPr>
        <w:pStyle w:val="Heading2"/>
        <w:spacing w:before="200"/>
      </w:pPr>
      <w:r>
        <w:t xml:space="preserve">Domain 3: Risks Assessment</w:t>
      </w:r>
    </w:p>
    <w:p>
      <w:pPr>
        <w:spacing w:after="80"/>
        <w:ind w:left="360"/>
      </w:pPr>
      <w:r>
        <w:rPr>
          <w:sz w:val="22"/>
          <w:szCs w:val="22"/>
        </w:rPr>
        <w:t xml:space="preserve">☐ </w:t>
      </w:r>
      <w:r>
        <w:rPr>
          <w:sz w:val="20"/>
          <w:szCs w:val="20"/>
        </w:rPr>
        <w:t xml:space="preserve">Classify risks using ICH categories (Important Identified, Important Potential, Missing Information)</w:t>
      </w:r>
    </w:p>
    <w:p>
      <w:pPr>
        <w:spacing w:after="80"/>
        <w:ind w:left="360"/>
      </w:pPr>
      <w:r>
        <w:rPr>
          <w:sz w:val="22"/>
          <w:szCs w:val="22"/>
        </w:rPr>
        <w:t xml:space="preserve">☐ </w:t>
      </w:r>
      <w:r>
        <w:rPr>
          <w:sz w:val="20"/>
          <w:szCs w:val="20"/>
        </w:rPr>
        <w:t xml:space="preserve">Characterize adverse events by incidence, severity, reversibility, and detectability</w:t>
      </w:r>
    </w:p>
    <w:p>
      <w:pPr>
        <w:spacing w:after="80"/>
        <w:ind w:left="360"/>
      </w:pPr>
      <w:r>
        <w:rPr>
          <w:sz w:val="22"/>
          <w:szCs w:val="22"/>
        </w:rPr>
        <w:t xml:space="preserve">☐ </w:t>
      </w:r>
      <w:r>
        <w:rPr>
          <w:sz w:val="20"/>
          <w:szCs w:val="20"/>
        </w:rPr>
        <w:t xml:space="preserve">Calculate NNH and compare to NNT for B-R perspective</w:t>
      </w:r>
    </w:p>
    <w:p>
      <w:pPr>
        <w:spacing w:after="80"/>
        <w:ind w:left="360"/>
      </w:pPr>
      <w:r>
        <w:rPr>
          <w:sz w:val="22"/>
          <w:szCs w:val="22"/>
        </w:rPr>
        <w:t xml:space="preserve">☐ </w:t>
      </w:r>
      <w:r>
        <w:rPr>
          <w:sz w:val="20"/>
          <w:szCs w:val="20"/>
        </w:rPr>
        <w:t xml:space="preserve">Identify contextual factors affecting risk interpretation</w:t>
      </w:r>
    </w:p>
    <w:p>
      <w:pPr>
        <w:spacing w:after="80"/>
        <w:ind w:left="360"/>
      </w:pPr>
      <w:r>
        <w:rPr>
          <w:sz w:val="22"/>
          <w:szCs w:val="22"/>
        </w:rPr>
        <w:t xml:space="preserve">☐ </w:t>
      </w:r>
      <w:r>
        <w:rPr>
          <w:sz w:val="20"/>
          <w:szCs w:val="20"/>
        </w:rPr>
        <w:t xml:space="preserve">Evaluate comparative safety using appropriate analytical approaches</w:t>
      </w:r>
    </w:p>
    <w:p>
      <w:pPr>
        <w:spacing w:after="80"/>
        <w:ind w:left="360"/>
      </w:pPr>
      <w:r>
        <w:rPr>
          <w:sz w:val="22"/>
          <w:szCs w:val="22"/>
        </w:rPr>
        <w:t xml:space="preserve">☐ </w:t>
      </w:r>
      <w:r>
        <w:rPr>
          <w:sz w:val="20"/>
          <w:szCs w:val="20"/>
        </w:rPr>
        <w:t xml:space="preserve">Construct the risks section of an Effects Table</w:t>
      </w:r>
    </w:p>
    <w:p>
      <w:pPr>
        <w:pStyle w:val="Heading2"/>
        <w:spacing w:before="200"/>
      </w:pPr>
      <w:r>
        <w:t xml:space="preserve">Domain 4: Uncertainty Assessment</w:t>
      </w:r>
    </w:p>
    <w:p>
      <w:pPr>
        <w:spacing w:after="80"/>
        <w:ind w:left="360"/>
      </w:pPr>
      <w:r>
        <w:rPr>
          <w:sz w:val="22"/>
          <w:szCs w:val="22"/>
        </w:rPr>
        <w:t xml:space="preserve">☐ </w:t>
      </w:r>
      <w:r>
        <w:rPr>
          <w:sz w:val="20"/>
          <w:szCs w:val="20"/>
        </w:rPr>
        <w:t xml:space="preserve">Identify sources of statistical uncertainty (confidence intervals, sample size)</w:t>
      </w:r>
    </w:p>
    <w:p>
      <w:pPr>
        <w:spacing w:after="80"/>
        <w:ind w:left="360"/>
      </w:pPr>
      <w:r>
        <w:rPr>
          <w:sz w:val="22"/>
          <w:szCs w:val="22"/>
        </w:rPr>
        <w:t xml:space="preserve">☐ </w:t>
      </w:r>
      <w:r>
        <w:rPr>
          <w:sz w:val="20"/>
          <w:szCs w:val="20"/>
        </w:rPr>
        <w:t xml:space="preserve">Assess generalizability limitations of clinical trial evidence</w:t>
      </w:r>
    </w:p>
    <w:p>
      <w:pPr>
        <w:spacing w:after="80"/>
        <w:ind w:left="360"/>
      </w:pPr>
      <w:r>
        <w:rPr>
          <w:sz w:val="22"/>
          <w:szCs w:val="22"/>
        </w:rPr>
        <w:t xml:space="preserve">☐ </w:t>
      </w:r>
      <w:r>
        <w:rPr>
          <w:sz w:val="20"/>
          <w:szCs w:val="20"/>
        </w:rPr>
        <w:t xml:space="preserve">Evaluate evidence quality using established frameworks</w:t>
      </w:r>
    </w:p>
    <w:p>
      <w:pPr>
        <w:spacing w:after="80"/>
        <w:ind w:left="360"/>
      </w:pPr>
      <w:r>
        <w:rPr>
          <w:sz w:val="22"/>
          <w:szCs w:val="22"/>
        </w:rPr>
        <w:t xml:space="preserve">☐ </w:t>
      </w:r>
      <w:r>
        <w:rPr>
          <w:sz w:val="20"/>
          <w:szCs w:val="20"/>
        </w:rPr>
        <w:t xml:space="preserve">Document missing information and its potential impact on B-R conclusions</w:t>
      </w:r>
    </w:p>
    <w:p>
      <w:pPr>
        <w:spacing w:after="80"/>
        <w:ind w:left="360"/>
      </w:pPr>
      <w:r>
        <w:rPr>
          <w:sz w:val="22"/>
          <w:szCs w:val="22"/>
        </w:rPr>
        <w:t xml:space="preserve">☐ </w:t>
      </w:r>
      <w:r>
        <w:rPr>
          <w:sz w:val="20"/>
          <w:szCs w:val="20"/>
        </w:rPr>
        <w:t xml:space="preserve">Describe planned studies that will address current uncertainties</w:t>
      </w:r>
    </w:p>
    <w:p>
      <w:pPr>
        <w:spacing w:after="80"/>
        <w:ind w:left="360"/>
      </w:pPr>
      <w:r>
        <w:rPr>
          <w:sz w:val="22"/>
          <w:szCs w:val="22"/>
        </w:rPr>
        <w:t xml:space="preserve">☐ </w:t>
      </w:r>
      <w:r>
        <w:rPr>
          <w:sz w:val="20"/>
          <w:szCs w:val="20"/>
        </w:rPr>
        <w:t xml:space="preserve">Communicate uncertainty appropriately to different stakeholders</w:t>
      </w:r>
    </w:p>
    <w:p>
      <w:r>
        <w:br w:type="page"/>
      </w:r>
    </w:p>
    <w:p>
      <w:pPr>
        <w:pStyle w:val="Heading2"/>
      </w:pPr>
      <w:r>
        <w:t xml:space="preserve">Domain 5: Conclusions &amp; Risk Management</w:t>
      </w:r>
    </w:p>
    <w:p>
      <w:pPr>
        <w:spacing w:after="80"/>
        <w:ind w:left="360"/>
      </w:pPr>
      <w:r>
        <w:rPr>
          <w:sz w:val="22"/>
          <w:szCs w:val="22"/>
        </w:rPr>
        <w:t xml:space="preserve">☐ </w:t>
      </w:r>
      <w:r>
        <w:rPr>
          <w:sz w:val="20"/>
          <w:szCs w:val="20"/>
        </w:rPr>
        <w:t xml:space="preserve">Synthesize findings from Domains 1-4 into an integrated B-R conclusion</w:t>
      </w:r>
    </w:p>
    <w:p>
      <w:pPr>
        <w:spacing w:after="80"/>
        <w:ind w:left="360"/>
      </w:pPr>
      <w:r>
        <w:rPr>
          <w:sz w:val="22"/>
          <w:szCs w:val="22"/>
        </w:rPr>
        <w:t xml:space="preserve">☐ </w:t>
      </w:r>
      <w:r>
        <w:rPr>
          <w:sz w:val="20"/>
          <w:szCs w:val="20"/>
        </w:rPr>
        <w:t xml:space="preserve">Articulate key drivers of the B-R determination</w:t>
      </w:r>
    </w:p>
    <w:p>
      <w:pPr>
        <w:spacing w:after="80"/>
        <w:ind w:left="360"/>
      </w:pPr>
      <w:r>
        <w:rPr>
          <w:sz w:val="22"/>
          <w:szCs w:val="22"/>
        </w:rPr>
        <w:t xml:space="preserve">☐ </w:t>
      </w:r>
      <w:r>
        <w:rPr>
          <w:sz w:val="20"/>
          <w:szCs w:val="20"/>
        </w:rPr>
        <w:t xml:space="preserve">Identify appropriate conditions and restrictions for favorable B-R</w:t>
      </w:r>
    </w:p>
    <w:p>
      <w:pPr>
        <w:spacing w:after="80"/>
        <w:ind w:left="360"/>
      </w:pPr>
      <w:r>
        <w:rPr>
          <w:sz w:val="22"/>
          <w:szCs w:val="22"/>
        </w:rPr>
        <w:t xml:space="preserve">☐ </w:t>
      </w:r>
      <w:r>
        <w:rPr>
          <w:sz w:val="20"/>
          <w:szCs w:val="20"/>
        </w:rPr>
        <w:t xml:space="preserve">Propose proportionate risk minimization measures</w:t>
      </w:r>
    </w:p>
    <w:p>
      <w:pPr>
        <w:spacing w:after="80"/>
        <w:ind w:left="360"/>
      </w:pPr>
      <w:r>
        <w:rPr>
          <w:sz w:val="22"/>
          <w:szCs w:val="22"/>
        </w:rPr>
        <w:t xml:space="preserve">☐ </w:t>
      </w:r>
      <w:r>
        <w:rPr>
          <w:sz w:val="20"/>
          <w:szCs w:val="20"/>
        </w:rPr>
        <w:t xml:space="preserve">Define specific, measurable re-evaluation triggers</w:t>
      </w:r>
    </w:p>
    <w:p>
      <w:pPr>
        <w:spacing w:after="80"/>
        <w:ind w:left="360"/>
      </w:pPr>
      <w:r>
        <w:rPr>
          <w:sz w:val="22"/>
          <w:szCs w:val="22"/>
        </w:rPr>
        <w:t xml:space="preserve">☐ </w:t>
      </w:r>
      <w:r>
        <w:rPr>
          <w:sz w:val="20"/>
          <w:szCs w:val="20"/>
        </w:rPr>
        <w:t xml:space="preserve">Prepare B-R conclusions suitable for regulatory submission</w:t>
      </w:r>
    </w:p>
    <w:p>
      <w:pPr>
        <w:pStyle w:val="Heading2"/>
        <w:spacing w:before="200"/>
      </w:pPr>
      <w:r>
        <w:t xml:space="preserve">Quantitative Methods</w:t>
      </w:r>
    </w:p>
    <w:p>
      <w:pPr>
        <w:spacing w:after="80"/>
        <w:ind w:left="360"/>
      </w:pPr>
      <w:r>
        <w:rPr>
          <w:sz w:val="22"/>
          <w:szCs w:val="22"/>
        </w:rPr>
        <w:t xml:space="preserve">☐ </w:t>
      </w:r>
      <w:r>
        <w:rPr>
          <w:sz w:val="20"/>
          <w:szCs w:val="20"/>
        </w:rPr>
        <w:t xml:space="preserve">Construct and populate an Effects Table with appropriate metrics</w:t>
      </w:r>
    </w:p>
    <w:p>
      <w:pPr>
        <w:spacing w:after="80"/>
        <w:ind w:left="360"/>
      </w:pPr>
      <w:r>
        <w:rPr>
          <w:sz w:val="22"/>
          <w:szCs w:val="22"/>
        </w:rPr>
        <w:t xml:space="preserve">☐ </w:t>
      </w:r>
      <w:r>
        <w:rPr>
          <w:sz w:val="20"/>
          <w:szCs w:val="20"/>
        </w:rPr>
        <w:t xml:space="preserve">Perform MCDA: define criteria, measure performance, normalize scores</w:t>
      </w:r>
    </w:p>
    <w:p>
      <w:pPr>
        <w:spacing w:after="80"/>
        <w:ind w:left="360"/>
      </w:pPr>
      <w:r>
        <w:rPr>
          <w:sz w:val="22"/>
          <w:szCs w:val="22"/>
        </w:rPr>
        <w:t xml:space="preserve">☐ </w:t>
      </w:r>
      <w:r>
        <w:rPr>
          <w:sz w:val="20"/>
          <w:szCs w:val="20"/>
        </w:rPr>
        <w:t xml:space="preserve">Conduct swing weighting to elicit criterion weights</w:t>
      </w:r>
    </w:p>
    <w:p>
      <w:pPr>
        <w:spacing w:after="80"/>
        <w:ind w:left="360"/>
      </w:pPr>
      <w:r>
        <w:rPr>
          <w:sz w:val="22"/>
          <w:szCs w:val="22"/>
        </w:rPr>
        <w:t xml:space="preserve">☐ </w:t>
      </w:r>
      <w:r>
        <w:rPr>
          <w:sz w:val="20"/>
          <w:szCs w:val="20"/>
        </w:rPr>
        <w:t xml:space="preserve">Calculate weighted scores and overall MCDA rankings</w:t>
      </w:r>
    </w:p>
    <w:p>
      <w:pPr>
        <w:spacing w:after="80"/>
        <w:ind w:left="360"/>
      </w:pPr>
      <w:r>
        <w:rPr>
          <w:sz w:val="22"/>
          <w:szCs w:val="22"/>
        </w:rPr>
        <w:t xml:space="preserve">☐ </w:t>
      </w:r>
      <w:r>
        <w:rPr>
          <w:sz w:val="20"/>
          <w:szCs w:val="20"/>
        </w:rPr>
        <w:t xml:space="preserve">Perform sensitivity analysis to test robustness of conclusions</w:t>
      </w:r>
    </w:p>
    <w:p>
      <w:pPr>
        <w:spacing w:after="80"/>
        <w:ind w:left="360"/>
      </w:pPr>
      <w:r>
        <w:rPr>
          <w:sz w:val="22"/>
          <w:szCs w:val="22"/>
        </w:rPr>
        <w:t xml:space="preserve">☐ </w:t>
      </w:r>
      <w:r>
        <w:rPr>
          <w:sz w:val="20"/>
          <w:szCs w:val="20"/>
        </w:rPr>
        <w:t xml:space="preserve">Interpret patient preference study results (DCE, BWS, threshold)</w:t>
      </w:r>
    </w:p>
    <w:p>
      <w:pPr>
        <w:spacing w:after="80"/>
        <w:ind w:left="360"/>
      </w:pPr>
      <w:r>
        <w:rPr>
          <w:sz w:val="22"/>
          <w:szCs w:val="22"/>
        </w:rPr>
        <w:t xml:space="preserve">☐ </w:t>
      </w:r>
      <w:r>
        <w:rPr>
          <w:sz w:val="20"/>
          <w:szCs w:val="20"/>
        </w:rPr>
        <w:t xml:space="preserve">Apply DOOR analysis methodology for composite outcomes</w:t>
      </w:r>
    </w:p>
    <w:p>
      <w:pPr>
        <w:pStyle w:val="Heading2"/>
        <w:spacing w:before="200"/>
      </w:pPr>
      <w:r>
        <w:t xml:space="preserve">Communication &amp; Documentation</w:t>
      </w:r>
    </w:p>
    <w:p>
      <w:pPr>
        <w:spacing w:after="80"/>
        <w:ind w:left="360"/>
      </w:pPr>
      <w:r>
        <w:rPr>
          <w:sz w:val="22"/>
          <w:szCs w:val="22"/>
        </w:rPr>
        <w:t xml:space="preserve">☐ </w:t>
      </w:r>
      <w:r>
        <w:rPr>
          <w:sz w:val="20"/>
          <w:szCs w:val="20"/>
        </w:rPr>
        <w:t xml:space="preserve">Prepare SBRF documentation compliant with regulatory expectations</w:t>
      </w:r>
    </w:p>
    <w:p>
      <w:pPr>
        <w:spacing w:after="80"/>
        <w:ind w:left="360"/>
      </w:pPr>
      <w:r>
        <w:rPr>
          <w:sz w:val="22"/>
          <w:szCs w:val="22"/>
        </w:rPr>
        <w:t xml:space="preserve">☐ </w:t>
      </w:r>
      <w:r>
        <w:rPr>
          <w:sz w:val="20"/>
          <w:szCs w:val="20"/>
        </w:rPr>
        <w:t xml:space="preserve">Present B-R assessments to internal decision-makers</w:t>
      </w:r>
    </w:p>
    <w:p>
      <w:pPr>
        <w:spacing w:after="80"/>
        <w:ind w:left="360"/>
      </w:pPr>
      <w:r>
        <w:rPr>
          <w:sz w:val="22"/>
          <w:szCs w:val="22"/>
        </w:rPr>
        <w:t xml:space="preserve">☐ </w:t>
      </w:r>
      <w:r>
        <w:rPr>
          <w:sz w:val="20"/>
          <w:szCs w:val="20"/>
        </w:rPr>
        <w:t xml:space="preserve">Prepare B-R content for regulatory meeting briefing documents</w:t>
      </w:r>
    </w:p>
    <w:p>
      <w:pPr>
        <w:spacing w:after="80"/>
        <w:ind w:left="360"/>
      </w:pPr>
      <w:r>
        <w:rPr>
          <w:sz w:val="22"/>
          <w:szCs w:val="22"/>
        </w:rPr>
        <w:t xml:space="preserve">☐ </w:t>
      </w:r>
      <w:r>
        <w:rPr>
          <w:sz w:val="20"/>
          <w:szCs w:val="20"/>
        </w:rPr>
        <w:t xml:space="preserve">Respond to regulatory questions regarding B-R methodology</w:t>
      </w:r>
    </w:p>
    <w:p>
      <w:pPr>
        <w:spacing w:after="80"/>
        <w:ind w:left="360"/>
      </w:pPr>
      <w:r>
        <w:rPr>
          <w:sz w:val="22"/>
          <w:szCs w:val="22"/>
        </w:rPr>
        <w:t xml:space="preserve">☐ </w:t>
      </w:r>
      <w:r>
        <w:rPr>
          <w:sz w:val="20"/>
          <w:szCs w:val="20"/>
        </w:rPr>
        <w:t xml:space="preserve">Create visualizations that effectively communicate B-R findings</w:t>
      </w:r>
    </w:p>
    <w:p>
      <w:pPr>
        <w:spacing w:after="80"/>
        <w:ind w:left="360"/>
      </w:pPr>
      <w:r>
        <w:rPr>
          <w:sz w:val="22"/>
          <w:szCs w:val="22"/>
        </w:rPr>
        <w:t xml:space="preserve">☐ </w:t>
      </w:r>
      <w:r>
        <w:rPr>
          <w:sz w:val="20"/>
          <w:szCs w:val="20"/>
        </w:rPr>
        <w:t xml:space="preserve">Adapt B-R communication for different stakeholder audiences</w:t>
      </w:r>
    </w:p>
    <w:p>
      <w:r>
        <w:br w:type="page"/>
      </w:r>
    </w:p>
    <w:p>
      <w:pPr>
        <w:pStyle w:val="Heading1"/>
      </w:pPr>
      <w:r>
        <w:t xml:space="preserve">  PART C: ANSWER KEY &amp; SCORING GUIDE</w:t>
      </w:r>
    </w:p>
    <w:p>
      <w:pPr>
        <w:pStyle w:val="Heading2"/>
      </w:pPr>
      <w:r>
        <w:t xml:space="preserve">Quiz Answer Key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000"/>
        <w:gridCol w:w="6000"/>
      </w:tblGrid>
      <w:tr>
        <w:trPr>
          <w:tblHeader/>
        </w:trPr>
        <w:tc>
          <w:tcPr>
            <w:tcW w:type="dxa" w:w="1200"/>
            <w:tcBorders>
              <w:top w:val="single" w:color="64748B" w:sz="8"/>
              <w:left w:val="single" w:color="64748B" w:sz="8"/>
              <w:bottom w:val="single" w:color="64748B" w:sz="8"/>
              <w:right w:val="single" w:color="64748B" w:sz="8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Question</w:t>
            </w:r>
          </w:p>
        </w:tc>
        <w:tc>
          <w:tcPr>
            <w:tcW w:type="dxa" w:w="1000"/>
            <w:tcBorders>
              <w:top w:val="single" w:color="64748B" w:sz="8"/>
              <w:left w:val="single" w:color="64748B" w:sz="8"/>
              <w:bottom w:val="single" w:color="64748B" w:sz="8"/>
              <w:right w:val="single" w:color="64748B" w:sz="8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Answer</w:t>
            </w:r>
          </w:p>
        </w:tc>
        <w:tc>
          <w:tcPr>
            <w:tcW w:type="dxa" w:w="6000"/>
            <w:tcBorders>
              <w:top w:val="single" w:color="64748B" w:sz="8"/>
              <w:left w:val="single" w:color="64748B" w:sz="8"/>
              <w:bottom w:val="single" w:color="64748B" w:sz="8"/>
              <w:right w:val="single" w:color="64748B" w:sz="8"/>
            </w:tcBorders>
            <w:shd w:fill="1A365D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Rationale</w:t>
            </w:r>
          </w:p>
        </w:tc>
      </w:tr>
      <w:tr>
        <w:tc>
          <w:tcPr>
            <w:tcW w:type="dxa" w:w="1200"/>
            <w:tcBorders>
              <w:top w:val="single" w:color="64748B" w:sz="8"/>
              <w:left w:val="single" w:color="64748B" w:sz="8"/>
              <w:bottom w:val="single" w:color="64748B" w:sz="8"/>
              <w:right w:val="single" w:color="64748B" w:sz="8"/>
            </w:tcBorders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1000"/>
            <w:tcBorders>
              <w:top w:val="single" w:color="64748B" w:sz="8"/>
              <w:left w:val="single" w:color="64748B" w:sz="8"/>
              <w:bottom w:val="single" w:color="64748B" w:sz="8"/>
              <w:right w:val="single" w:color="64748B" w:sz="8"/>
            </w:tcBorders>
            <w:shd w:fill="CCFBF1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B</w:t>
            </w:r>
          </w:p>
        </w:tc>
        <w:tc>
          <w:tcPr>
            <w:tcW w:type="dxa" w:w="6000"/>
            <w:tcBorders>
              <w:top w:val="single" w:color="64748B" w:sz="8"/>
              <w:left w:val="single" w:color="64748B" w:sz="8"/>
              <w:bottom w:val="single" w:color="64748B" w:sz="8"/>
              <w:right w:val="single" w:color="64748B" w:sz="8"/>
            </w:tcBorders>
          </w:tcPr>
          <w:p>
            <w:r>
              <w:rPr>
                <w:sz w:val="18"/>
                <w:szCs w:val="18"/>
              </w:rPr>
              <w:t xml:space="preserve">CIOMS WG XII defines benefit as favorable effects demonstrably caused under defined conditions</w:t>
            </w:r>
          </w:p>
        </w:tc>
      </w:tr>
      <w:tr>
        <w:tc>
          <w:tcPr>
            <w:tcW w:type="dxa" w:w="1200"/>
            <w:tcBorders>
              <w:top w:val="single" w:color="64748B" w:sz="8"/>
              <w:left w:val="single" w:color="64748B" w:sz="8"/>
              <w:bottom w:val="single" w:color="64748B" w:sz="8"/>
              <w:right w:val="single" w:color="64748B" w:sz="8"/>
            </w:tcBorders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dxa" w:w="1000"/>
            <w:tcBorders>
              <w:top w:val="single" w:color="64748B" w:sz="8"/>
              <w:left w:val="single" w:color="64748B" w:sz="8"/>
              <w:bottom w:val="single" w:color="64748B" w:sz="8"/>
              <w:right w:val="single" w:color="64748B" w:sz="8"/>
            </w:tcBorders>
            <w:shd w:fill="CCFBF1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C</w:t>
            </w:r>
          </w:p>
        </w:tc>
        <w:tc>
          <w:tcPr>
            <w:tcW w:type="dxa" w:w="6000"/>
            <w:tcBorders>
              <w:top w:val="single" w:color="64748B" w:sz="8"/>
              <w:left w:val="single" w:color="64748B" w:sz="8"/>
              <w:bottom w:val="single" w:color="64748B" w:sz="8"/>
              <w:right w:val="single" w:color="64748B" w:sz="8"/>
            </w:tcBorders>
          </w:tcPr>
          <w:p>
            <w:r>
              <w:rPr>
                <w:sz w:val="18"/>
                <w:szCs w:val="18"/>
              </w:rPr>
              <w:t xml:space="preserve">SBRF organizes information; it does not prescribe specific calculation methods</w:t>
            </w:r>
          </w:p>
        </w:tc>
      </w:tr>
      <w:tr>
        <w:tc>
          <w:tcPr>
            <w:tcW w:type="dxa" w:w="1200"/>
            <w:tcBorders>
              <w:top w:val="single" w:color="64748B" w:sz="8"/>
              <w:left w:val="single" w:color="64748B" w:sz="8"/>
              <w:bottom w:val="single" w:color="64748B" w:sz="8"/>
              <w:right w:val="single" w:color="64748B" w:sz="8"/>
            </w:tcBorders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type="dxa" w:w="1000"/>
            <w:tcBorders>
              <w:top w:val="single" w:color="64748B" w:sz="8"/>
              <w:left w:val="single" w:color="64748B" w:sz="8"/>
              <w:bottom w:val="single" w:color="64748B" w:sz="8"/>
              <w:right w:val="single" w:color="64748B" w:sz="8"/>
            </w:tcBorders>
            <w:shd w:fill="CCFBF1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C</w:t>
            </w:r>
          </w:p>
        </w:tc>
        <w:tc>
          <w:tcPr>
            <w:tcW w:type="dxa" w:w="6000"/>
            <w:tcBorders>
              <w:top w:val="single" w:color="64748B" w:sz="8"/>
              <w:left w:val="single" w:color="64748B" w:sz="8"/>
              <w:bottom w:val="single" w:color="64748B" w:sz="8"/>
              <w:right w:val="single" w:color="64748B" w:sz="8"/>
            </w:tcBorders>
          </w:tcPr>
          <w:p>
            <w:r>
              <w:rPr>
                <w:sz w:val="18"/>
                <w:szCs w:val="18"/>
              </w:rPr>
              <w:t xml:space="preserve">Five domains: Context, Benefits, Risks, Uncertainty, Conclusions</w:t>
            </w:r>
          </w:p>
        </w:tc>
      </w:tr>
      <w:tr>
        <w:tc>
          <w:tcPr>
            <w:tcW w:type="dxa" w:w="1200"/>
            <w:tcBorders>
              <w:top w:val="single" w:color="64748B" w:sz="8"/>
              <w:left w:val="single" w:color="64748B" w:sz="8"/>
              <w:bottom w:val="single" w:color="64748B" w:sz="8"/>
              <w:right w:val="single" w:color="64748B" w:sz="8"/>
            </w:tcBorders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4</w:t>
            </w:r>
          </w:p>
        </w:tc>
        <w:tc>
          <w:tcPr>
            <w:tcW w:type="dxa" w:w="1000"/>
            <w:tcBorders>
              <w:top w:val="single" w:color="64748B" w:sz="8"/>
              <w:left w:val="single" w:color="64748B" w:sz="8"/>
              <w:bottom w:val="single" w:color="64748B" w:sz="8"/>
              <w:right w:val="single" w:color="64748B" w:sz="8"/>
            </w:tcBorders>
            <w:shd w:fill="CCFBF1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B</w:t>
            </w:r>
          </w:p>
        </w:tc>
        <w:tc>
          <w:tcPr>
            <w:tcW w:type="dxa" w:w="6000"/>
            <w:tcBorders>
              <w:top w:val="single" w:color="64748B" w:sz="8"/>
              <w:left w:val="single" w:color="64748B" w:sz="8"/>
              <w:bottom w:val="single" w:color="64748B" w:sz="8"/>
              <w:right w:val="single" w:color="64748B" w:sz="8"/>
            </w:tcBorders>
          </w:tcPr>
          <w:p>
            <w:r>
              <w:rPr>
                <w:sz w:val="18"/>
                <w:szCs w:val="18"/>
              </w:rPr>
              <w:t xml:space="preserve">Risk combines probability and severity of unfavorable effects</w:t>
            </w:r>
          </w:p>
        </w:tc>
      </w:tr>
      <w:tr>
        <w:tc>
          <w:tcPr>
            <w:tcW w:type="dxa" w:w="1200"/>
            <w:tcBorders>
              <w:top w:val="single" w:color="64748B" w:sz="8"/>
              <w:left w:val="single" w:color="64748B" w:sz="8"/>
              <w:bottom w:val="single" w:color="64748B" w:sz="8"/>
              <w:right w:val="single" w:color="64748B" w:sz="8"/>
            </w:tcBorders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5</w:t>
            </w:r>
          </w:p>
        </w:tc>
        <w:tc>
          <w:tcPr>
            <w:tcW w:type="dxa" w:w="1000"/>
            <w:tcBorders>
              <w:top w:val="single" w:color="64748B" w:sz="8"/>
              <w:left w:val="single" w:color="64748B" w:sz="8"/>
              <w:bottom w:val="single" w:color="64748B" w:sz="8"/>
              <w:right w:val="single" w:color="64748B" w:sz="8"/>
            </w:tcBorders>
            <w:shd w:fill="CCFBF1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C</w:t>
            </w:r>
          </w:p>
        </w:tc>
        <w:tc>
          <w:tcPr>
            <w:tcW w:type="dxa" w:w="6000"/>
            <w:tcBorders>
              <w:top w:val="single" w:color="64748B" w:sz="8"/>
              <w:left w:val="single" w:color="64748B" w:sz="8"/>
              <w:bottom w:val="single" w:color="64748B" w:sz="8"/>
              <w:right w:val="single" w:color="64748B" w:sz="8"/>
            </w:tcBorders>
          </w:tcPr>
          <w:p>
            <w:r>
              <w:rPr>
                <w:sz w:val="18"/>
                <w:szCs w:val="18"/>
              </w:rPr>
              <w:t xml:space="preserve">Quantitative methods are analytical tools within the SBRF organizational structure</w:t>
            </w:r>
          </w:p>
        </w:tc>
      </w:tr>
      <w:tr>
        <w:tc>
          <w:tcPr>
            <w:tcW w:type="dxa" w:w="1200"/>
            <w:tcBorders>
              <w:top w:val="single" w:color="64748B" w:sz="8"/>
              <w:left w:val="single" w:color="64748B" w:sz="8"/>
              <w:bottom w:val="single" w:color="64748B" w:sz="8"/>
              <w:right w:val="single" w:color="64748B" w:sz="8"/>
            </w:tcBorders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6</w:t>
            </w:r>
          </w:p>
        </w:tc>
        <w:tc>
          <w:tcPr>
            <w:tcW w:type="dxa" w:w="1000"/>
            <w:tcBorders>
              <w:top w:val="single" w:color="64748B" w:sz="8"/>
              <w:left w:val="single" w:color="64748B" w:sz="8"/>
              <w:bottom w:val="single" w:color="64748B" w:sz="8"/>
              <w:right w:val="single" w:color="64748B" w:sz="8"/>
            </w:tcBorders>
            <w:shd w:fill="CCFBF1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C</w:t>
            </w:r>
          </w:p>
        </w:tc>
        <w:tc>
          <w:tcPr>
            <w:tcW w:type="dxa" w:w="6000"/>
            <w:tcBorders>
              <w:top w:val="single" w:color="64748B" w:sz="8"/>
              <w:left w:val="single" w:color="64748B" w:sz="8"/>
              <w:bottom w:val="single" w:color="64748B" w:sz="8"/>
              <w:right w:val="single" w:color="64748B" w:sz="8"/>
            </w:tcBorders>
          </w:tcPr>
          <w:p>
            <w:r>
              <w:rPr>
                <w:sz w:val="18"/>
                <w:szCs w:val="18"/>
              </w:rPr>
              <w:t xml:space="preserve">Domain 1 establishes context; detailed statistical analysis belongs in Domain 2</w:t>
            </w:r>
          </w:p>
        </w:tc>
      </w:tr>
      <w:tr>
        <w:tc>
          <w:tcPr>
            <w:tcW w:type="dxa" w:w="1200"/>
            <w:tcBorders>
              <w:top w:val="single" w:color="64748B" w:sz="8"/>
              <w:left w:val="single" w:color="64748B" w:sz="8"/>
              <w:bottom w:val="single" w:color="64748B" w:sz="8"/>
              <w:right w:val="single" w:color="64748B" w:sz="8"/>
            </w:tcBorders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7</w:t>
            </w:r>
          </w:p>
        </w:tc>
        <w:tc>
          <w:tcPr>
            <w:tcW w:type="dxa" w:w="1000"/>
            <w:tcBorders>
              <w:top w:val="single" w:color="64748B" w:sz="8"/>
              <w:left w:val="single" w:color="64748B" w:sz="8"/>
              <w:bottom w:val="single" w:color="64748B" w:sz="8"/>
              <w:right w:val="single" w:color="64748B" w:sz="8"/>
            </w:tcBorders>
            <w:shd w:fill="CCFBF1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B</w:t>
            </w:r>
          </w:p>
        </w:tc>
        <w:tc>
          <w:tcPr>
            <w:tcW w:type="dxa" w:w="6000"/>
            <w:tcBorders>
              <w:top w:val="single" w:color="64748B" w:sz="8"/>
              <w:left w:val="single" w:color="64748B" w:sz="8"/>
              <w:bottom w:val="single" w:color="64748B" w:sz="8"/>
              <w:right w:val="single" w:color="64748B" w:sz="8"/>
            </w:tcBorders>
          </w:tcPr>
          <w:p>
            <w:r>
              <w:rPr>
                <w:sz w:val="18"/>
                <w:szCs w:val="18"/>
              </w:rPr>
              <w:t xml:space="preserve">ICH E2C(R2) classification for risk management planning</w:t>
            </w:r>
          </w:p>
        </w:tc>
      </w:tr>
      <w:tr>
        <w:tc>
          <w:tcPr>
            <w:tcW w:type="dxa" w:w="1200"/>
            <w:tcBorders>
              <w:top w:val="single" w:color="64748B" w:sz="8"/>
              <w:left w:val="single" w:color="64748B" w:sz="8"/>
              <w:bottom w:val="single" w:color="64748B" w:sz="8"/>
              <w:right w:val="single" w:color="64748B" w:sz="8"/>
            </w:tcBorders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8</w:t>
            </w:r>
          </w:p>
        </w:tc>
        <w:tc>
          <w:tcPr>
            <w:tcW w:type="dxa" w:w="1000"/>
            <w:tcBorders>
              <w:top w:val="single" w:color="64748B" w:sz="8"/>
              <w:left w:val="single" w:color="64748B" w:sz="8"/>
              <w:bottom w:val="single" w:color="64748B" w:sz="8"/>
              <w:right w:val="single" w:color="64748B" w:sz="8"/>
            </w:tcBorders>
            <w:shd w:fill="CCFBF1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C</w:t>
            </w:r>
          </w:p>
        </w:tc>
        <w:tc>
          <w:tcPr>
            <w:tcW w:type="dxa" w:w="6000"/>
            <w:tcBorders>
              <w:top w:val="single" w:color="64748B" w:sz="8"/>
              <w:left w:val="single" w:color="64748B" w:sz="8"/>
              <w:bottom w:val="single" w:color="64748B" w:sz="8"/>
              <w:right w:val="single" w:color="64748B" w:sz="8"/>
            </w:tcBorders>
          </w:tcPr>
          <w:p>
            <w:r>
              <w:rPr>
                <w:sz w:val="18"/>
                <w:szCs w:val="18"/>
              </w:rPr>
              <w:t xml:space="preserve">RMMs are part of Domain 5 Conclusions, not Domain 4 Uncertainty</w:t>
            </w:r>
          </w:p>
        </w:tc>
      </w:tr>
      <w:tr>
        <w:tc>
          <w:tcPr>
            <w:tcW w:type="dxa" w:w="1200"/>
            <w:tcBorders>
              <w:top w:val="single" w:color="64748B" w:sz="8"/>
              <w:left w:val="single" w:color="64748B" w:sz="8"/>
              <w:bottom w:val="single" w:color="64748B" w:sz="8"/>
              <w:right w:val="single" w:color="64748B" w:sz="8"/>
            </w:tcBorders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9</w:t>
            </w:r>
          </w:p>
        </w:tc>
        <w:tc>
          <w:tcPr>
            <w:tcW w:type="dxa" w:w="1000"/>
            <w:tcBorders>
              <w:top w:val="single" w:color="64748B" w:sz="8"/>
              <w:left w:val="single" w:color="64748B" w:sz="8"/>
              <w:bottom w:val="single" w:color="64748B" w:sz="8"/>
              <w:right w:val="single" w:color="64748B" w:sz="8"/>
            </w:tcBorders>
            <w:shd w:fill="CCFBF1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B</w:t>
            </w:r>
          </w:p>
        </w:tc>
        <w:tc>
          <w:tcPr>
            <w:tcW w:type="dxa" w:w="6000"/>
            <w:tcBorders>
              <w:top w:val="single" w:color="64748B" w:sz="8"/>
              <w:left w:val="single" w:color="64748B" w:sz="8"/>
              <w:bottom w:val="single" w:color="64748B" w:sz="8"/>
              <w:right w:val="single" w:color="64748B" w:sz="8"/>
            </w:tcBorders>
          </w:tcPr>
          <w:p>
            <w:r>
              <w:rPr>
                <w:sz w:val="18"/>
                <w:szCs w:val="18"/>
              </w:rPr>
              <w:t xml:space="preserve">Domain 5 provides the integrated B-R determination with key drivers</w:t>
            </w:r>
          </w:p>
        </w:tc>
      </w:tr>
      <w:tr>
        <w:tc>
          <w:tcPr>
            <w:tcW w:type="dxa" w:w="1200"/>
            <w:tcBorders>
              <w:top w:val="single" w:color="64748B" w:sz="8"/>
              <w:left w:val="single" w:color="64748B" w:sz="8"/>
              <w:bottom w:val="single" w:color="64748B" w:sz="8"/>
              <w:right w:val="single" w:color="64748B" w:sz="8"/>
            </w:tcBorders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10</w:t>
            </w:r>
          </w:p>
        </w:tc>
        <w:tc>
          <w:tcPr>
            <w:tcW w:type="dxa" w:w="1000"/>
            <w:tcBorders>
              <w:top w:val="single" w:color="64748B" w:sz="8"/>
              <w:left w:val="single" w:color="64748B" w:sz="8"/>
              <w:bottom w:val="single" w:color="64748B" w:sz="8"/>
              <w:right w:val="single" w:color="64748B" w:sz="8"/>
            </w:tcBorders>
            <w:shd w:fill="CCFBF1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B</w:t>
            </w:r>
          </w:p>
        </w:tc>
        <w:tc>
          <w:tcPr>
            <w:tcW w:type="dxa" w:w="6000"/>
            <w:tcBorders>
              <w:top w:val="single" w:color="64748B" w:sz="8"/>
              <w:left w:val="single" w:color="64748B" w:sz="8"/>
              <w:bottom w:val="single" w:color="64748B" w:sz="8"/>
              <w:right w:val="single" w:color="64748B" w:sz="8"/>
            </w:tcBorders>
          </w:tcPr>
          <w:p>
            <w:r>
              <w:rPr>
                <w:sz w:val="18"/>
                <w:szCs w:val="18"/>
              </w:rPr>
              <w:t xml:space="preserve">Evidence accumulation can reveal new uncertainties while resolving others</w:t>
            </w:r>
          </w:p>
        </w:tc>
      </w:tr>
      <w:tr>
        <w:tc>
          <w:tcPr>
            <w:tcW w:type="dxa" w:w="1200"/>
            <w:tcBorders>
              <w:top w:val="single" w:color="64748B" w:sz="8"/>
              <w:left w:val="single" w:color="64748B" w:sz="8"/>
              <w:bottom w:val="single" w:color="64748B" w:sz="8"/>
              <w:right w:val="single" w:color="64748B" w:sz="8"/>
            </w:tcBorders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11</w:t>
            </w:r>
          </w:p>
        </w:tc>
        <w:tc>
          <w:tcPr>
            <w:tcW w:type="dxa" w:w="1000"/>
            <w:tcBorders>
              <w:top w:val="single" w:color="64748B" w:sz="8"/>
              <w:left w:val="single" w:color="64748B" w:sz="8"/>
              <w:bottom w:val="single" w:color="64748B" w:sz="8"/>
              <w:right w:val="single" w:color="64748B" w:sz="8"/>
            </w:tcBorders>
            <w:shd w:fill="CCFBF1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B</w:t>
            </w:r>
          </w:p>
        </w:tc>
        <w:tc>
          <w:tcPr>
            <w:tcW w:type="dxa" w:w="6000"/>
            <w:tcBorders>
              <w:top w:val="single" w:color="64748B" w:sz="8"/>
              <w:left w:val="single" w:color="64748B" w:sz="8"/>
              <w:bottom w:val="single" w:color="64748B" w:sz="8"/>
              <w:right w:val="single" w:color="64748B" w:sz="8"/>
            </w:tcBorders>
          </w:tcPr>
          <w:p>
            <w:r>
              <w:rPr>
                <w:sz w:val="18"/>
                <w:szCs w:val="18"/>
              </w:rPr>
              <w:t xml:space="preserve">Normalization converts different units to a common 0-100 scale</w:t>
            </w:r>
          </w:p>
        </w:tc>
      </w:tr>
      <w:tr>
        <w:tc>
          <w:tcPr>
            <w:tcW w:type="dxa" w:w="1200"/>
            <w:tcBorders>
              <w:top w:val="single" w:color="64748B" w:sz="8"/>
              <w:left w:val="single" w:color="64748B" w:sz="8"/>
              <w:bottom w:val="single" w:color="64748B" w:sz="8"/>
              <w:right w:val="single" w:color="64748B" w:sz="8"/>
            </w:tcBorders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12</w:t>
            </w:r>
          </w:p>
        </w:tc>
        <w:tc>
          <w:tcPr>
            <w:tcW w:type="dxa" w:w="1000"/>
            <w:tcBorders>
              <w:top w:val="single" w:color="64748B" w:sz="8"/>
              <w:left w:val="single" w:color="64748B" w:sz="8"/>
              <w:bottom w:val="single" w:color="64748B" w:sz="8"/>
              <w:right w:val="single" w:color="64748B" w:sz="8"/>
            </w:tcBorders>
            <w:shd w:fill="CCFBF1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B</w:t>
            </w:r>
          </w:p>
        </w:tc>
        <w:tc>
          <w:tcPr>
            <w:tcW w:type="dxa" w:w="6000"/>
            <w:tcBorders>
              <w:top w:val="single" w:color="64748B" w:sz="8"/>
              <w:left w:val="single" w:color="64748B" w:sz="8"/>
              <w:bottom w:val="single" w:color="64748B" w:sz="8"/>
              <w:right w:val="single" w:color="64748B" w:sz="8"/>
            </w:tcBorders>
          </w:tcPr>
          <w:p>
            <w:r>
              <w:rPr>
                <w:sz w:val="18"/>
                <w:szCs w:val="18"/>
              </w:rPr>
              <w:t xml:space="preserve">Swing weighting asks: which improvement matters most?</w:t>
            </w:r>
          </w:p>
        </w:tc>
      </w:tr>
      <w:tr>
        <w:tc>
          <w:tcPr>
            <w:tcW w:type="dxa" w:w="1200"/>
            <w:tcBorders>
              <w:top w:val="single" w:color="64748B" w:sz="8"/>
              <w:left w:val="single" w:color="64748B" w:sz="8"/>
              <w:bottom w:val="single" w:color="64748B" w:sz="8"/>
              <w:right w:val="single" w:color="64748B" w:sz="8"/>
            </w:tcBorders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13</w:t>
            </w:r>
          </w:p>
        </w:tc>
        <w:tc>
          <w:tcPr>
            <w:tcW w:type="dxa" w:w="1000"/>
            <w:tcBorders>
              <w:top w:val="single" w:color="64748B" w:sz="8"/>
              <w:left w:val="single" w:color="64748B" w:sz="8"/>
              <w:bottom w:val="single" w:color="64748B" w:sz="8"/>
              <w:right w:val="single" w:color="64748B" w:sz="8"/>
            </w:tcBorders>
            <w:shd w:fill="CCFBF1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B</w:t>
            </w:r>
          </w:p>
        </w:tc>
        <w:tc>
          <w:tcPr>
            <w:tcW w:type="dxa" w:w="6000"/>
            <w:tcBorders>
              <w:top w:val="single" w:color="64748B" w:sz="8"/>
              <w:left w:val="single" w:color="64748B" w:sz="8"/>
              <w:bottom w:val="single" w:color="64748B" w:sz="8"/>
              <w:right w:val="single" w:color="64748B" w:sz="8"/>
            </w:tcBorders>
          </w:tcPr>
          <w:p>
            <w:r>
              <w:rPr>
                <w:sz w:val="18"/>
                <w:szCs w:val="18"/>
              </w:rPr>
              <w:t xml:space="preserve">DCE reveals preference weights through repeated treatment profile choices</w:t>
            </w:r>
          </w:p>
        </w:tc>
      </w:tr>
      <w:tr>
        <w:tc>
          <w:tcPr>
            <w:tcW w:type="dxa" w:w="1200"/>
            <w:tcBorders>
              <w:top w:val="single" w:color="64748B" w:sz="8"/>
              <w:left w:val="single" w:color="64748B" w:sz="8"/>
              <w:bottom w:val="single" w:color="64748B" w:sz="8"/>
              <w:right w:val="single" w:color="64748B" w:sz="8"/>
            </w:tcBorders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14</w:t>
            </w:r>
          </w:p>
        </w:tc>
        <w:tc>
          <w:tcPr>
            <w:tcW w:type="dxa" w:w="1000"/>
            <w:tcBorders>
              <w:top w:val="single" w:color="64748B" w:sz="8"/>
              <w:left w:val="single" w:color="64748B" w:sz="8"/>
              <w:bottom w:val="single" w:color="64748B" w:sz="8"/>
              <w:right w:val="single" w:color="64748B" w:sz="8"/>
            </w:tcBorders>
            <w:shd w:fill="CCFBF1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B</w:t>
            </w:r>
          </w:p>
        </w:tc>
        <w:tc>
          <w:tcPr>
            <w:tcW w:type="dxa" w:w="6000"/>
            <w:tcBorders>
              <w:top w:val="single" w:color="64748B" w:sz="8"/>
              <w:left w:val="single" w:color="64748B" w:sz="8"/>
              <w:bottom w:val="single" w:color="64748B" w:sz="8"/>
              <w:right w:val="single" w:color="64748B" w:sz="8"/>
            </w:tcBorders>
          </w:tcPr>
          <w:p>
            <w:r>
              <w:rPr>
                <w:sz w:val="18"/>
                <w:szCs w:val="18"/>
              </w:rPr>
              <w:t xml:space="preserve">Side-by-side presentation with comparable metrics enables B-R comparison</w:t>
            </w:r>
          </w:p>
        </w:tc>
      </w:tr>
      <w:tr>
        <w:tc>
          <w:tcPr>
            <w:tcW w:type="dxa" w:w="1200"/>
            <w:tcBorders>
              <w:top w:val="single" w:color="64748B" w:sz="8"/>
              <w:left w:val="single" w:color="64748B" w:sz="8"/>
              <w:bottom w:val="single" w:color="64748B" w:sz="8"/>
              <w:right w:val="single" w:color="64748B" w:sz="8"/>
            </w:tcBorders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15</w:t>
            </w:r>
          </w:p>
        </w:tc>
        <w:tc>
          <w:tcPr>
            <w:tcW w:type="dxa" w:w="1000"/>
            <w:tcBorders>
              <w:top w:val="single" w:color="64748B" w:sz="8"/>
              <w:left w:val="single" w:color="64748B" w:sz="8"/>
              <w:bottom w:val="single" w:color="64748B" w:sz="8"/>
              <w:right w:val="single" w:color="64748B" w:sz="8"/>
            </w:tcBorders>
            <w:shd w:fill="CCFBF1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B</w:t>
            </w:r>
          </w:p>
        </w:tc>
        <w:tc>
          <w:tcPr>
            <w:tcW w:type="dxa" w:w="6000"/>
            <w:tcBorders>
              <w:top w:val="single" w:color="64748B" w:sz="8"/>
              <w:left w:val="single" w:color="64748B" w:sz="8"/>
              <w:bottom w:val="single" w:color="64748B" w:sz="8"/>
              <w:right w:val="single" w:color="64748B" w:sz="8"/>
            </w:tcBorders>
          </w:tcPr>
          <w:p>
            <w:r>
              <w:rPr>
                <w:sz w:val="18"/>
                <w:szCs w:val="18"/>
              </w:rPr>
              <w:t xml:space="preserve">NNT and NNH express benefits and risks as 'number of patients' for direct comparison</w:t>
            </w:r>
          </w:p>
        </w:tc>
      </w:tr>
      <w:tr>
        <w:tc>
          <w:tcPr>
            <w:tcW w:type="dxa" w:w="1200"/>
            <w:tcBorders>
              <w:top w:val="single" w:color="64748B" w:sz="8"/>
              <w:left w:val="single" w:color="64748B" w:sz="8"/>
              <w:bottom w:val="single" w:color="64748B" w:sz="8"/>
              <w:right w:val="single" w:color="64748B" w:sz="8"/>
            </w:tcBorders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16</w:t>
            </w:r>
          </w:p>
        </w:tc>
        <w:tc>
          <w:tcPr>
            <w:tcW w:type="dxa" w:w="1000"/>
            <w:tcBorders>
              <w:top w:val="single" w:color="64748B" w:sz="8"/>
              <w:left w:val="single" w:color="64748B" w:sz="8"/>
              <w:bottom w:val="single" w:color="64748B" w:sz="8"/>
              <w:right w:val="single" w:color="64748B" w:sz="8"/>
            </w:tcBorders>
            <w:shd w:fill="CCFBF1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B</w:t>
            </w:r>
          </w:p>
        </w:tc>
        <w:tc>
          <w:tcPr>
            <w:tcW w:type="dxa" w:w="6000"/>
            <w:tcBorders>
              <w:top w:val="single" w:color="64748B" w:sz="8"/>
              <w:left w:val="single" w:color="64748B" w:sz="8"/>
              <w:bottom w:val="single" w:color="64748B" w:sz="8"/>
              <w:right w:val="single" w:color="64748B" w:sz="8"/>
            </w:tcBorders>
          </w:tcPr>
          <w:p>
            <w:r>
              <w:rPr>
                <w:sz w:val="18"/>
                <w:szCs w:val="18"/>
              </w:rPr>
              <w:t xml:space="preserve">DOOR creates hierarchical outcome rankings without numerical weights</w:t>
            </w:r>
          </w:p>
        </w:tc>
      </w:tr>
      <w:tr>
        <w:tc>
          <w:tcPr>
            <w:tcW w:type="dxa" w:w="1200"/>
            <w:tcBorders>
              <w:top w:val="single" w:color="64748B" w:sz="8"/>
              <w:left w:val="single" w:color="64748B" w:sz="8"/>
              <w:bottom w:val="single" w:color="64748B" w:sz="8"/>
              <w:right w:val="single" w:color="64748B" w:sz="8"/>
            </w:tcBorders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17</w:t>
            </w:r>
          </w:p>
        </w:tc>
        <w:tc>
          <w:tcPr>
            <w:tcW w:type="dxa" w:w="1000"/>
            <w:tcBorders>
              <w:top w:val="single" w:color="64748B" w:sz="8"/>
              <w:left w:val="single" w:color="64748B" w:sz="8"/>
              <w:bottom w:val="single" w:color="64748B" w:sz="8"/>
              <w:right w:val="single" w:color="64748B" w:sz="8"/>
            </w:tcBorders>
            <w:shd w:fill="CCFBF1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B</w:t>
            </w:r>
          </w:p>
        </w:tc>
        <w:tc>
          <w:tcPr>
            <w:tcW w:type="dxa" w:w="6000"/>
            <w:tcBorders>
              <w:top w:val="single" w:color="64748B" w:sz="8"/>
              <w:left w:val="single" w:color="64748B" w:sz="8"/>
              <w:bottom w:val="single" w:color="64748B" w:sz="8"/>
              <w:right w:val="single" w:color="64748B" w:sz="8"/>
            </w:tcBorders>
          </w:tcPr>
          <w:p>
            <w:r>
              <w:rPr>
                <w:sz w:val="18"/>
                <w:szCs w:val="18"/>
              </w:rPr>
              <w:t xml:space="preserve">Sensitivity analysis tests whether different weights change conclusions</w:t>
            </w:r>
          </w:p>
        </w:tc>
      </w:tr>
      <w:tr>
        <w:tc>
          <w:tcPr>
            <w:tcW w:type="dxa" w:w="1200"/>
            <w:tcBorders>
              <w:top w:val="single" w:color="64748B" w:sz="8"/>
              <w:left w:val="single" w:color="64748B" w:sz="8"/>
              <w:bottom w:val="single" w:color="64748B" w:sz="8"/>
              <w:right w:val="single" w:color="64748B" w:sz="8"/>
            </w:tcBorders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18</w:t>
            </w:r>
          </w:p>
        </w:tc>
        <w:tc>
          <w:tcPr>
            <w:tcW w:type="dxa" w:w="1000"/>
            <w:tcBorders>
              <w:top w:val="single" w:color="64748B" w:sz="8"/>
              <w:left w:val="single" w:color="64748B" w:sz="8"/>
              <w:bottom w:val="single" w:color="64748B" w:sz="8"/>
              <w:right w:val="single" w:color="64748B" w:sz="8"/>
            </w:tcBorders>
            <w:shd w:fill="CCFBF1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C</w:t>
            </w:r>
          </w:p>
        </w:tc>
        <w:tc>
          <w:tcPr>
            <w:tcW w:type="dxa" w:w="6000"/>
            <w:tcBorders>
              <w:top w:val="single" w:color="64748B" w:sz="8"/>
              <w:left w:val="single" w:color="64748B" w:sz="8"/>
              <w:bottom w:val="single" w:color="64748B" w:sz="8"/>
              <w:right w:val="single" w:color="64748B" w:sz="8"/>
            </w:tcBorders>
          </w:tcPr>
          <w:p>
            <w:r>
              <w:rPr>
                <w:sz w:val="18"/>
                <w:szCs w:val="18"/>
              </w:rPr>
              <w:t xml:space="preserve">REMS/ETASU are additional (not routine) risk minimization measures</w:t>
            </w:r>
          </w:p>
        </w:tc>
      </w:tr>
      <w:tr>
        <w:tc>
          <w:tcPr>
            <w:tcW w:type="dxa" w:w="1200"/>
            <w:tcBorders>
              <w:top w:val="single" w:color="64748B" w:sz="8"/>
              <w:left w:val="single" w:color="64748B" w:sz="8"/>
              <w:bottom w:val="single" w:color="64748B" w:sz="8"/>
              <w:right w:val="single" w:color="64748B" w:sz="8"/>
            </w:tcBorders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19</w:t>
            </w:r>
          </w:p>
        </w:tc>
        <w:tc>
          <w:tcPr>
            <w:tcW w:type="dxa" w:w="1000"/>
            <w:tcBorders>
              <w:top w:val="single" w:color="64748B" w:sz="8"/>
              <w:left w:val="single" w:color="64748B" w:sz="8"/>
              <w:bottom w:val="single" w:color="64748B" w:sz="8"/>
              <w:right w:val="single" w:color="64748B" w:sz="8"/>
            </w:tcBorders>
            <w:shd w:fill="CCFBF1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B</w:t>
            </w:r>
          </w:p>
        </w:tc>
        <w:tc>
          <w:tcPr>
            <w:tcW w:type="dxa" w:w="6000"/>
            <w:tcBorders>
              <w:top w:val="single" w:color="64748B" w:sz="8"/>
              <w:left w:val="single" w:color="64748B" w:sz="8"/>
              <w:bottom w:val="single" w:color="64748B" w:sz="8"/>
              <w:right w:val="single" w:color="64748B" w:sz="8"/>
            </w:tcBorders>
          </w:tcPr>
          <w:p>
            <w:r>
              <w:rPr>
                <w:sz w:val="18"/>
                <w:szCs w:val="18"/>
              </w:rPr>
              <w:t xml:space="preserve">Re-evaluation is triggered by signals, new data, or context changes</w:t>
            </w:r>
          </w:p>
        </w:tc>
      </w:tr>
      <w:tr>
        <w:tc>
          <w:tcPr>
            <w:tcW w:type="dxa" w:w="1200"/>
            <w:tcBorders>
              <w:top w:val="single" w:color="64748B" w:sz="8"/>
              <w:left w:val="single" w:color="64748B" w:sz="8"/>
              <w:bottom w:val="single" w:color="64748B" w:sz="8"/>
              <w:right w:val="single" w:color="64748B" w:sz="8"/>
            </w:tcBorders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20</w:t>
            </w:r>
          </w:p>
        </w:tc>
        <w:tc>
          <w:tcPr>
            <w:tcW w:type="dxa" w:w="1000"/>
            <w:tcBorders>
              <w:top w:val="single" w:color="64748B" w:sz="8"/>
              <w:left w:val="single" w:color="64748B" w:sz="8"/>
              <w:bottom w:val="single" w:color="64748B" w:sz="8"/>
              <w:right w:val="single" w:color="64748B" w:sz="8"/>
            </w:tcBorders>
            <w:shd w:fill="CCFBF1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B</w:t>
            </w:r>
          </w:p>
        </w:tc>
        <w:tc>
          <w:tcPr>
            <w:tcW w:type="dxa" w:w="6000"/>
            <w:tcBorders>
              <w:top w:val="single" w:color="64748B" w:sz="8"/>
              <w:left w:val="single" w:color="64748B" w:sz="8"/>
              <w:bottom w:val="single" w:color="64748B" w:sz="8"/>
              <w:right w:val="single" w:color="64748B" w:sz="8"/>
            </w:tcBorders>
          </w:tcPr>
          <w:p>
            <w:r>
              <w:rPr>
                <w:sz w:val="18"/>
                <w:szCs w:val="18"/>
              </w:rPr>
              <w:t xml:space="preserve">Different frameworks share common principles aligned with CIOMS WG XII</w:t>
            </w:r>
          </w:p>
        </w:tc>
      </w:tr>
      <w:tr>
        <w:tc>
          <w:tcPr>
            <w:tcW w:type="dxa" w:w="1200"/>
            <w:tcBorders>
              <w:top w:val="single" w:color="64748B" w:sz="8"/>
              <w:left w:val="single" w:color="64748B" w:sz="8"/>
              <w:bottom w:val="single" w:color="64748B" w:sz="8"/>
              <w:right w:val="single" w:color="64748B" w:sz="8"/>
            </w:tcBorders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21</w:t>
            </w:r>
          </w:p>
        </w:tc>
        <w:tc>
          <w:tcPr>
            <w:tcW w:type="dxa" w:w="1000"/>
            <w:tcBorders>
              <w:top w:val="single" w:color="64748B" w:sz="8"/>
              <w:left w:val="single" w:color="64748B" w:sz="8"/>
              <w:bottom w:val="single" w:color="64748B" w:sz="8"/>
              <w:right w:val="single" w:color="64748B" w:sz="8"/>
            </w:tcBorders>
            <w:shd w:fill="CCFBF1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A</w:t>
            </w:r>
          </w:p>
        </w:tc>
        <w:tc>
          <w:tcPr>
            <w:tcW w:type="dxa" w:w="6000"/>
            <w:tcBorders>
              <w:top w:val="single" w:color="64748B" w:sz="8"/>
              <w:left w:val="single" w:color="64748B" w:sz="8"/>
              <w:bottom w:val="single" w:color="64748B" w:sz="8"/>
              <w:right w:val="single" w:color="64748B" w:sz="8"/>
            </w:tcBorders>
          </w:tcPr>
          <w:p>
            <w:r>
              <w:rPr>
                <w:sz w:val="18"/>
                <w:szCs w:val="18"/>
              </w:rPr>
              <w:t xml:space="preserve">PBRER must include an overall B-R evaluation for the reporting period</w:t>
            </w:r>
          </w:p>
        </w:tc>
      </w:tr>
      <w:tr>
        <w:tc>
          <w:tcPr>
            <w:tcW w:type="dxa" w:w="1200"/>
            <w:tcBorders>
              <w:top w:val="single" w:color="64748B" w:sz="8"/>
              <w:left w:val="single" w:color="64748B" w:sz="8"/>
              <w:bottom w:val="single" w:color="64748B" w:sz="8"/>
              <w:right w:val="single" w:color="64748B" w:sz="8"/>
            </w:tcBorders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22</w:t>
            </w:r>
          </w:p>
        </w:tc>
        <w:tc>
          <w:tcPr>
            <w:tcW w:type="dxa" w:w="1000"/>
            <w:tcBorders>
              <w:top w:val="single" w:color="64748B" w:sz="8"/>
              <w:left w:val="single" w:color="64748B" w:sz="8"/>
              <w:bottom w:val="single" w:color="64748B" w:sz="8"/>
              <w:right w:val="single" w:color="64748B" w:sz="8"/>
            </w:tcBorders>
            <w:shd w:fill="CCFBF1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B</w:t>
            </w:r>
          </w:p>
        </w:tc>
        <w:tc>
          <w:tcPr>
            <w:tcW w:type="dxa" w:w="6000"/>
            <w:tcBorders>
              <w:top w:val="single" w:color="64748B" w:sz="8"/>
              <w:left w:val="single" w:color="64748B" w:sz="8"/>
              <w:bottom w:val="single" w:color="64748B" w:sz="8"/>
              <w:right w:val="single" w:color="64748B" w:sz="8"/>
            </w:tcBorders>
          </w:tcPr>
          <w:p>
            <w:r>
              <w:rPr>
                <w:sz w:val="18"/>
                <w:szCs w:val="18"/>
              </w:rPr>
              <w:t xml:space="preserve">Patient preferences reveal acceptable trade-offs from the patient perspective</w:t>
            </w:r>
          </w:p>
        </w:tc>
      </w:tr>
      <w:tr>
        <w:tc>
          <w:tcPr>
            <w:tcW w:type="dxa" w:w="1200"/>
            <w:tcBorders>
              <w:top w:val="single" w:color="64748B" w:sz="8"/>
              <w:left w:val="single" w:color="64748B" w:sz="8"/>
              <w:bottom w:val="single" w:color="64748B" w:sz="8"/>
              <w:right w:val="single" w:color="64748B" w:sz="8"/>
            </w:tcBorders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23</w:t>
            </w:r>
          </w:p>
        </w:tc>
        <w:tc>
          <w:tcPr>
            <w:tcW w:type="dxa" w:w="1000"/>
            <w:tcBorders>
              <w:top w:val="single" w:color="64748B" w:sz="8"/>
              <w:left w:val="single" w:color="64748B" w:sz="8"/>
              <w:bottom w:val="single" w:color="64748B" w:sz="8"/>
              <w:right w:val="single" w:color="64748B" w:sz="8"/>
            </w:tcBorders>
            <w:shd w:fill="CCFBF1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B</w:t>
            </w:r>
          </w:p>
        </w:tc>
        <w:tc>
          <w:tcPr>
            <w:tcW w:type="dxa" w:w="6000"/>
            <w:tcBorders>
              <w:top w:val="single" w:color="64748B" w:sz="8"/>
              <w:left w:val="single" w:color="64748B" w:sz="8"/>
              <w:bottom w:val="single" w:color="64748B" w:sz="8"/>
              <w:right w:val="single" w:color="64748B" w:sz="8"/>
            </w:tcBorders>
          </w:tcPr>
          <w:p>
            <w:r>
              <w:rPr>
                <w:sz w:val="18"/>
                <w:szCs w:val="18"/>
              </w:rPr>
              <w:t xml:space="preserve">Favorable B-R is always conditional on population and conditions of use</w:t>
            </w:r>
          </w:p>
        </w:tc>
      </w:tr>
      <w:tr>
        <w:tc>
          <w:tcPr>
            <w:tcW w:type="dxa" w:w="1200"/>
            <w:tcBorders>
              <w:top w:val="single" w:color="64748B" w:sz="8"/>
              <w:left w:val="single" w:color="64748B" w:sz="8"/>
              <w:bottom w:val="single" w:color="64748B" w:sz="8"/>
              <w:right w:val="single" w:color="64748B" w:sz="8"/>
            </w:tcBorders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24</w:t>
            </w:r>
          </w:p>
        </w:tc>
        <w:tc>
          <w:tcPr>
            <w:tcW w:type="dxa" w:w="1000"/>
            <w:tcBorders>
              <w:top w:val="single" w:color="64748B" w:sz="8"/>
              <w:left w:val="single" w:color="64748B" w:sz="8"/>
              <w:bottom w:val="single" w:color="64748B" w:sz="8"/>
              <w:right w:val="single" w:color="64748B" w:sz="8"/>
            </w:tcBorders>
            <w:shd w:fill="CCFBF1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B</w:t>
            </w:r>
          </w:p>
        </w:tc>
        <w:tc>
          <w:tcPr>
            <w:tcW w:type="dxa" w:w="6000"/>
            <w:tcBorders>
              <w:top w:val="single" w:color="64748B" w:sz="8"/>
              <w:left w:val="single" w:color="64748B" w:sz="8"/>
              <w:bottom w:val="single" w:color="64748B" w:sz="8"/>
              <w:right w:val="single" w:color="64748B" w:sz="8"/>
            </w:tcBorders>
          </w:tcPr>
          <w:p>
            <w:r>
              <w:rPr>
                <w:sz w:val="18"/>
                <w:szCs w:val="18"/>
              </w:rPr>
              <w:t xml:space="preserve">Treating SBRF as compliance checklist rather than analytical synthesis</w:t>
            </w:r>
          </w:p>
        </w:tc>
      </w:tr>
      <w:tr>
        <w:tc>
          <w:tcPr>
            <w:tcW w:type="dxa" w:w="1200"/>
            <w:tcBorders>
              <w:top w:val="single" w:color="64748B" w:sz="8"/>
              <w:left w:val="single" w:color="64748B" w:sz="8"/>
              <w:bottom w:val="single" w:color="64748B" w:sz="8"/>
              <w:right w:val="single" w:color="64748B" w:sz="8"/>
            </w:tcBorders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25</w:t>
            </w:r>
          </w:p>
        </w:tc>
        <w:tc>
          <w:tcPr>
            <w:tcW w:type="dxa" w:w="1000"/>
            <w:tcBorders>
              <w:top w:val="single" w:color="64748B" w:sz="8"/>
              <w:left w:val="single" w:color="64748B" w:sz="8"/>
              <w:bottom w:val="single" w:color="64748B" w:sz="8"/>
              <w:right w:val="single" w:color="64748B" w:sz="8"/>
            </w:tcBorders>
            <w:shd w:fill="CCFBF1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B</w:t>
            </w:r>
          </w:p>
        </w:tc>
        <w:tc>
          <w:tcPr>
            <w:tcW w:type="dxa" w:w="6000"/>
            <w:tcBorders>
              <w:top w:val="single" w:color="64748B" w:sz="8"/>
              <w:left w:val="single" w:color="64748B" w:sz="8"/>
              <w:bottom w:val="single" w:color="64748B" w:sz="8"/>
              <w:right w:val="single" w:color="64748B" w:sz="8"/>
            </w:tcBorders>
          </w:tcPr>
          <w:p>
            <w:r>
              <w:rPr>
                <w:sz w:val="18"/>
                <w:szCs w:val="18"/>
              </w:rPr>
              <w:t xml:space="preserve">Over-reliance on original approval decision in subsequent evaluations</w:t>
            </w:r>
          </w:p>
        </w:tc>
      </w:tr>
    </w:tbl>
    <w:p>
      <w:pPr>
        <w:pStyle w:val="Heading2"/>
        <w:spacing w:before="300"/>
      </w:pPr>
      <w:r>
        <w:t xml:space="preserve">Scoring Interpretation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4200"/>
      </w:tblGrid>
      <w:tr>
        <w:trPr>
          <w:tblHeader/>
        </w:trPr>
        <w:tc>
          <w:tcPr>
            <w:tcW w:type="dxa" w:w="2000"/>
            <w:tcBorders>
              <w:top w:val="single" w:color="64748B" w:sz="8"/>
              <w:left w:val="single" w:color="64748B" w:sz="8"/>
              <w:bottom w:val="single" w:color="64748B" w:sz="8"/>
              <w:right w:val="single" w:color="64748B" w:sz="8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Score Range</w:t>
            </w:r>
          </w:p>
        </w:tc>
        <w:tc>
          <w:tcPr>
            <w:tcW w:type="dxa" w:w="2000"/>
            <w:tcBorders>
              <w:top w:val="single" w:color="64748B" w:sz="8"/>
              <w:left w:val="single" w:color="64748B" w:sz="8"/>
              <w:bottom w:val="single" w:color="64748B" w:sz="8"/>
              <w:right w:val="single" w:color="64748B" w:sz="8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Level</w:t>
            </w:r>
          </w:p>
        </w:tc>
        <w:tc>
          <w:tcPr>
            <w:tcW w:type="dxa" w:w="4200"/>
            <w:tcBorders>
              <w:top w:val="single" w:color="64748B" w:sz="8"/>
              <w:left w:val="single" w:color="64748B" w:sz="8"/>
              <w:bottom w:val="single" w:color="64748B" w:sz="8"/>
              <w:right w:val="single" w:color="64748B" w:sz="8"/>
            </w:tcBorders>
            <w:shd w:fill="1A365D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Interpretation</w:t>
            </w:r>
          </w:p>
        </w:tc>
      </w:tr>
      <w:tr>
        <w:tc>
          <w:tcPr>
            <w:tcW w:type="dxa" w:w="2000"/>
            <w:tcBorders>
              <w:top w:val="single" w:color="64748B" w:sz="8"/>
              <w:left w:val="single" w:color="64748B" w:sz="8"/>
              <w:bottom w:val="single" w:color="64748B" w:sz="8"/>
              <w:right w:val="single" w:color="64748B" w:sz="8"/>
            </w:tcBorders>
            <w:shd w:fill="DCFCE7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22-25 (88-100%)</w:t>
            </w:r>
          </w:p>
        </w:tc>
        <w:tc>
          <w:tcPr>
            <w:tcW w:type="dxa" w:w="2000"/>
            <w:tcBorders>
              <w:top w:val="single" w:color="64748B" w:sz="8"/>
              <w:left w:val="single" w:color="64748B" w:sz="8"/>
              <w:bottom w:val="single" w:color="64748B" w:sz="8"/>
              <w:right w:val="single" w:color="64748B" w:sz="8"/>
            </w:tcBorders>
            <w:shd w:fill="DCFCE7" w:val="clea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Advanced</w:t>
            </w:r>
          </w:p>
        </w:tc>
        <w:tc>
          <w:tcPr>
            <w:tcW w:type="dxa" w:w="4200"/>
            <w:tcBorders>
              <w:top w:val="single" w:color="64748B" w:sz="8"/>
              <w:left w:val="single" w:color="64748B" w:sz="8"/>
              <w:bottom w:val="single" w:color="64748B" w:sz="8"/>
              <w:right w:val="single" w:color="64748B" w:sz="8"/>
            </w:tcBorders>
            <w:shd w:fill="DCFCE7" w:val="clear"/>
          </w:tcPr>
          <w:p>
            <w:r>
              <w:rPr>
                <w:sz w:val="18"/>
                <w:szCs w:val="18"/>
              </w:rPr>
              <w:t xml:space="preserve">Strong conceptual foundation; ready for advanced application</w:t>
            </w:r>
          </w:p>
        </w:tc>
      </w:tr>
      <w:tr>
        <w:tc>
          <w:tcPr>
            <w:tcW w:type="dxa" w:w="2000"/>
            <w:tcBorders>
              <w:top w:val="single" w:color="64748B" w:sz="8"/>
              <w:left w:val="single" w:color="64748B" w:sz="8"/>
              <w:bottom w:val="single" w:color="64748B" w:sz="8"/>
              <w:right w:val="single" w:color="64748B" w:sz="8"/>
            </w:tcBorders>
            <w:shd w:fill="CCFBF1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18-21 (72-84%)</w:t>
            </w:r>
          </w:p>
        </w:tc>
        <w:tc>
          <w:tcPr>
            <w:tcW w:type="dxa" w:w="2000"/>
            <w:tcBorders>
              <w:top w:val="single" w:color="64748B" w:sz="8"/>
              <w:left w:val="single" w:color="64748B" w:sz="8"/>
              <w:bottom w:val="single" w:color="64748B" w:sz="8"/>
              <w:right w:val="single" w:color="64748B" w:sz="8"/>
            </w:tcBorders>
            <w:shd w:fill="CCFBF1" w:val="clea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Proficient</w:t>
            </w:r>
          </w:p>
        </w:tc>
        <w:tc>
          <w:tcPr>
            <w:tcW w:type="dxa" w:w="4200"/>
            <w:tcBorders>
              <w:top w:val="single" w:color="64748B" w:sz="8"/>
              <w:left w:val="single" w:color="64748B" w:sz="8"/>
              <w:bottom w:val="single" w:color="64748B" w:sz="8"/>
              <w:right w:val="single" w:color="64748B" w:sz="8"/>
            </w:tcBorders>
            <w:shd w:fill="CCFBF1" w:val="clear"/>
          </w:tcPr>
          <w:p>
            <w:r>
              <w:rPr>
                <w:sz w:val="18"/>
                <w:szCs w:val="18"/>
              </w:rPr>
              <w:t xml:space="preserve">Solid understanding; focus practice on weak areas</w:t>
            </w:r>
          </w:p>
        </w:tc>
      </w:tr>
      <w:tr>
        <w:tc>
          <w:tcPr>
            <w:tcW w:type="dxa" w:w="2000"/>
            <w:tcBorders>
              <w:top w:val="single" w:color="64748B" w:sz="8"/>
              <w:left w:val="single" w:color="64748B" w:sz="8"/>
              <w:bottom w:val="single" w:color="64748B" w:sz="8"/>
              <w:right w:val="single" w:color="64748B" w:sz="8"/>
            </w:tcBorders>
            <w:shd w:fill="FEF3C7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13-17 (52-68%)</w:t>
            </w:r>
          </w:p>
        </w:tc>
        <w:tc>
          <w:tcPr>
            <w:tcW w:type="dxa" w:w="2000"/>
            <w:tcBorders>
              <w:top w:val="single" w:color="64748B" w:sz="8"/>
              <w:left w:val="single" w:color="64748B" w:sz="8"/>
              <w:bottom w:val="single" w:color="64748B" w:sz="8"/>
              <w:right w:val="single" w:color="64748B" w:sz="8"/>
            </w:tcBorders>
            <w:shd w:fill="FEF3C7" w:val="clea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Developing</w:t>
            </w:r>
          </w:p>
        </w:tc>
        <w:tc>
          <w:tcPr>
            <w:tcW w:type="dxa" w:w="4200"/>
            <w:tcBorders>
              <w:top w:val="single" w:color="64748B" w:sz="8"/>
              <w:left w:val="single" w:color="64748B" w:sz="8"/>
              <w:bottom w:val="single" w:color="64748B" w:sz="8"/>
              <w:right w:val="single" w:color="64748B" w:sz="8"/>
            </w:tcBorders>
            <w:shd w:fill="FEF3C7" w:val="clear"/>
          </w:tcPr>
          <w:p>
            <w:r>
              <w:rPr>
                <w:sz w:val="18"/>
                <w:szCs w:val="18"/>
              </w:rPr>
              <w:t xml:space="preserve">Foundation in place; additional study recommended</w:t>
            </w:r>
          </w:p>
        </w:tc>
      </w:tr>
      <w:tr>
        <w:tc>
          <w:tcPr>
            <w:tcW w:type="dxa" w:w="2000"/>
            <w:tcBorders>
              <w:top w:val="single" w:color="64748B" w:sz="8"/>
              <w:left w:val="single" w:color="64748B" w:sz="8"/>
              <w:bottom w:val="single" w:color="64748B" w:sz="8"/>
              <w:right w:val="single" w:color="64748B" w:sz="8"/>
            </w:tcBorders>
            <w:shd w:fill="FEE2E2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0-12 (&lt;52%)</w:t>
            </w:r>
          </w:p>
        </w:tc>
        <w:tc>
          <w:tcPr>
            <w:tcW w:type="dxa" w:w="2000"/>
            <w:tcBorders>
              <w:top w:val="single" w:color="64748B" w:sz="8"/>
              <w:left w:val="single" w:color="64748B" w:sz="8"/>
              <w:bottom w:val="single" w:color="64748B" w:sz="8"/>
              <w:right w:val="single" w:color="64748B" w:sz="8"/>
            </w:tcBorders>
            <w:shd w:fill="FEE2E2" w:val="clea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Foundational</w:t>
            </w:r>
          </w:p>
        </w:tc>
        <w:tc>
          <w:tcPr>
            <w:tcW w:type="dxa" w:w="4200"/>
            <w:tcBorders>
              <w:top w:val="single" w:color="64748B" w:sz="8"/>
              <w:left w:val="single" w:color="64748B" w:sz="8"/>
              <w:bottom w:val="single" w:color="64748B" w:sz="8"/>
              <w:right w:val="single" w:color="64748B" w:sz="8"/>
            </w:tcBorders>
            <w:shd w:fill="FEE2E2" w:val="clear"/>
          </w:tcPr>
          <w:p>
            <w:r>
              <w:rPr>
                <w:sz w:val="18"/>
                <w:szCs w:val="18"/>
              </w:rPr>
              <w:t xml:space="preserve">Comprehensive review of CIOMS WG XII report recommended</w:t>
            </w:r>
          </w:p>
        </w:tc>
      </w:tr>
    </w:tbl>
    <w:p>
      <w:pPr>
        <w:spacing w:before="400"/>
        <w:jc w:val="center"/>
      </w:pPr>
      <w:r>
        <w:rPr>
          <w:color w:val="64748B"/>
          <w:sz w:val="18"/>
          <w:szCs w:val="18"/>
        </w:rPr>
        <w:t xml:space="preserve">Self-Assessment Tool | NexVigilant Benefit-Risk Intelligence Toolkit</w:t>
      </w:r>
    </w:p>
    <w:p>
      <w:pPr>
        <w:jc w:val="center"/>
      </w:pPr>
      <w:r>
        <w:rPr>
          <w:color w:val="64748B"/>
          <w:sz w:val="18"/>
          <w:szCs w:val="18"/>
        </w:rPr>
        <w:t xml:space="preserve">Based on CIOMS Working Group XII Report (May 2025)</w:t>
      </w:r>
    </w:p>
    <w:sectPr>
      <w:headerReference w:type="default" r:id="rId6"/>
      <w:footerReference w:type="default" r:id="rId7"/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4748B"/>
        <w:sz w:val="16"/>
        <w:szCs w:val="16"/>
      </w:rPr>
      <w:t xml:space="preserve">© 2025 NexVigilant LLC | www.nexvigilant.com | Page </w:t>
    </w:r>
    <w:r>
      <w:rPr>
        <w:color w:val="64748B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64748B"/>
        <w:sz w:val="16"/>
        <w:szCs w:val="16"/>
      </w:rPr>
      <w:t xml:space="preserve"> of </w:t>
    </w:r>
    <w:r>
      <w:rPr>
        <w:color w:val="64748B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64748B"/>
        <w:sz w:val="18"/>
        <w:szCs w:val="18"/>
      </w:rPr>
      <w:t xml:space="preserve">NexVigilant Benefit-Risk Intelligence Toolkit | Competency Assessment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120"/>
      <w:jc w:val="center"/>
    </w:pPr>
    <w:rPr>
      <w:rFonts w:ascii="Arial" w:cs="Arial" w:eastAsia="Arial" w:hAnsi="Arial"/>
      <w:b/>
      <w:bCs/>
      <w:color w:val="1A365D"/>
      <w:sz w:val="40"/>
      <w:szCs w:val="40"/>
    </w:rPr>
  </w:style>
  <w:style w:type="paragraph" w:styleId="Heading1">
    <w:name w:val="Heading 1"/>
    <w:basedOn w:val="Normal"/>
    <w:next w:val="Normal"/>
    <w:qFormat/>
    <w:pPr>
      <w:shd w:fill="1A365D" w:val="clear"/>
      <w:spacing w:before="240" w:after="120"/>
    </w:pPr>
    <w:rPr>
      <w:rFonts w:ascii="Arial" w:cs="Arial" w:eastAsia="Arial" w:hAnsi="Arial"/>
      <w:b/>
      <w:bCs/>
      <w:color w:val="FFFFFF"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200" w:after="80"/>
    </w:pPr>
    <w:rPr>
      <w:rFonts w:ascii="Arial" w:cs="Arial" w:eastAsia="Arial" w:hAnsi="Arial"/>
      <w:b/>
      <w:bCs/>
      <w:color w:val="0D9488"/>
      <w:sz w:val="24"/>
      <w:szCs w:val="24"/>
    </w:rPr>
  </w:style>
  <w:style w:type="paragraph" w:styleId="Heading3">
    <w:name w:val="Heading 3"/>
    <w:basedOn w:val="Normal"/>
    <w:next w:val="Normal"/>
    <w:qFormat/>
    <w:pPr>
      <w:spacing w:before="160" w:after="60"/>
    </w:pPr>
    <w:rPr>
      <w:rFonts w:ascii="Arial" w:cs="Arial" w:eastAsia="Arial" w:hAnsi="Arial"/>
      <w:b/>
      <w:bCs/>
      <w:color w:val="1A365D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2025-12-18T04:38:19.061Z</dcterms:created>
  <dcterms:modified xsi:type="dcterms:W3CDTF">2025-12-18T04:38:19.062Z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