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before="200"/>
      </w:pPr>
      <w:r>
        <w:t xml:space="preserve">Regulatory Landscape Comparison</w:t>
      </w:r>
    </w:p>
    <w:p>
      <w:pPr>
        <w:spacing w:after="120"/>
        <w:jc w:val="center"/>
      </w:pPr>
      <w:r>
        <w:rPr>
          <w:color w:val="0D9488"/>
          <w:sz w:val="24"/>
          <w:szCs w:val="24"/>
        </w:rPr>
        <w:t xml:space="preserve">FDA vs. EMA vs. PMDA Benefit-Risk Assessment Requirements</w:t>
      </w:r>
    </w:p>
    <w:p>
      <w:pPr>
        <w:spacing w:after="200"/>
        <w:jc w:val="center"/>
      </w:pPr>
      <w:r>
        <w:rPr>
          <w:i/>
          <w:iCs/>
          <w:color w:val="64748B"/>
          <w:sz w:val="18"/>
          <w:szCs w:val="18"/>
        </w:rPr>
        <w:t xml:space="preserve">Reference Table for Global Regulatory Strategy | Based on CIOMS WG XII Guidance</w:t>
      </w:r>
    </w:p>
    <w:p>
      <w:pPr>
        <w:pStyle w:val="Heading1"/>
      </w:pPr>
      <w:r>
        <w:t xml:space="preserve">  BENEFIT-RISK FRAMEWORK COMPARISON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200"/>
        <w:gridCol w:w="3200"/>
      </w:tblGrid>
      <w:tr>
        <w:trPr>
          <w:tblHeader/>
        </w:trPr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Aspect</w:t>
            </w:r>
          </w:p>
        </w:tc>
        <w:tc>
          <w:tcPr>
            <w:tcW w:type="dxa" w:w="3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FDA (United States)</w:t>
            </w:r>
          </w:p>
        </w:tc>
        <w:tc>
          <w:tcPr>
            <w:tcW w:type="dxa" w:w="3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EMA (European Union)</w:t>
            </w:r>
          </w:p>
        </w:tc>
        <w:tc>
          <w:tcPr>
            <w:tcW w:type="dxa" w:w="3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PMDA (Japan)</w:t>
            </w:r>
          </w:p>
        </w:tc>
      </w:tr>
      <w:tr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</w:tcPr>
          <w:p>
            <w:r>
              <w:rPr>
                <w:b/>
                <w:bCs/>
                <w:sz w:val="17"/>
                <w:szCs w:val="17"/>
              </w:rPr>
              <w:t xml:space="preserve">Primary B-R Framework</w:t>
            </w:r>
          </w:p>
        </w:tc>
        <w:tc>
          <w:tcPr>
            <w:tcW w:type="dxa" w:w="3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</w:tcPr>
          <w:p>
            <w:r>
              <w:rPr>
                <w:sz w:val="17"/>
                <w:szCs w:val="17"/>
              </w:rPr>
              <w:t xml:space="preserve">FDA Benefit-Risk Framework (2013); PDUFA V commitment. Structured approach using 5 assessment factors.</w:t>
            </w:r>
          </w:p>
        </w:tc>
        <w:tc>
          <w:tcPr>
            <w:tcW w:type="dxa" w:w="3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</w:tcPr>
          <w:p>
            <w:r>
              <w:rPr>
                <w:sz w:val="17"/>
                <w:szCs w:val="17"/>
              </w:rPr>
              <w:t xml:space="preserve">PrOACT-URL methodology adapted for regulatory use. Effects Table required for CHMP Assessment Reports.</w:t>
            </w:r>
          </w:p>
        </w:tc>
        <w:tc>
          <w:tcPr>
            <w:tcW w:type="dxa" w:w="3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</w:tcPr>
          <w:p>
            <w:r>
              <w:rPr>
                <w:sz w:val="17"/>
                <w:szCs w:val="17"/>
              </w:rPr>
              <w:t xml:space="preserve">ICH-aligned approach; follows E2C(R2) for periodic reporting. Less prescriptive framework documentation.</w:t>
            </w:r>
          </w:p>
        </w:tc>
      </w:tr>
      <w:tr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</w:tcPr>
          <w:p>
            <w:r>
              <w:rPr>
                <w:b/>
                <w:bCs/>
                <w:sz w:val="17"/>
                <w:szCs w:val="17"/>
              </w:rPr>
              <w:t xml:space="preserve">Assessment Factors</w:t>
            </w:r>
          </w:p>
        </w:tc>
        <w:tc>
          <w:tcPr>
            <w:tcW w:type="dxa" w:w="3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</w:tcPr>
          <w:p>
            <w:r>
              <w:rPr>
                <w:sz w:val="17"/>
                <w:szCs w:val="17"/>
              </w:rPr>
              <w:t xml:space="preserve">1. Analysis of Condition 2. Current Treatment Options 3. Benefit 4. Risk 5. Risk Management</w:t>
            </w:r>
          </w:p>
        </w:tc>
        <w:tc>
          <w:tcPr>
            <w:tcW w:type="dxa" w:w="3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</w:tcPr>
          <w:p>
            <w:r>
              <w:rPr>
                <w:sz w:val="17"/>
                <w:szCs w:val="17"/>
              </w:rPr>
              <w:t xml:space="preserve">1. Problem definition 2. Objectives 3. Alternatives 4. Consequences 5. Trade-offs 6. Uncertainty 7. Risk tolerance 8. Linked decisions</w:t>
            </w:r>
          </w:p>
        </w:tc>
        <w:tc>
          <w:tcPr>
            <w:tcW w:type="dxa" w:w="3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</w:tcPr>
          <w:p>
            <w:r>
              <w:rPr>
                <w:sz w:val="17"/>
                <w:szCs w:val="17"/>
              </w:rPr>
              <w:t xml:space="preserve">Disease context, efficacy evidence, safety profile, benefit-risk balance statement. Focus on data quality and clinical relevance.</w:t>
            </w:r>
          </w:p>
        </w:tc>
      </w:tr>
      <w:tr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</w:tcPr>
          <w:p>
            <w:r>
              <w:rPr>
                <w:b/>
                <w:bCs/>
                <w:sz w:val="17"/>
                <w:szCs w:val="17"/>
              </w:rPr>
              <w:t xml:space="preserve">Required Documentation</w:t>
            </w:r>
          </w:p>
        </w:tc>
        <w:tc>
          <w:tcPr>
            <w:tcW w:type="dxa" w:w="3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</w:tcPr>
          <w:p>
            <w:r>
              <w:rPr>
                <w:sz w:val="17"/>
                <w:szCs w:val="17"/>
              </w:rPr>
              <w:t xml:space="preserve">Integrated review template includes B-R summary. Sponsors encouraged but not required to provide B-R summary in Module 2.5.</w:t>
            </w:r>
          </w:p>
        </w:tc>
        <w:tc>
          <w:tcPr>
            <w:tcW w:type="dxa" w:w="3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</w:tcPr>
          <w:p>
            <w:r>
              <w:rPr>
                <w:sz w:val="17"/>
                <w:szCs w:val="17"/>
              </w:rPr>
              <w:t xml:space="preserve">Effects Table mandatory in Day 80/120 Assessment Reports. Sponsors submit B-R section in Module 2.5 (Clinical Overview).</w:t>
            </w:r>
          </w:p>
        </w:tc>
        <w:tc>
          <w:tcPr>
            <w:tcW w:type="dxa" w:w="3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</w:tcPr>
          <w:p>
            <w:r>
              <w:rPr>
                <w:sz w:val="17"/>
                <w:szCs w:val="17"/>
              </w:rPr>
              <w:t xml:space="preserve">Review Report includes B-R assessment. No mandated B-R template for sponsor submissions; follows CTD format.</w:t>
            </w:r>
          </w:p>
        </w:tc>
      </w:tr>
      <w:tr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</w:tcPr>
          <w:p>
            <w:r>
              <w:rPr>
                <w:b/>
                <w:bCs/>
                <w:sz w:val="17"/>
                <w:szCs w:val="17"/>
              </w:rPr>
              <w:t xml:space="preserve">Quantitative Methods</w:t>
            </w:r>
          </w:p>
        </w:tc>
        <w:tc>
          <w:tcPr>
            <w:tcW w:type="dxa" w:w="3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</w:tcPr>
          <w:p>
            <w:r>
              <w:rPr>
                <w:sz w:val="17"/>
                <w:szCs w:val="17"/>
              </w:rPr>
              <w:t xml:space="preserve">Accepted but not required. FDA guidance acknowledges MCDA, patient preferences. Case-by-case evaluation.</w:t>
            </w:r>
          </w:p>
        </w:tc>
        <w:tc>
          <w:tcPr>
            <w:tcW w:type="dxa" w:w="3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</w:tcPr>
          <w:p>
            <w:r>
              <w:rPr>
                <w:sz w:val="17"/>
                <w:szCs w:val="17"/>
              </w:rPr>
              <w:t xml:space="preserve">Accepted and occasionally requested. EMA BRACE guidance supports quantitative approaches. PROTECT MCDA guidance.</w:t>
            </w:r>
          </w:p>
        </w:tc>
        <w:tc>
          <w:tcPr>
            <w:tcW w:type="dxa" w:w="3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</w:tcPr>
          <w:p>
            <w:r>
              <w:rPr>
                <w:sz w:val="17"/>
                <w:szCs w:val="17"/>
              </w:rPr>
              <w:t xml:space="preserve">Limited formal guidance on quantitative B-R. Primarily qualitative assessment with quantitative safety data.</w:t>
            </w:r>
          </w:p>
        </w:tc>
      </w:tr>
      <w:tr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</w:tcPr>
          <w:p>
            <w:r>
              <w:rPr>
                <w:b/>
                <w:bCs/>
                <w:sz w:val="17"/>
                <w:szCs w:val="17"/>
              </w:rPr>
              <w:t xml:space="preserve">Patient Preference Data</w:t>
            </w:r>
          </w:p>
        </w:tc>
        <w:tc>
          <w:tcPr>
            <w:tcW w:type="dxa" w:w="3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</w:tcPr>
          <w:p>
            <w:r>
              <w:rPr>
                <w:sz w:val="17"/>
                <w:szCs w:val="17"/>
              </w:rPr>
              <w:t xml:space="preserve">FDA Guidance (2016) on patient preference information. Increasing acceptance in submissions, especially for devices.</w:t>
            </w:r>
          </w:p>
        </w:tc>
        <w:tc>
          <w:tcPr>
            <w:tcW w:type="dxa" w:w="3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</w:tcPr>
          <w:p>
            <w:r>
              <w:rPr>
                <w:sz w:val="17"/>
                <w:szCs w:val="17"/>
              </w:rPr>
              <w:t xml:space="preserve">EMA Reflection Paper (2022). PREFER project recommendations. Growing regulatory interest.</w:t>
            </w:r>
          </w:p>
        </w:tc>
        <w:tc>
          <w:tcPr>
            <w:tcW w:type="dxa" w:w="3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</w:tcPr>
          <w:p>
            <w:r>
              <w:rPr>
                <w:sz w:val="17"/>
                <w:szCs w:val="17"/>
              </w:rPr>
              <w:t xml:space="preserve">Emerging acceptance. Patient-reported outcomes considered; formal preference studies less common.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  RISK MANAGEMENT &amp; PHARMACOVIGILANCE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200"/>
        <w:gridCol w:w="3200"/>
      </w:tblGrid>
      <w:tr>
        <w:trPr>
          <w:tblHeader/>
        </w:trPr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Aspect</w:t>
            </w:r>
          </w:p>
        </w:tc>
        <w:tc>
          <w:tcPr>
            <w:tcW w:type="dxa" w:w="3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FDA (United States)</w:t>
            </w:r>
          </w:p>
        </w:tc>
        <w:tc>
          <w:tcPr>
            <w:tcW w:type="dxa" w:w="3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EMA (European Union)</w:t>
            </w:r>
          </w:p>
        </w:tc>
        <w:tc>
          <w:tcPr>
            <w:tcW w:type="dxa" w:w="3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PMDA (Japan)</w:t>
            </w:r>
          </w:p>
        </w:tc>
      </w:tr>
      <w:tr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</w:tcPr>
          <w:p>
            <w:r>
              <w:rPr>
                <w:b/>
                <w:bCs/>
                <w:sz w:val="17"/>
                <w:szCs w:val="17"/>
              </w:rPr>
              <w:t xml:space="preserve">Risk Management System</w:t>
            </w:r>
          </w:p>
        </w:tc>
        <w:tc>
          <w:tcPr>
            <w:tcW w:type="dxa" w:w="3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</w:tcPr>
          <w:p>
            <w:r>
              <w:rPr>
                <w:sz w:val="17"/>
                <w:szCs w:val="17"/>
              </w:rPr>
              <w:t xml:space="preserve">REMS (Risk Evaluation and Mitigation Strategies). ETASU for highest-risk products. Voluntary risk management programs.</w:t>
            </w:r>
          </w:p>
        </w:tc>
        <w:tc>
          <w:tcPr>
            <w:tcW w:type="dxa" w:w="3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</w:tcPr>
          <w:p>
            <w:r>
              <w:rPr>
                <w:sz w:val="17"/>
                <w:szCs w:val="17"/>
              </w:rPr>
              <w:t xml:space="preserve">RMP (Risk Management Plan) required for all new MAAs. Additional Risk Minimization Measures (aRMMs) as needed.</w:t>
            </w:r>
          </w:p>
        </w:tc>
        <w:tc>
          <w:tcPr>
            <w:tcW w:type="dxa" w:w="3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</w:tcPr>
          <w:p>
            <w:r>
              <w:rPr>
                <w:sz w:val="17"/>
                <w:szCs w:val="17"/>
              </w:rPr>
              <w:t xml:space="preserve">J-RMP (Japanese Risk Management Plan). Required since 2012. Aligned with ICH E2E but with Japan-specific elements.</w:t>
            </w:r>
          </w:p>
        </w:tc>
      </w:tr>
      <w:tr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</w:tcPr>
          <w:p>
            <w:r>
              <w:rPr>
                <w:b/>
                <w:bCs/>
                <w:sz w:val="17"/>
                <w:szCs w:val="17"/>
              </w:rPr>
              <w:t xml:space="preserve">RMM Categories</w:t>
            </w:r>
          </w:p>
        </w:tc>
        <w:tc>
          <w:tcPr>
            <w:tcW w:type="dxa" w:w="3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</w:tcPr>
          <w:p>
            <w:r>
              <w:rPr>
                <w:sz w:val="17"/>
                <w:szCs w:val="17"/>
              </w:rPr>
              <w:t xml:space="preserve">Routine: Labeling, packaging. Additional: REMS, ETASU, Medication Guides, Communication Plans, restricted distribution.</w:t>
            </w:r>
          </w:p>
        </w:tc>
        <w:tc>
          <w:tcPr>
            <w:tcW w:type="dxa" w:w="3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</w:tcPr>
          <w:p>
            <w:r>
              <w:rPr>
                <w:sz w:val="17"/>
                <w:szCs w:val="17"/>
              </w:rPr>
              <w:t xml:space="preserve">Routine: SmPC, PIL, labeling. Additional: Educational materials, HCP training, patient registries, controlled distribution.</w:t>
            </w:r>
          </w:p>
        </w:tc>
        <w:tc>
          <w:tcPr>
            <w:tcW w:type="dxa" w:w="3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</w:tcPr>
          <w:p>
            <w:r>
              <w:rPr>
                <w:sz w:val="17"/>
                <w:szCs w:val="17"/>
              </w:rPr>
              <w:t xml:space="preserve">Routine: Package insert, patient materials. Additional: Proper use guidelines, confirmation checks, patient registries.</w:t>
            </w:r>
          </w:p>
        </w:tc>
      </w:tr>
      <w:tr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</w:tcPr>
          <w:p>
            <w:r>
              <w:rPr>
                <w:b/>
                <w:bCs/>
                <w:sz w:val="17"/>
                <w:szCs w:val="17"/>
              </w:rPr>
              <w:t xml:space="preserve">Periodic Safety Reporting</w:t>
            </w:r>
          </w:p>
        </w:tc>
        <w:tc>
          <w:tcPr>
            <w:tcW w:type="dxa" w:w="3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</w:tcPr>
          <w:p>
            <w:r>
              <w:rPr>
                <w:sz w:val="17"/>
                <w:szCs w:val="17"/>
              </w:rPr>
              <w:t xml:space="preserve">PSUR (legacy) or PBRER for NDA products. PADER for BLA products. Annual safety reports.</w:t>
            </w:r>
          </w:p>
        </w:tc>
        <w:tc>
          <w:tcPr>
            <w:tcW w:type="dxa" w:w="3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</w:tcPr>
          <w:p>
            <w:r>
              <w:rPr>
                <w:sz w:val="17"/>
                <w:szCs w:val="17"/>
              </w:rPr>
              <w:t xml:space="preserve">PBRER per ICH E2C(R2). Submitted via PSUR Repository. PRAC review for EU-wide assessment.</w:t>
            </w:r>
          </w:p>
        </w:tc>
        <w:tc>
          <w:tcPr>
            <w:tcW w:type="dxa" w:w="3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</w:tcPr>
          <w:p>
            <w:r>
              <w:rPr>
                <w:sz w:val="17"/>
                <w:szCs w:val="17"/>
              </w:rPr>
              <w:t xml:space="preserve">PBRER required. J-PSUR for domestic products. Re-examination system unique to Japan (8-10 year surveillance).</w:t>
            </w:r>
          </w:p>
        </w:tc>
      </w:tr>
      <w:tr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</w:tcPr>
          <w:p>
            <w:r>
              <w:rPr>
                <w:b/>
                <w:bCs/>
                <w:sz w:val="17"/>
                <w:szCs w:val="17"/>
              </w:rPr>
              <w:t xml:space="preserve">B-R Content in PSURs</w:t>
            </w:r>
          </w:p>
        </w:tc>
        <w:tc>
          <w:tcPr>
            <w:tcW w:type="dxa" w:w="3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</w:tcPr>
          <w:p>
            <w:r>
              <w:rPr>
                <w:sz w:val="17"/>
                <w:szCs w:val="17"/>
              </w:rPr>
              <w:t xml:space="preserve">PBRER Section 16: B-R evaluation. Must include benefit data review and overall B-R assessment.</w:t>
            </w:r>
          </w:p>
        </w:tc>
        <w:tc>
          <w:tcPr>
            <w:tcW w:type="dxa" w:w="3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</w:tcPr>
          <w:p>
            <w:r>
              <w:rPr>
                <w:sz w:val="17"/>
                <w:szCs w:val="17"/>
              </w:rPr>
              <w:t xml:space="preserve">PBRER Section 16 mandatory. B-R conclusion required. Signal detection and evaluation integrated.</w:t>
            </w:r>
          </w:p>
        </w:tc>
        <w:tc>
          <w:tcPr>
            <w:tcW w:type="dxa" w:w="3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</w:tcPr>
          <w:p>
            <w:r>
              <w:rPr>
                <w:sz w:val="17"/>
                <w:szCs w:val="17"/>
              </w:rPr>
              <w:t xml:space="preserve">PBRER B-R section required. Additional focus on Japanese population data and post-marketing study results.</w:t>
            </w:r>
          </w:p>
        </w:tc>
      </w:tr>
      <w:tr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</w:tcPr>
          <w:p>
            <w:r>
              <w:rPr>
                <w:b/>
                <w:bCs/>
                <w:sz w:val="17"/>
                <w:szCs w:val="17"/>
              </w:rPr>
              <w:t xml:space="preserve">Signal Detection</w:t>
            </w:r>
          </w:p>
        </w:tc>
        <w:tc>
          <w:tcPr>
            <w:tcW w:type="dxa" w:w="3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</w:tcPr>
          <w:p>
            <w:r>
              <w:rPr>
                <w:sz w:val="17"/>
                <w:szCs w:val="17"/>
              </w:rPr>
              <w:t xml:space="preserve">FAERS database analysis. FDA Sentinel System for active surveillance. Sponsor signal management expected.</w:t>
            </w:r>
          </w:p>
        </w:tc>
        <w:tc>
          <w:tcPr>
            <w:tcW w:type="dxa" w:w="3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</w:tcPr>
          <w:p>
            <w:r>
              <w:rPr>
                <w:sz w:val="17"/>
                <w:szCs w:val="17"/>
              </w:rPr>
              <w:t xml:space="preserve">EudraVigilance database. Signal detection per GVP Module IX. PRAC signal assessment.</w:t>
            </w:r>
          </w:p>
        </w:tc>
        <w:tc>
          <w:tcPr>
            <w:tcW w:type="dxa" w:w="3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</w:tcPr>
          <w:p>
            <w:r>
              <w:rPr>
                <w:sz w:val="17"/>
                <w:szCs w:val="17"/>
              </w:rPr>
              <w:t xml:space="preserve">JADER database (Japan ADR Event Repository). Signal detection aligned with ICH E2E.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  KEY GUIDANCE DOCUMENTS BY REGION</w:t>
      </w:r>
    </w:p>
    <w:p>
      <w:pPr>
        <w:pStyle w:val="Heading2"/>
      </w:pPr>
      <w:r>
        <w:t xml:space="preserve">FDA (United States)</w:t>
      </w:r>
    </w:p>
    <w:p>
      <w:pPr>
        <w:spacing w:after="60"/>
      </w:pPr>
      <w:r>
        <w:rPr>
          <w:sz w:val="18"/>
          <w:szCs w:val="18"/>
        </w:rPr>
        <w:t xml:space="preserve">- Structured Approach to Benefit-Risk Assessment in Drug Regulatory Decision-Making (PDUFA V, 2013)</w:t>
      </w:r>
    </w:p>
    <w:p>
      <w:pPr>
        <w:spacing w:after="60"/>
      </w:pPr>
      <w:r>
        <w:rPr>
          <w:sz w:val="18"/>
          <w:szCs w:val="18"/>
        </w:rPr>
        <w:t xml:space="preserve">- Patient Preference Information - Voluntary Submission Guidance (2016)</w:t>
      </w:r>
    </w:p>
    <w:p>
      <w:pPr>
        <w:spacing w:after="120"/>
      </w:pPr>
      <w:r>
        <w:rPr>
          <w:sz w:val="18"/>
          <w:szCs w:val="18"/>
        </w:rPr>
        <w:t xml:space="preserve">- REMS: Questions and Answers (Guidance for Industry)</w:t>
      </w:r>
    </w:p>
    <w:p>
      <w:pPr>
        <w:pStyle w:val="Heading2"/>
      </w:pPr>
      <w:r>
        <w:t xml:space="preserve">EMA (European Union)</w:t>
      </w:r>
    </w:p>
    <w:p>
      <w:pPr>
        <w:spacing w:after="60"/>
      </w:pPr>
      <w:r>
        <w:rPr>
          <w:sz w:val="18"/>
          <w:szCs w:val="18"/>
        </w:rPr>
        <w:t xml:space="preserve">- Benefit-Risk Methodology Project Report (EMA, 2012)</w:t>
      </w:r>
    </w:p>
    <w:p>
      <w:pPr>
        <w:spacing w:after="60"/>
      </w:pPr>
      <w:r>
        <w:rPr>
          <w:sz w:val="18"/>
          <w:szCs w:val="18"/>
        </w:rPr>
        <w:t xml:space="preserve">- GVP Module V: Risk Management Systems (Rev 3)</w:t>
      </w:r>
    </w:p>
    <w:p>
      <w:pPr>
        <w:spacing w:after="60"/>
      </w:pPr>
      <w:r>
        <w:rPr>
          <w:sz w:val="18"/>
          <w:szCs w:val="18"/>
        </w:rPr>
        <w:t xml:space="preserve">- GVP Module XVI: Risk Minimisation Measures (Rev 3)</w:t>
      </w:r>
    </w:p>
    <w:p>
      <w:pPr>
        <w:spacing w:after="120"/>
      </w:pPr>
      <w:r>
        <w:rPr>
          <w:sz w:val="18"/>
          <w:szCs w:val="18"/>
        </w:rPr>
        <w:t xml:space="preserve">- Reflection Paper on the Use of Patient Preference Information (2022)</w:t>
      </w:r>
    </w:p>
    <w:p>
      <w:pPr>
        <w:pStyle w:val="Heading2"/>
      </w:pPr>
      <w:r>
        <w:t xml:space="preserve">PMDA (Japan)</w:t>
      </w:r>
    </w:p>
    <w:p>
      <w:pPr>
        <w:spacing w:after="60"/>
      </w:pPr>
      <w:r>
        <w:rPr>
          <w:sz w:val="18"/>
          <w:szCs w:val="18"/>
        </w:rPr>
        <w:t xml:space="preserve">- Ministerial Ordinance on Good Post-Marketing Study Practice (GPSP)</w:t>
      </w:r>
    </w:p>
    <w:p>
      <w:pPr>
        <w:spacing w:after="120"/>
      </w:pPr>
      <w:r>
        <w:rPr>
          <w:sz w:val="18"/>
          <w:szCs w:val="18"/>
        </w:rPr>
        <w:t xml:space="preserve">- Risk Management Plan Guidance (PMDA, 2012, updated)</w:t>
      </w:r>
    </w:p>
    <w:p>
      <w:pPr>
        <w:pStyle w:val="Heading2"/>
      </w:pPr>
      <w:r>
        <w:t xml:space="preserve">ICH Harmonized Guidelines</w:t>
      </w:r>
    </w:p>
    <w:p>
      <w:pPr>
        <w:spacing w:after="60"/>
      </w:pPr>
      <w:r>
        <w:rPr>
          <w:sz w:val="18"/>
          <w:szCs w:val="18"/>
        </w:rPr>
        <w:t xml:space="preserve">- ICH E2C(R2): Periodic Benefit-Risk Evaluation Report (PBRER)</w:t>
      </w:r>
    </w:p>
    <w:p>
      <w:pPr>
        <w:spacing w:after="60"/>
      </w:pPr>
      <w:r>
        <w:rPr>
          <w:sz w:val="18"/>
          <w:szCs w:val="18"/>
        </w:rPr>
        <w:t xml:space="preserve">- ICH E2E: Pharmacovigilance Planning</w:t>
      </w:r>
    </w:p>
    <w:p>
      <w:pPr>
        <w:spacing w:after="200"/>
      </w:pPr>
      <w:r>
        <w:rPr>
          <w:sz w:val="18"/>
          <w:szCs w:val="18"/>
        </w:rPr>
        <w:t xml:space="preserve">- ICH M4E: Common Technical Document - Efficacy (Module 2.5 Clinical Overview)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800"/>
      </w:tblGrid>
      <w:tr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1A365D" w:val="clear"/>
          </w:tcPr>
          <w:p>
            <w:pPr>
              <w:spacing w:before="100" w:after="100"/>
            </w:pPr>
            <w:r>
              <w:rPr>
                <w:b/>
                <w:bCs/>
                <w:color w:val="0D9488"/>
                <w:sz w:val="20"/>
                <w:szCs w:val="20"/>
              </w:rPr>
              <w:t xml:space="preserve">SIGNAL DETECTED: </w:t>
            </w:r>
            <w:r>
              <w:rPr>
                <w:color w:val="FFFFFF"/>
                <w:sz w:val="20"/>
                <w:szCs w:val="20"/>
              </w:rPr>
              <w:t xml:space="preserve">Despite regional variations in documentation format and terminology, all three major regulatory authorities share common principles derived from ICH harmonization. The fundamental expectation - systematic, transparent B-R assessment with clear articulation of conclusions and risk management - is universal.</w:t>
            </w:r>
          </w:p>
        </w:tc>
      </w:tr>
    </w:tbl>
    <w:p>
      <w:pPr>
        <w:spacing w:before="200"/>
        <w:jc w:val="center"/>
      </w:pPr>
      <w:r>
        <w:rPr>
          <w:i/>
          <w:iCs/>
          <w:color w:val="64748B"/>
          <w:sz w:val="16"/>
          <w:szCs w:val="16"/>
        </w:rPr>
        <w:t xml:space="preserve">For educational reference only. Verify current requirements with respective regulatory authority.</w:t>
      </w:r>
    </w:p>
    <w:sectPr>
      <w:headerReference w:type="default" r:id="rId6"/>
      <w:footerReference w:type="default" r:id="rId7"/>
      <w:pgSz w:w="16838" w:h="11906" w:orient="landscape"/>
      <w:pgMar w:top="600" w:right="600" w:bottom="6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4"/>
        <w:szCs w:val="14"/>
      </w:rPr>
      <w:t xml:space="preserve">2025 NexVigilant LLC | www.nexvigilant.com | Page </w:t>
    </w:r>
    <w:r>
      <w:rPr>
        <w:color w:val="64748B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4"/>
        <w:szCs w:val="14"/>
      </w:rPr>
      <w:t xml:space="preserve"> of </w:t>
    </w:r>
    <w:r>
      <w:rPr>
        <w:color w:val="64748B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4748B"/>
        <w:sz w:val="16"/>
        <w:szCs w:val="16"/>
      </w:rPr>
      <w:t xml:space="preserve">NexVigilant Benefit-Risk Intelligence Toolkit | Regulatory Comparison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  <w:jc w:val="center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1">
    <w:name w:val="Heading 1"/>
    <w:basedOn w:val="Normal"/>
    <w:next w:val="Normal"/>
    <w:qFormat/>
    <w:pPr>
      <w:shd w:fill="1A365D" w:val="clear"/>
      <w:spacing w:before="200" w:after="100"/>
    </w:pPr>
    <w:rPr>
      <w:rFonts w:ascii="Arial" w:cs="Arial" w:eastAsia="Arial" w:hAnsi="Arial"/>
      <w:b/>
      <w:bCs/>
      <w:color w:val="FFFFFF"/>
      <w:sz w:val="26"/>
      <w:szCs w:val="26"/>
    </w:rPr>
  </w:style>
  <w:style w:type="paragraph" w:styleId="Heading2">
    <w:name w:val="Heading 2"/>
    <w:basedOn w:val="Normal"/>
    <w:next w:val="Normal"/>
    <w:qFormat/>
    <w:pPr>
      <w:spacing w:before="160" w:after="60"/>
    </w:pPr>
    <w:rPr>
      <w:rFonts w:ascii="Arial" w:cs="Arial" w:eastAsia="Arial" w:hAnsi="Arial"/>
      <w:b/>
      <w:bCs/>
      <w:color w:val="0D948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2025-12-18T04:41:15.613Z</dcterms:created>
  <dcterms:modified xsi:type="dcterms:W3CDTF">2025-12-18T04:41:15.614Z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