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365D"/>
          <w:sz w:val="52"/>
          <w:szCs w:val="52"/>
        </w:rPr>
        <w:t xml:space="preserve">NexVigilant</w:t>
      </w:r>
    </w:p>
    <w:p>
      <w:pPr>
        <w:spacing w:after="200"/>
        <w:jc w:val="center"/>
      </w:pPr>
      <w:r>
        <w:rPr>
          <w:b/>
          <w:bCs/>
          <w:color w:val="0D9488"/>
          <w:sz w:val="18"/>
          <w:szCs w:val="18"/>
        </w:rPr>
        <w:t xml:space="preserve">EMPOWERMENT THROUGH VIGILANCE</w:t>
      </w:r>
    </w:p>
    <w:p>
      <w:pPr>
        <w:spacing w:after="300"/>
        <w:jc w:val="right"/>
      </w:pPr>
      <w:r>
        <w:rPr>
          <w:color w:val="64748B"/>
          <w:sz w:val="20"/>
          <w:szCs w:val="20"/>
        </w:rPr>
        <w:t xml:space="preserve">December 2025</w:t>
      </w:r>
    </w:p>
    <w:p>
      <w:pPr>
        <w:spacing w:after="200"/>
      </w:pPr>
      <w:r>
        <w:rPr>
          <w:sz w:val="22"/>
          <w:szCs w:val="22"/>
        </w:rPr>
        <w:t xml:space="preserve">Dear Colleague,</w:t>
      </w:r>
    </w:p>
    <w:p>
      <w:pPr>
        <w:spacing w:after="200"/>
      </w:pPr>
      <w:r>
        <w:t xml:space="preserve">Thank you for downloading the </w:t>
      </w:r>
      <w:r>
        <w:rPr>
          <w:b/>
          <w:bCs/>
        </w:rPr>
        <w:t xml:space="preserve">NexVigilant Benefit-Risk Intelligence Toolkit</w:t>
      </w:r>
      <w:r>
        <w:t xml:space="preserve">, developed to support systematic, transparent benefit-risk assessment based on the principles established in the CIOMS Working Group XII Report (May 2025).</w:t>
      </w:r>
    </w:p>
    <w:p>
      <w:pPr>
        <w:spacing w:after="200"/>
      </w:pPr>
      <w:r>
        <w:t xml:space="preserve">This toolkit represents our commitment to </w:t>
      </w:r>
      <w:r>
        <w:rPr>
          <w:b/>
          <w:bCs/>
        </w:rPr>
        <w:t xml:space="preserve">capability acceleration</w:t>
      </w:r>
      <w:r>
        <w:t xml:space="preserve"> in pharmacovigilance and patient safety. We believe that practitioners equipped with the right frameworks, methodologies, and tools make better decisions—decisions that ultimately protect patients and advance therapeutic innovation.</w:t>
      </w:r>
    </w:p>
    <w:p>
      <w:pPr>
        <w:pStyle w:val="Heading1"/>
      </w:pPr>
      <w:r>
        <w:t xml:space="preserve">What's Included</w:t>
      </w:r>
    </w:p>
    <w:p>
      <w:pPr>
        <w:spacing w:after="120"/>
      </w:pPr>
      <w:r>
        <w:t xml:space="preserve">This educational package contains:</w:t>
      </w:r>
    </w:p>
    <w:p>
      <w:pPr>
        <w:spacing w:after="80"/>
        <w:ind w:left="360"/>
      </w:pPr>
      <w:r>
        <w:rPr>
          <w:b/>
          <w:bCs/>
        </w:rPr>
        <w:t xml:space="preserve">◆ Foundation Module:</w:t>
      </w:r>
      <w:r>
        <w:t xml:space="preserve"> SBRF Quick Reference, B-R Glossary, Lifecycle Maturity Model</w:t>
      </w:r>
    </w:p>
    <w:p>
      <w:pPr>
        <w:spacing w:after="80"/>
        <w:ind w:left="360"/>
      </w:pPr>
      <w:r>
        <w:rPr>
          <w:b/>
          <w:bCs/>
        </w:rPr>
        <w:t xml:space="preserve">◆ Decision Support Module:</w:t>
      </w:r>
      <w:r>
        <w:t xml:space="preserve"> Quantitative Analysis Decision Tree, Patient Preference Study Selector, RMM Selection Framework</w:t>
      </w:r>
    </w:p>
    <w:p>
      <w:pPr>
        <w:spacing w:after="80"/>
        <w:ind w:left="360"/>
      </w:pPr>
      <w:r>
        <w:rPr>
          <w:b/>
          <w:bCs/>
        </w:rPr>
        <w:t xml:space="preserve">◆ Assessment Templates:</w:t>
      </w:r>
      <w:r>
        <w:t xml:space="preserve"> BRAD Template, Effects Table Template, Value Tree Builder</w:t>
      </w:r>
    </w:p>
    <w:p>
      <w:pPr>
        <w:spacing w:after="80"/>
        <w:ind w:left="360"/>
      </w:pPr>
      <w:r>
        <w:rPr>
          <w:b/>
          <w:bCs/>
        </w:rPr>
        <w:t xml:space="preserve">◆ Visualization Tools:</w:t>
      </w:r>
      <w:r>
        <w:t xml:space="preserve"> MCDA Decision Model, Tornado Plot Template, Forest Plot Generator, Heatmap Builder</w:t>
      </w:r>
    </w:p>
    <w:p>
      <w:pPr>
        <w:spacing w:after="80"/>
        <w:ind w:left="360"/>
      </w:pPr>
      <w:r>
        <w:rPr>
          <w:b/>
          <w:bCs/>
        </w:rPr>
        <w:t xml:space="preserve">◆ Case Study Workbooks:</w:t>
      </w:r>
      <w:r>
        <w:t xml:space="preserve"> Vaccine BRA Worked Example, MCDA Calculation Walkthrough, DOOR Analysis Template</w:t>
      </w:r>
    </w:p>
    <w:p>
      <w:pPr>
        <w:spacing w:after="80"/>
        <w:ind w:left="360"/>
      </w:pPr>
      <w:r>
        <w:rPr>
          <w:b/>
          <w:bCs/>
        </w:rPr>
        <w:t xml:space="preserve">◆ Competency Assessment:</w:t>
      </w:r>
      <w:r>
        <w:t xml:space="preserve"> B-R Framework Self-Assessment Quiz &amp; Checklist</w:t>
      </w:r>
    </w:p>
    <w:p>
      <w:pPr>
        <w:spacing w:after="200"/>
        <w:ind w:left="360"/>
      </w:pPr>
      <w:r>
        <w:rPr>
          <w:b/>
          <w:bCs/>
        </w:rPr>
        <w:t xml:space="preserve">◆ Regulatory Reference:</w:t>
      </w:r>
      <w:r>
        <w:t xml:space="preserve"> FDA vs. EMA vs. PMDA Comparison Table</w:t>
      </w:r>
    </w:p>
    <w:p>
      <w:pPr>
        <w:pStyle w:val="Heading1"/>
      </w:pPr>
      <w:r>
        <w:t xml:space="preserve">About NexVigilant</w:t>
      </w:r>
    </w:p>
    <w:p>
      <w:pPr>
        <w:spacing w:after="200"/>
      </w:pPr>
      <w:r>
        <w:t xml:space="preserve">NexVigilant delivers concentrated doses of strategic pharmacovigilance intelligence. We partner with pharmaceutical and biotechnology organizations to build internal capability, optimize safety operations, and navigate complex regulatory landscapes.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58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Deliver</w:t>
            </w:r>
          </w:p>
        </w:tc>
      </w:tr>
      <w:tr>
        <w:tc>
          <w:tcPr>
            <w:tcW w:type="dxa" w:w="32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CCFBF1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Pharmacovigilance &amp; Patient Safety Strategy</w:t>
            </w:r>
          </w:p>
        </w:tc>
        <w:tc>
          <w:tcPr>
            <w:tcW w:type="dxa" w:w="58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</w:tcPr>
          <w:p>
            <w:r>
              <w:rPr>
                <w:sz w:val="18"/>
                <w:szCs w:val="18"/>
              </w:rPr>
              <w:t xml:space="preserve">Benefit-risk assessment methodology • Signal management optimization • Risk minimization program design • PBRER/PSUR strategy • Safety governance frameworks • Regulatory inspection readiness</w:t>
            </w:r>
          </w:p>
        </w:tc>
      </w:tr>
      <w:tr>
        <w:tc>
          <w:tcPr>
            <w:tcW w:type="dxa" w:w="32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Pharmaceutical Intelligence</w:t>
            </w:r>
          </w:p>
        </w:tc>
        <w:tc>
          <w:tcPr>
            <w:tcW w:type="dxa" w:w="58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</w:tcPr>
          <w:p>
            <w:r>
              <w:rPr>
                <w:sz w:val="18"/>
                <w:szCs w:val="18"/>
              </w:rPr>
              <w:t xml:space="preserve">Competitive intelligence analysis • Regulatory landscape monitoring • Safety signal benchmarking • Therapeutic area deep dives • Strategic advisory support</w:t>
            </w:r>
          </w:p>
        </w:tc>
      </w:tr>
      <w:tr>
        <w:tc>
          <w:tcPr>
            <w:tcW w:type="dxa" w:w="32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Capability Acceleration L&amp;D Services</w:t>
            </w:r>
          </w:p>
        </w:tc>
        <w:tc>
          <w:tcPr>
            <w:tcW w:type="dxa" w:w="58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</w:tcPr>
          <w:p>
            <w:r>
              <w:rPr>
                <w:sz w:val="18"/>
                <w:szCs w:val="18"/>
              </w:rPr>
              <w:t xml:space="preserve">Custom capability pathways • Team competency assessment • Practitioner training programs • Knowledge transfer frameworks • Tool kit development • Case study creation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Important Disclaimer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EF3C7" w:val="clear"/>
          </w:tcPr>
          <w:p>
            <w:pPr>
              <w:spacing w:before="120" w:after="120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EDUCATIONAL USE ONLY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This toolkit is provided for </w:t>
            </w:r>
            <w:r>
              <w:rPr>
                <w:b/>
                <w:bCs/>
                <w:sz w:val="20"/>
                <w:szCs w:val="20"/>
              </w:rPr>
              <w:t xml:space="preserve">educational and reference purposes only</w:t>
            </w:r>
            <w:r>
              <w:rPr>
                <w:sz w:val="20"/>
                <w:szCs w:val="20"/>
              </w:rPr>
              <w:t xml:space="preserve">. The materials contained herein are designed to support learning and capability development in benefit-risk assessment methodology.</w:t>
            </w:r>
          </w:p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This toolkit does not constitute:</w:t>
            </w:r>
          </w:p>
          <w:p>
            <w:pPr>
              <w:spacing w:after="60"/>
              <w:ind w:left="360"/>
            </w:pPr>
            <w:r>
              <w:rPr>
                <w:sz w:val="20"/>
                <w:szCs w:val="20"/>
              </w:rPr>
              <w:t xml:space="preserve">• Legal, regulatory, or compliance advice</w:t>
            </w:r>
          </w:p>
          <w:p>
            <w:pPr>
              <w:spacing w:after="60"/>
              <w:ind w:left="360"/>
            </w:pPr>
            <w:r>
              <w:rPr>
                <w:sz w:val="20"/>
                <w:szCs w:val="20"/>
              </w:rPr>
              <w:t xml:space="preserve">• A complete representation of all CIOMS Working Group XII guidance</w:t>
            </w:r>
          </w:p>
          <w:p>
            <w:pPr>
              <w:spacing w:after="60"/>
              <w:ind w:left="360"/>
            </w:pPr>
            <w:r>
              <w:rPr>
                <w:sz w:val="20"/>
                <w:szCs w:val="20"/>
              </w:rPr>
              <w:t xml:space="preserve">• Exhaustive coverage of all regulatory requirements in any jurisdiction</w:t>
            </w:r>
          </w:p>
          <w:p>
            <w:pPr>
              <w:spacing w:after="120"/>
              <w:ind w:left="360"/>
            </w:pPr>
            <w:r>
              <w:rPr>
                <w:sz w:val="20"/>
                <w:szCs w:val="20"/>
              </w:rPr>
              <w:t xml:space="preserve">• Ready-to-submit regulatory documentation</w:t>
            </w:r>
          </w:p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Users should:</w:t>
            </w:r>
          </w:p>
          <w:p>
            <w:pPr>
              <w:spacing w:after="60"/>
              <w:ind w:left="360"/>
            </w:pPr>
            <w:r>
              <w:rPr>
                <w:sz w:val="20"/>
                <w:szCs w:val="20"/>
              </w:rPr>
              <w:t xml:space="preserve">• Consult the original CIOMS WG XII report for complete guidance</w:t>
            </w:r>
          </w:p>
          <w:p>
            <w:pPr>
              <w:spacing w:after="60"/>
              <w:ind w:left="360"/>
            </w:pPr>
            <w:r>
              <w:rPr>
                <w:sz w:val="20"/>
                <w:szCs w:val="20"/>
              </w:rPr>
              <w:t xml:space="preserve">• Verify current regulatory requirements with applicable authorities</w:t>
            </w:r>
          </w:p>
          <w:p>
            <w:pPr>
              <w:spacing w:after="60"/>
              <w:ind w:left="360"/>
            </w:pPr>
            <w:r>
              <w:rPr>
                <w:sz w:val="20"/>
                <w:szCs w:val="20"/>
              </w:rPr>
              <w:t xml:space="preserve">• Adapt templates and frameworks to their specific organizational context</w:t>
            </w:r>
          </w:p>
          <w:p>
            <w:pPr>
              <w:spacing w:after="60"/>
              <w:ind w:left="360"/>
            </w:pPr>
            <w:r>
              <w:rPr>
                <w:sz w:val="20"/>
                <w:szCs w:val="20"/>
              </w:rPr>
              <w:t xml:space="preserve">• Seek qualified professional guidance for implementation decisions</w:t>
            </w:r>
          </w:p>
          <w:p>
            <w:pPr>
              <w:spacing w:after="120"/>
              <w:ind w:left="360"/>
            </w:pPr>
            <w:r>
              <w:rPr>
                <w:sz w:val="20"/>
                <w:szCs w:val="20"/>
              </w:rPr>
              <w:t xml:space="preserve">• Conduct appropriate validation before operational deployment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NexVigilant LLC assumes no liability for decisions made or actions taken based on the contents of this toolkit. Further implementation work, customization, and validation are required before operational use.</w:t>
            </w:r>
          </w:p>
        </w:tc>
      </w:tr>
    </w:tbl>
    <w:p>
      <w:pPr>
        <w:pStyle w:val="Heading1"/>
      </w:pPr>
      <w:r>
        <w:t xml:space="preserve">Let's Connect</w:t>
      </w:r>
    </w:p>
    <w:p>
      <w:pPr>
        <w:spacing w:after="200"/>
      </w:pPr>
      <w:r>
        <w:t xml:space="preserve">We welcome, the opportunity to discuss how NexVigilant can support your organization's benefit-risk assessment capabilities. Whether you're seeking:</w:t>
      </w:r>
    </w:p>
    <w:p>
      <w:pPr>
        <w:spacing w:after="80"/>
        <w:ind w:left="360"/>
      </w:pPr>
      <w:r>
        <w:t xml:space="preserve">◆ Implementation guidance for these educational materials</w:t>
      </w:r>
    </w:p>
    <w:p>
      <w:pPr>
        <w:spacing w:after="80"/>
        <w:ind w:left="360"/>
      </w:pPr>
      <w:r>
        <w:t xml:space="preserve">◆ Customized capability pathways for your team</w:t>
      </w:r>
    </w:p>
    <w:p>
      <w:pPr>
        <w:spacing w:after="80"/>
        <w:ind w:left="360"/>
      </w:pPr>
      <w:r>
        <w:t xml:space="preserve">◆ Additional Learning &amp; Development materials</w:t>
      </w:r>
    </w:p>
    <w:p>
      <w:pPr>
        <w:spacing w:after="80"/>
        <w:ind w:left="360"/>
      </w:pPr>
      <w:r>
        <w:t xml:space="preserve">◆ Toolkit development for CIOMS guidance or other regulatory frameworks</w:t>
      </w:r>
    </w:p>
    <w:p>
      <w:pPr>
        <w:spacing w:after="200"/>
        <w:ind w:left="360"/>
      </w:pPr>
      <w:r>
        <w:t xml:space="preserve">◆ Strategic advisory on pharmacovigilance and patient safety</w:t>
      </w:r>
    </w:p>
    <w:p>
      <w:pPr>
        <w:spacing w:after="200"/>
      </w:pPr>
      <w:r>
        <w:rPr>
          <w:b/>
          <w:bCs/>
        </w:rPr>
        <w:t xml:space="preserve">We'd be honored to partner with you.</w:t>
      </w:r>
    </w:p>
    <w:p>
      <w:pPr>
        <w:spacing w:before="300" w:after="80"/>
      </w:pPr>
      <w:r>
        <w:t xml:space="preserve">With appreciation,</w:t>
      </w:r>
    </w:p>
    <w:p>
      <w:pPr>
        <w:spacing w:before="200" w:after="40"/>
      </w:pPr>
      <w:r>
        <w:rPr>
          <w:b/>
          <w:bCs/>
          <w:sz w:val="24"/>
          <w:szCs w:val="24"/>
        </w:rPr>
        <w:t xml:space="preserve">Matthew Campion, PharmD</w:t>
      </w:r>
    </w:p>
    <w:p>
      <w:pPr>
        <w:spacing w:after="40"/>
      </w:pPr>
      <w:r>
        <w:rPr>
          <w:color w:val="1A365D"/>
          <w:sz w:val="20"/>
          <w:szCs w:val="20"/>
        </w:rPr>
        <w:t xml:space="preserve">NexVigilant | Chief Executive</w:t>
      </w:r>
    </w:p>
    <w:p>
      <w:pPr>
        <w:spacing w:after="200"/>
      </w:pPr>
      <w:r>
        <w:rPr>
          <w:color w:val="0D9488"/>
          <w:sz w:val="20"/>
          <w:szCs w:val="20"/>
        </w:rPr>
        <w:t xml:space="preserve">matthew@nexvigilant.com</w:t>
      </w:r>
    </w:p>
    <w:p>
      <w:pPr>
        <w:spacing w:before="400"/>
        <w:jc w:val="center"/>
      </w:pPr>
      <w:r>
        <w:rPr>
          <w:color w:val="64748B"/>
          <w:sz w:val="16"/>
          <w:szCs w:val="16"/>
        </w:rPr>
        <w:t xml:space="preserve">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b/>
          <w:bCs/>
          <w:color w:val="1A365D"/>
          <w:sz w:val="20"/>
          <w:szCs w:val="20"/>
        </w:rPr>
        <w:t xml:space="preserve">NexVigilant, LLC</w:t>
      </w:r>
    </w:p>
    <w:p>
      <w:pPr>
        <w:spacing w:after="40"/>
        <w:jc w:val="center"/>
      </w:pPr>
      <w:r>
        <w:rPr>
          <w:color w:val="0D9488"/>
          <w:sz w:val="18"/>
          <w:szCs w:val="18"/>
        </w:rPr>
        <w:t xml:space="preserve">www.nexvigilant.com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Empowerment Through Vigilance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2025-12-18T04:42:24.623Z</dcterms:created>
  <dcterms:modified xsi:type="dcterms:W3CDTF">2025-12-18T04:42:24.624Z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