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0" w:after="0" w:line="900" w:lineRule="exact"/>
      </w:pPr>
    </w:p>
    <w:p>
      <w:pPr>
        <w:spacing w:before="0" w:after="0"/>
      </w:pPr>
      <w:r>
        <w:drawing>
          <wp:inline distT="0" distB="0" distL="0" distR="0">
            <wp:extent cx="4735285" cy="1828800"/>
            <wp:docPr id="20" name="The Pint Bar logo"/>
            <a:graphic xmlns:a="http://schemas.openxmlformats.org/drawingml/2006/main">
              <a:graphicData uri="http://schemas.openxmlformats.org/drawingml/2006/picture">
                <pic:pic xmlns:pic="http://schemas.openxmlformats.org/drawingml/2006/picture">
                  <pic:nvPicPr>
                    <pic:cNvPr id="20" name="logo.png"/>
                    <pic:cNvPicPr/>
                  </pic:nvPicPr>
                  <pic:blipFill>
                    <a:blip r:embed="rId1"/>
                    <a:stretch>
                      <a:fillRect/>
                    </a:stretch>
                  </pic:blipFill>
                  <pic:spPr>
                    <a:xfrm>
                      <a:off x="0" y="0"/>
                      <a:ext cx="4735285" cy="1828800"/>
                    </a:xfrm>
                    <a:prstGeom prst="rect">
                      <a:avLst/>
                    </a:prstGeom>
                  </pic:spPr>
                </pic:pic>
              </a:graphicData>
            </a:graphic>
          </wp:inline>
        </w:drawing>
      </w:r>
    </w:p>
    <w:p>
      <w:pPr>
        <w:spacing w:before="0" w:after="0" w:line="560" w:lineRule="exact"/>
      </w:pPr>
    </w:p>
    <w:p>
      <w:pPr>
        <w:spacing w:before="0" w:after="200"/>
        <w:ind w:right="8400"/>
        <w:pBdr>
          <w:bottom w:val="single" w:sz="12" w:color="C8811E"/>
        </w:pBdr>
      </w:pPr>
    </w:p>
    <w:p>
      <w:pPr>
        <w:spacing w:before="0" w:after="200"/>
      </w:pPr>
      <w:r>
        <w:rPr>
          <w:rFonts w:ascii="Barlow Condensed" w:hAnsi="Barlow Condensed"/>
          <w:color w:val="6B5222"/>
          <w:sz w:val="21"/>
          <w:szCs w:val="21"/>
          <w:spacing w:val="60"/>
          <w:caps/>
        </w:rPr>
        <w:t xml:space="preserve">PRIVATE &amp; CONFIDENTIAL</w:t>
      </w:r>
    </w:p>
    <w:p>
      <w:pPr>
        <w:spacing w:before="0" w:after="0" w:line="220" w:lineRule="auto"/>
      </w:pPr>
      <w:r>
        <w:rPr>
          <w:rFonts w:ascii="Barlow Condensed" w:hAnsi="Barlow Condensed"/>
          <w:b/>
          <w:color w:val="12332A"/>
          <w:sz w:val="96"/>
          <w:szCs w:val="96"/>
          <w:spacing w:val="14"/>
          <w:caps/>
        </w:rPr>
        <w:t xml:space="preserve">Statement of Main Terms of Employment</w:t>
      </w:r>
    </w:p>
    <w:p>
      <w:pPr>
        <w:spacing w:before="300" w:after="180"/>
        <w:pBdr>
          <w:bottom w:val="single" w:sz="12" w:color="12332A"/>
        </w:pBdr>
      </w:pPr>
    </w:p>
    <w:p>
      <w:pPr>
        <w:spacing w:before="0" w:after="60"/>
      </w:pPr>
      <w:r>
        <w:rPr>
          <w:rFonts w:ascii="Barlow Condensed" w:hAnsi="Barlow Condensed"/>
          <w:color w:val="12332A"/>
          <w:sz w:val="24"/>
          <w:szCs w:val="24"/>
          <w:spacing w:val="40"/>
          <w:caps/>
        </w:rPr>
        <w:t xml:space="preserve">OYO ENTERTAINMENTS LIMITED</w:t>
      </w:r>
    </w:p>
    <w:p>
      <w:pPr>
        <w:spacing w:before="0" w:after="0"/>
      </w:pPr>
      <w:r>
        <w:rPr>
          <w:rFonts w:ascii="Jost" w:hAnsi="Jost"/>
          <w:color w:val="5C6B62"/>
          <w:sz w:val="21"/>
          <w:szCs w:val="21"/>
        </w:rPr>
        <w:t xml:space="preserve">41 Keiths Road, Hemel Hempstead, England, HP3 8DR</w:t>
      </w:r>
    </w:p>
    <w:p>
      <w:pPr>
        <w:spacing w:before="0" w:after="0" w:line="1600" w:lineRule="exact"/>
      </w:pPr>
    </w:p>
    <w:p>
      <w:pPr>
        <w:spacing w:before="0" w:after="60"/>
      </w:pPr>
      <w:r>
        <w:rPr>
          <w:rFonts w:ascii="Jost" w:hAnsi="Jost"/>
          <w:color w:val="6F6A5C"/>
          <w:sz w:val="15"/>
          <w:szCs w:val="15"/>
          <w:spacing w:val="14"/>
          <w:caps/>
        </w:rPr>
        <w:t xml:space="preserve">Date</w:t>
      </w:r>
    </w:p>
    <w:p>
      <w:pPr>
        <w:spacing w:before="0" w:after="0"/>
      </w:pPr>
      <w:r>
        <w:rPr>
          <w:rFonts w:ascii="Jost" w:hAnsi="Jost"/>
          <w:b/>
          <w:color w:val="22221F"/>
          <w:sz w:val="22"/>
          <w:szCs w:val="22"/>
          <w:u w:val="single" w:color="9A968E"/>
        </w:rPr>
        <w:t xml:space="preserve">                                        </w:t>
      </w:r>
    </w:p>
    <w:p>
      <w:pPr>
        <w:spacing w:before="0" w:after="0"/>
      </w:pPr>
      <w:r>
        <w:br w:type="page"/>
      </w:r>
    </w:p>
    <w:p>
      <w:pPr>
        <w:spacing w:before="0" w:after="140" w:line="276" w:lineRule="auto"/>
        <w:pBdr>
          <w:bottom w:val="single" w:sz="12" w:color="C8811E"/>
        </w:pBdr>
      </w:pPr>
      <w:r>
        <w:rPr>
          <w:rFonts w:ascii="Barlow Condensed" w:hAnsi="Barlow Condensed"/>
          <w:color w:val="12332A"/>
          <w:sz w:val="19"/>
          <w:szCs w:val="19"/>
          <w:spacing w:val="26"/>
          <w:caps/>
        </w:rPr>
        <w:t xml:space="preserve">OYO ENTERTAINMENTS LIMITED · CONTRACT OF EMPLOYMENT</w:t>
      </w:r>
    </w:p>
    <w:p>
      <w:pPr>
        <w:spacing w:before="0" w:after="200" w:line="276" w:lineRule="auto"/>
      </w:pPr>
      <w:r>
        <w:rPr>
          <w:rFonts w:ascii="Jost" w:hAnsi="Jost"/>
          <w:color w:val="22221F"/>
          <w:sz w:val="22"/>
          <w:szCs w:val="22"/>
        </w:rPr>
        <w:t xml:space="preserve">This statement, together with the employee handbook, forms part of your contract of employment (except where the contrary is expressly stated) and sets out particulars of the main terms on which Oyo Entertainments Limited, 41 Keiths Road, Hemel Hempstead, England, HP3 8DR.</w:t>
      </w: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9746"/>
      </w:tblGrid>
      <w:tr>
        <w:tc>
          <w:tcPr>
            <w:tcW w:w="9746" w:type="dxa"/>
            <w:shd w:val="clear" w:fill="F3ECDD"/>
            <w:tcMar>
              <w:top w:w="120" w:type="dxa"/>
              <w:bottom w:w="120" w:type="dxa"/>
              <w:left w:w="140" w:type="dxa"/>
              <w:right w:w="140" w:type="dxa"/>
            </w:tcMar>
            <w:vAlign w:val="top"/>
          </w:tcPr>
          <w:p>
            <w:pPr>
              <w:spacing w:before="0" w:after="0" w:line="276" w:lineRule="auto"/>
            </w:pPr>
            <w:r>
              <w:rPr>
                <w:rFonts w:ascii="Barlow Condensed" w:hAnsi="Barlow Condensed"/>
                <w:color w:val="12332A"/>
                <w:sz w:val="20"/>
                <w:szCs w:val="20"/>
                <w:spacing w:val="24"/>
                <w:caps/>
              </w:rPr>
              <w:t xml:space="preserve">KEY TERMS AT A GLANCE</w:t>
            </w:r>
          </w:p>
        </w:tc>
      </w:tr>
    </w:tbl>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Employs</w:t>
            </w:r>
          </w:p>
          <w:p>
            <w:pPr>
              <w:spacing w:before="0" w:after="120" w:line="276" w:lineRule="auto"/>
            </w:pPr>
            <w:r>
              <w:rPr>
                <w:rFonts w:ascii="Jost" w:hAnsi="Jost"/>
                <w:color w:val="22221F"/>
                <w:sz w:val="22"/>
                <w:szCs w:val="22"/>
                <w:u w:val="dotted" w:color="9A968E"/>
              </w:rPr>
              <w:t xml:space="preserve">                          </w:t>
            </w:r>
          </w:p>
        </w:tc>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Employment began on</w:t>
            </w:r>
          </w:p>
          <w:p>
            <w:pPr>
              <w:spacing w:before="0" w:after="120" w:line="276" w:lineRule="auto"/>
            </w:pPr>
            <w:r>
              <w:rPr>
                <w:rFonts w:ascii="Jost" w:hAnsi="Jost"/>
                <w:color w:val="22221F"/>
                <w:sz w:val="22"/>
                <w:szCs w:val="22"/>
                <w:shd w:val="clear" w:fill="F1F1F0"/>
                <w:u w:val="single" w:color="C6C4BF"/>
              </w:rPr>
              <w:t xml:space="preserve">                          </w:t>
            </w:r>
          </w:p>
        </w:tc>
      </w:tr>
      <w:tr>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Job title</w:t>
            </w:r>
          </w:p>
          <w:p>
            <w:pPr>
              <w:spacing w:before="0" w:after="120" w:line="276" w:lineRule="auto"/>
            </w:pPr>
            <w:r>
              <w:rPr>
                <w:rFonts w:ascii="Jost" w:hAnsi="Jost"/>
                <w:color w:val="22221F"/>
                <w:sz w:val="22"/>
                <w:szCs w:val="22"/>
                <w:shd w:val="clear" w:fill="F1F1F0"/>
                <w:u w:val="single" w:color="C6C4BF"/>
              </w:rPr>
              <w:t xml:space="preserve">                          </w:t>
            </w:r>
          </w:p>
        </w:tc>
        <w:tc>
          <w:tcPr>
            <w:tcW w:w="4873"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Hourly wage (£)</w:t>
            </w:r>
          </w:p>
          <w:p>
            <w:pPr>
              <w:spacing w:before="0" w:after="120" w:line="276" w:lineRule="auto"/>
            </w:pPr>
            <w:r>
              <w:rPr>
                <w:rFonts w:ascii="Jost" w:hAnsi="Jost"/>
                <w:color w:val="22221F"/>
                <w:sz w:val="22"/>
                <w:szCs w:val="22"/>
                <w:shd w:val="clear" w:fill="F1F1F0"/>
                <w:u w:val="single" w:color="C6C4BF"/>
              </w:rPr>
              <w:t xml:space="preserve">                          </w:t>
            </w:r>
          </w:p>
        </w:tc>
      </w:tr>
    </w:tbl>
    <w:tbl>
      <w:tblPr>
        <w:tblW w:w="9744"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2436"/>
        <w:gridCol w:w="2436"/>
        <w:gridCol w:w="2436"/>
        <w:gridCol w:w="2436"/>
      </w:tblGrid>
      <w:tr>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Probation</w:t>
            </w:r>
          </w:p>
          <w:p>
            <w:pPr>
              <w:spacing w:before="0" w:after="0" w:line="276" w:lineRule="auto"/>
            </w:pPr>
            <w:r>
              <w:rPr>
                <w:rFonts w:ascii="Jost" w:hAnsi="Jost"/>
                <w:b/>
                <w:color w:val="22221F"/>
                <w:sz w:val="20"/>
                <w:szCs w:val="20"/>
              </w:rPr>
              <w:t xml:space="preserve">Three months</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Pay cycle</w:t>
            </w:r>
          </w:p>
          <w:p>
            <w:pPr>
              <w:spacing w:before="0" w:after="0" w:line="276" w:lineRule="auto"/>
            </w:pPr>
            <w:r>
              <w:rPr>
                <w:rFonts w:ascii="Jost" w:hAnsi="Jost"/>
                <w:b/>
                <w:color w:val="22221F"/>
                <w:sz w:val="20"/>
                <w:szCs w:val="20"/>
              </w:rPr>
              <w:t xml:space="preserve">Bi-weekly by BACS</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Holiday year</w:t>
            </w:r>
          </w:p>
          <w:p>
            <w:pPr>
              <w:spacing w:before="0" w:after="0" w:line="276" w:lineRule="auto"/>
            </w:pPr>
            <w:r>
              <w:rPr>
                <w:rFonts w:ascii="Jost" w:hAnsi="Jost"/>
                <w:b/>
                <w:color w:val="22221F"/>
                <w:sz w:val="20"/>
                <w:szCs w:val="20"/>
              </w:rPr>
              <w:t xml:space="preserve">1 Jan – 31 Dec</w:t>
            </w:r>
          </w:p>
        </w:tc>
        <w:tc>
          <w:tcPr>
            <w:tcW w:w="2436" w:type="dxa"/>
            <w:tcMar>
              <w:top w:w="110" w:type="dxa"/>
              <w:bottom w:w="110" w:type="dxa"/>
              <w:left w:w="140" w:type="dxa"/>
              <w:right w:w="140" w:type="dxa"/>
            </w:tcMar>
            <w:vAlign w:val="top"/>
          </w:tcPr>
          <w:p>
            <w:pPr>
              <w:spacing w:before="0" w:after="40" w:line="276" w:lineRule="auto"/>
            </w:pPr>
            <w:r>
              <w:rPr>
                <w:rFonts w:ascii="Jost" w:hAnsi="Jost"/>
                <w:color w:val="6F6A5C"/>
                <w:sz w:val="15"/>
                <w:szCs w:val="15"/>
                <w:spacing w:val="14"/>
                <w:caps/>
              </w:rPr>
              <w:t xml:space="preserve">Accrual rate</w:t>
            </w:r>
          </w:p>
          <w:p>
            <w:pPr>
              <w:spacing w:before="0" w:after="0" w:line="276" w:lineRule="auto"/>
            </w:pPr>
            <w:r>
              <w:rPr>
                <w:rFonts w:ascii="Jost" w:hAnsi="Jost"/>
                <w:b/>
                <w:color w:val="22221F"/>
                <w:sz w:val="20"/>
                <w:szCs w:val="20"/>
              </w:rPr>
              <w:t xml:space="preserve">12.07% of hours worked</w:t>
            </w:r>
          </w:p>
        </w:tc>
      </w:tr>
      <w:tr>
        <w:tc>
          <w:tcPr>
            <w:tcW w:w="9746" w:type="dxa"/>
            <w:gridSpan w:val="4"/>
            <w:tcMar>
              <w:top w:w="100" w:type="dxa"/>
              <w:bottom w:w="100" w:type="dxa"/>
              <w:left w:w="140" w:type="dxa"/>
              <w:right w:w="140" w:type="dxa"/>
            </w:tcMar>
            <w:vAlign w:val="top"/>
          </w:tcPr>
          <w:p>
            <w:pPr>
              <w:spacing w:before="0" w:after="0" w:line="276" w:lineRule="auto"/>
            </w:pPr>
            <w:r>
              <w:rPr>
                <w:rFonts w:ascii="Jost" w:hAnsi="Jost"/>
                <w:i/>
                <w:color w:val="6F6A5C"/>
                <w:sz w:val="16"/>
                <w:szCs w:val="16"/>
              </w:rPr>
              <w:t xml:space="preserve">Summary for reference only. The clauses set out below are the binding terms.</w:t>
            </w:r>
          </w:p>
        </w:tc>
      </w:tr>
    </w:tbl>
    <w:p>
      <w:pPr>
        <w:spacing w:before="0" w:after="0" w:line="200" w:lineRule="exact"/>
      </w:pPr>
    </w:p>
    <w:p>
      <w:pPr>
        <w:spacing w:before="0" w:after="60" w:line="276" w:lineRule="auto"/>
      </w:pPr>
      <w:r>
        <w:rPr>
          <w:rFonts w:ascii="Jost" w:hAnsi="Jost"/>
          <w:color w:val="22221F"/>
          <w:sz w:val="22"/>
          <w:szCs w:val="22"/>
        </w:rPr>
        <w:t xml:space="preserve">No previous employment counts as part of your period of continuous employment.</w:t>
      </w:r>
    </w:p>
    <w:p>
      <w:pPr>
        <w:spacing w:before="120" w:after="200"/>
        <w:pBdr>
          <w:bottom w:val="single" w:sz="16" w:color="12332A"/>
        </w:pBdr>
      </w:pPr>
    </w:p>
    <w:p>
      <w:pPr>
        <w:spacing w:before="260" w:after="90" w:line="276" w:lineRule="auto"/>
        <w:keepNext/>
      </w:pPr>
      <w:r>
        <w:rPr>
          <w:rFonts w:ascii="Barlow Condensed" w:hAnsi="Barlow Condensed"/>
          <w:color w:val="12332A"/>
          <w:sz w:val="28"/>
          <w:szCs w:val="28"/>
          <w:spacing w:val="18"/>
          <w:caps/>
        </w:rPr>
        <w:t xml:space="preserve">Job Title</w:t>
      </w:r>
    </w:p>
    <w:p>
      <w:pPr>
        <w:spacing w:before="0" w:after="180" w:line="276" w:lineRule="auto"/>
      </w:pPr>
      <w:r>
        <w:rPr>
          <w:rFonts w:ascii="Jost" w:hAnsi="Jost"/>
          <w:color w:val="22221F"/>
          <w:sz w:val="22"/>
          <w:szCs w:val="22"/>
        </w:rPr>
        <w:t xml:space="preserve">You are employed as </w:t>
      </w:r>
      <w:r>
        <w:rPr>
          <w:rFonts w:ascii="Jost" w:hAnsi="Jost"/>
          <w:color w:val="22221F"/>
          <w:sz w:val="22"/>
          <w:szCs w:val="22"/>
          <w:shd w:val="clear" w:fill="F1F1F0"/>
          <w:u w:val="single" w:color="C6C4BF"/>
        </w:rPr>
        <w:t xml:space="preserve">                        </w:t>
      </w:r>
      <w:r>
        <w:rPr>
          <w:rFonts w:ascii="Jost" w:hAnsi="Jost"/>
          <w:color w:val="22221F"/>
          <w:sz w:val="22"/>
          <w:szCs w:val="22"/>
        </w:rPr>
        <w:t xml:space="preserve"> and your duties will be as advised by the Director. Your duties may be modified from time to time to suit the needs of the business.</w:t>
      </w:r>
    </w:p>
    <w:p>
      <w:pPr>
        <w:spacing w:before="260" w:after="90" w:line="276" w:lineRule="auto"/>
        <w:keepNext/>
      </w:pPr>
      <w:r>
        <w:rPr>
          <w:rFonts w:ascii="Barlow Condensed" w:hAnsi="Barlow Condensed"/>
          <w:color w:val="12332A"/>
          <w:sz w:val="28"/>
          <w:szCs w:val="28"/>
          <w:spacing w:val="18"/>
          <w:caps/>
        </w:rPr>
        <w:t xml:space="preserve">Probationary Period</w:t>
      </w:r>
    </w:p>
    <w:p>
      <w:pPr>
        <w:spacing w:before="0" w:after="180" w:line="276" w:lineRule="auto"/>
      </w:pPr>
      <w:r>
        <w:rPr>
          <w:rFonts w:ascii="Jost" w:hAnsi="Jost"/>
          <w:color w:val="22221F"/>
          <w:sz w:val="22"/>
          <w:szCs w:val="22"/>
        </w:rPr>
        <w:t xml:space="preserve">You join us on an initial probationary period of three months. During this period your work performance and general suitability will be assessed and, if it is satisfactory, your employment will continue. However, if your work performance is not up to the required standard, or you are considered to be generally unsuitable, we may either take remedial action (which may include the extension of your probationary period) or terminate your employment at any time. You will be informed of the outcome of your probationary period by the Director and you should not consider your probationary period to have passed until such notification has been received. We reserve the right not to apply our full contractual capability and disciplinary procedures during your probationary period.</w:t>
      </w:r>
    </w:p>
    <w:p>
      <w:pPr>
        <w:spacing w:before="260" w:after="90" w:line="276" w:lineRule="auto"/>
        <w:keepNext/>
      </w:pPr>
      <w:r>
        <w:rPr>
          <w:rFonts w:ascii="Barlow Condensed" w:hAnsi="Barlow Condensed"/>
          <w:color w:val="12332A"/>
          <w:sz w:val="28"/>
          <w:szCs w:val="28"/>
          <w:spacing w:val="18"/>
          <w:caps/>
        </w:rPr>
        <w:t xml:space="preserve">Place of Work</w:t>
      </w:r>
    </w:p>
    <w:p>
      <w:pPr>
        <w:spacing w:before="0" w:after="180" w:line="276" w:lineRule="auto"/>
      </w:pPr>
      <w:r>
        <w:rPr>
          <w:rFonts w:ascii="Jost" w:hAnsi="Jost"/>
          <w:color w:val="22221F"/>
          <w:sz w:val="22"/>
          <w:szCs w:val="22"/>
        </w:rPr>
        <w:t xml:space="preserve">You will normally be required to work at 560 Christchurch Rd, Boscombe, Bournemouth BH1 4BH or 558 Christchurch Rd, Boscombe, Bournemouth BH1 4BH and various locations as required by the needs of the business. You will not be required to work outside the United Kingdom.</w:t>
      </w:r>
    </w:p>
    <w:p>
      <w:pPr>
        <w:spacing w:before="260" w:after="90" w:line="276" w:lineRule="auto"/>
        <w:keepNext/>
      </w:pPr>
      <w:r>
        <w:rPr>
          <w:rFonts w:ascii="Barlow Condensed" w:hAnsi="Barlow Condensed"/>
          <w:color w:val="12332A"/>
          <w:sz w:val="28"/>
          <w:szCs w:val="28"/>
          <w:spacing w:val="18"/>
          <w:caps/>
        </w:rPr>
        <w:t xml:space="preserve">Hours of Work</w:t>
      </w:r>
    </w:p>
    <w:p>
      <w:pPr>
        <w:spacing w:before="0" w:after="120" w:line="276" w:lineRule="auto"/>
      </w:pPr>
      <w:r>
        <w:rPr>
          <w:rFonts w:ascii="Jost" w:hAnsi="Jost"/>
          <w:color w:val="22221F"/>
          <w:sz w:val="22"/>
          <w:szCs w:val="22"/>
        </w:rPr>
        <w:t xml:space="preserve">Your normal hours of work are variable. You are required to work a minimum of 20 hours per week, between Monday and Sunday, between the hours of 11 am and 11:30pm, with a minimum of 5 hours per day. You are not required to work for more than 48 hours per week, or for more than 5 days per week. Breaks are unpaid and in line with the Working Time Regulations.</w:t>
      </w:r>
    </w:p>
    <w:p>
      <w:pPr>
        <w:spacing w:before="0" w:after="180" w:line="276" w:lineRule="auto"/>
      </w:pPr>
      <w:r>
        <w:rPr>
          <w:rFonts w:ascii="Jost" w:hAnsi="Jost"/>
          <w:color w:val="22221F"/>
          <w:sz w:val="22"/>
          <w:szCs w:val="22"/>
        </w:rPr>
        <w:t xml:space="preserve">Your actual hours to be worked each week will be as necessitated by the needs of the business, usually notified to you by your Manager, one weeks in advance.</w:t>
      </w:r>
    </w:p>
    <w:p>
      <w:pPr>
        <w:spacing w:before="260" w:after="90" w:line="276" w:lineRule="auto"/>
        <w:keepNext/>
      </w:pPr>
      <w:r>
        <w:rPr>
          <w:rFonts w:ascii="Barlow Condensed" w:hAnsi="Barlow Condensed"/>
          <w:color w:val="12332A"/>
          <w:sz w:val="28"/>
          <w:szCs w:val="28"/>
          <w:spacing w:val="18"/>
          <w:caps/>
        </w:rPr>
        <w:t xml:space="preserve">Remuneration</w:t>
      </w:r>
    </w:p>
    <w:p>
      <w:pPr>
        <w:spacing w:before="0" w:after="180" w:line="276" w:lineRule="auto"/>
      </w:pPr>
      <w:r>
        <w:rPr>
          <w:rFonts w:ascii="Jost" w:hAnsi="Jost"/>
          <w:color w:val="22221F"/>
          <w:sz w:val="22"/>
          <w:szCs w:val="22"/>
        </w:rPr>
        <w:t xml:space="preserve">Your wage is currently £ </w:t>
      </w:r>
      <w:r>
        <w:rPr>
          <w:rFonts w:ascii="Jost" w:hAnsi="Jost"/>
          <w:color w:val="22221F"/>
          <w:sz w:val="22"/>
          <w:szCs w:val="22"/>
          <w:shd w:val="clear" w:fill="F1F1F0"/>
          <w:u w:val="single" w:color="C6C4BF"/>
        </w:rPr>
        <w:t xml:space="preserve">              </w:t>
      </w:r>
      <w:r>
        <w:rPr>
          <w:rFonts w:ascii="Jost" w:hAnsi="Jost"/>
          <w:color w:val="22221F"/>
          <w:sz w:val="22"/>
          <w:szCs w:val="22"/>
        </w:rPr>
        <w:t xml:space="preserve"> per hour payable bi-weekly by BACS as detailed on your pay statement. We will ensure that you always receive no less than the National Minimum Wage.</w:t>
      </w:r>
    </w:p>
    <w:p>
      <w:pPr>
        <w:spacing w:before="260" w:after="90" w:line="276" w:lineRule="auto"/>
        <w:keepNext/>
      </w:pPr>
      <w:r>
        <w:rPr>
          <w:rFonts w:ascii="Barlow Condensed" w:hAnsi="Barlow Condensed"/>
          <w:color w:val="12332A"/>
          <w:sz w:val="28"/>
          <w:szCs w:val="28"/>
          <w:spacing w:val="18"/>
          <w:caps/>
        </w:rPr>
        <w:t xml:space="preserve">Collective Agreements</w:t>
      </w:r>
    </w:p>
    <w:p>
      <w:pPr>
        <w:spacing w:before="0" w:after="180" w:line="276" w:lineRule="auto"/>
      </w:pPr>
      <w:r>
        <w:rPr>
          <w:rFonts w:ascii="Jost" w:hAnsi="Jost"/>
          <w:color w:val="22221F"/>
          <w:sz w:val="22"/>
          <w:szCs w:val="22"/>
        </w:rPr>
        <w:t xml:space="preserve">No collective agreements directly affect your terms and conditions of employment.</w:t>
      </w:r>
    </w:p>
    <w:p>
      <w:pPr>
        <w:spacing w:before="260" w:after="90" w:line="276" w:lineRule="auto"/>
        <w:keepNext/>
      </w:pPr>
      <w:r>
        <w:rPr>
          <w:rFonts w:ascii="Barlow Condensed" w:hAnsi="Barlow Condensed"/>
          <w:color w:val="12332A"/>
          <w:sz w:val="28"/>
          <w:szCs w:val="28"/>
          <w:spacing w:val="18"/>
          <w:caps/>
        </w:rPr>
        <w:t xml:space="preserve">Benefits</w:t>
      </w:r>
    </w:p>
    <w:p>
      <w:pPr>
        <w:spacing w:before="0" w:after="80" w:line="276" w:lineRule="auto"/>
      </w:pPr>
      <w:r>
        <w:rPr>
          <w:rFonts w:ascii="Jost" w:hAnsi="Jost"/>
          <w:color w:val="22221F"/>
          <w:sz w:val="22"/>
          <w:szCs w:val="22"/>
        </w:rPr>
        <w:t xml:space="preserve">In addition to any which may be mentioned elsewhere in this statement, your position has the benefit of:</w:t>
      </w:r>
    </w:p>
    <w:p>
      <w:pPr>
        <w:spacing w:before="0" w:after="40" w:line="276" w:lineRule="auto"/>
        <w:ind w:left="360" w:hanging="360"/>
        <w:tabs>
          <w:tab w:val="left" w:pos="360"/>
        </w:tabs>
      </w:pPr>
      <w:r>
        <w:rPr>
          <w:rFonts w:ascii="Jost" w:hAnsi="Jost"/>
          <w:color w:val="22221F"/>
          <w:sz w:val="22"/>
          <w:szCs w:val="22"/>
        </w:rPr>
        <w:t xml:space="preserve">—	Employee Assistance Programme; and</w:t>
      </w:r>
    </w:p>
    <w:p>
      <w:pPr>
        <w:spacing w:before="0" w:after="100" w:line="276" w:lineRule="auto"/>
        <w:ind w:left="360" w:hanging="360"/>
        <w:tabs>
          <w:tab w:val="left" w:pos="360"/>
        </w:tabs>
      </w:pPr>
      <w:r>
        <w:rPr>
          <w:rFonts w:ascii="Jost" w:hAnsi="Jost"/>
          <w:color w:val="22221F"/>
          <w:sz w:val="22"/>
          <w:szCs w:val="22"/>
        </w:rPr>
        <w:t xml:space="preserve">—	Bright Exchange.</w:t>
      </w:r>
    </w:p>
    <w:p>
      <w:pPr>
        <w:spacing w:before="0" w:after="180" w:line="276" w:lineRule="auto"/>
      </w:pPr>
      <w:r>
        <w:rPr>
          <w:rFonts w:ascii="Jost" w:hAnsi="Jost"/>
          <w:color w:val="22221F"/>
          <w:sz w:val="22"/>
          <w:szCs w:val="22"/>
        </w:rPr>
        <w:t xml:space="preserve">Details of the above are shown separately. The above do not form part of your contract of employment and may be amended or withdrawn at any time.</w:t>
      </w:r>
    </w:p>
    <w:p>
      <w:pPr>
        <w:spacing w:before="260" w:after="90" w:line="276" w:lineRule="auto"/>
        <w:keepNext/>
      </w:pPr>
      <w:r>
        <w:rPr>
          <w:rFonts w:ascii="Barlow Condensed" w:hAnsi="Barlow Condensed"/>
          <w:color w:val="12332A"/>
          <w:sz w:val="28"/>
          <w:szCs w:val="28"/>
          <w:spacing w:val="18"/>
          <w:caps/>
        </w:rPr>
        <w:t xml:space="preserve">Tips</w:t>
      </w:r>
    </w:p>
    <w:p>
      <w:pPr>
        <w:spacing w:before="0" w:after="180" w:line="276" w:lineRule="auto"/>
      </w:pPr>
      <w:r>
        <w:rPr>
          <w:rFonts w:ascii="Jost" w:hAnsi="Jost"/>
          <w:color w:val="22221F"/>
          <w:sz w:val="22"/>
          <w:szCs w:val="22"/>
        </w:rPr>
        <w:t xml:space="preserve">We will ensure that qualifying tips that we receive at or are attributable to our place of business are fairly allocated and distributed to you in accordance with current statutory provisions. For more detail on how we allocate and distribute tips, please read our separate Tips Policy. Our Tips Policy is also available in accessible format on request to the Director.</w:t>
      </w:r>
    </w:p>
    <w:p>
      <w:pPr>
        <w:spacing w:before="260" w:after="90" w:line="276" w:lineRule="auto"/>
        <w:keepNext/>
      </w:pPr>
      <w:r>
        <w:rPr>
          <w:rFonts w:ascii="Barlow Condensed" w:hAnsi="Barlow Condensed"/>
          <w:color w:val="12332A"/>
          <w:sz w:val="28"/>
          <w:szCs w:val="28"/>
          <w:spacing w:val="18"/>
          <w:caps/>
        </w:rPr>
        <w:t xml:space="preserve">Annual Leave and Public/Bank Holidays</w:t>
      </w:r>
    </w:p>
    <w:p>
      <w:pPr>
        <w:spacing w:before="0" w:after="120" w:line="276" w:lineRule="auto"/>
      </w:pPr>
      <w:r>
        <w:rPr>
          <w:rFonts w:ascii="Jost" w:hAnsi="Jost"/>
          <w:color w:val="22221F"/>
          <w:sz w:val="22"/>
          <w:szCs w:val="22"/>
        </w:rPr>
        <w:t xml:space="preserve">Your holiday year begins on 1st January and ends on 31st December each year, during which you will accrue annual leave on the last day of each pay period at the rate of 12.07% of the number of hours you have worked in that pay period, using the following calculation: number of hours worked / 100 x 12.07 = number of hours accrued as annual leave, up to a maximum of 28 days. This is inclusive of public/bank holiday entitlement.</w:t>
      </w:r>
    </w:p>
    <w:p>
      <w:pPr>
        <w:spacing w:before="0" w:after="120" w:line="276" w:lineRule="auto"/>
      </w:pPr>
      <w:r>
        <w:rPr>
          <w:rFonts w:ascii="Jost" w:hAnsi="Jost"/>
          <w:color w:val="22221F"/>
          <w:sz w:val="22"/>
          <w:szCs w:val="22"/>
        </w:rPr>
        <w:t xml:space="preserve">Fractions of an hour will be rounded down to the nearest hour if they are less than 30 minutes or rounded up to the nearest hour if they are 30 minutes or more.</w:t>
      </w:r>
    </w:p>
    <w:p>
      <w:pPr>
        <w:spacing w:before="0" w:after="120" w:line="276" w:lineRule="auto"/>
      </w:pPr>
      <w:r>
        <w:rPr>
          <w:rFonts w:ascii="Jost" w:hAnsi="Jost"/>
          <w:color w:val="22221F"/>
          <w:sz w:val="22"/>
          <w:szCs w:val="22"/>
        </w:rPr>
        <w:t xml:space="preserve">Conditions relating to the taking of holidays are shown in the Employee Handbook to which you should refer. It is our policy to encourage you to take your holiday entitlement and you will be given reasonable opportunity to do so.</w:t>
      </w:r>
    </w:p>
    <w:p>
      <w:pPr>
        <w:spacing w:before="0" w:after="120" w:line="276" w:lineRule="auto"/>
      </w:pPr>
      <w:r>
        <w:rPr>
          <w:rFonts w:ascii="Jost" w:hAnsi="Jost"/>
          <w:color w:val="22221F"/>
          <w:sz w:val="22"/>
          <w:szCs w:val="22"/>
        </w:rPr>
        <w:t xml:space="preserve">Your holiday pay will be paid at the rate of 12.07% of your normal pay for each hour worked in each pay period. Your holiday pay will be paid to you at the same time as your wages on your usual pay date and will be clearly identified on your payslip.</w:t>
      </w:r>
    </w:p>
    <w:p>
      <w:pPr>
        <w:spacing w:before="0" w:after="120" w:line="276" w:lineRule="auto"/>
      </w:pPr>
      <w:r>
        <w:rPr>
          <w:rFonts w:ascii="Jost" w:hAnsi="Jost"/>
          <w:color w:val="22221F"/>
          <w:sz w:val="22"/>
          <w:szCs w:val="22"/>
        </w:rPr>
        <w:t xml:space="preserve">As holiday pay will be included each time you are paid, you are strongly advised to set aside and save up the holiday pay in order that you have funds to draw on at the time you take holidays. You will be paid holiday pay for holiday that you accrue during periods of sick leave or statutory leave in each relevant pay period, based on the average holiday pay you were paid for each pay period during the 52 weeks before the start of such sick or statutory leave.</w:t>
      </w:r>
    </w:p>
    <w:p>
      <w:pPr>
        <w:spacing w:before="0" w:after="0" w:line="80" w:lineRule="exact"/>
      </w:pP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9746" w:type="dxa"/>
            <w:shd w:val="clear" w:fill="F3ECDD"/>
            <w:tcMar>
              <w:top w:w="110" w:type="dxa"/>
              <w:bottom w:w="110" w:type="dxa"/>
              <w:left w:w="140" w:type="dxa"/>
              <w:right w:w="140" w:type="dxa"/>
            </w:tcMar>
            <w:vAlign w:val="top"/>
          </w:tcPr>
          <w:p>
            <w:pPr>
              <w:spacing w:before="0" w:after="0" w:line="276" w:lineRule="auto"/>
            </w:pPr>
            <w:r>
              <w:rPr>
                <w:rFonts w:ascii="Barlow Condensed" w:hAnsi="Barlow Condensed"/>
                <w:color w:val="12332A"/>
                <w:sz w:val="20"/>
                <w:szCs w:val="20"/>
                <w:spacing w:val="24"/>
                <w:caps/>
              </w:rPr>
              <w:t xml:space="preserve">THE PUBLIC/BANK HOLIDAYS EACH YEAR ARE</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New Year’s 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last Monday in May</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Good Friday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last Monday in August</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Easter Monday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Christmas Day</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The first Monday in May</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20"/>
                <w:szCs w:val="20"/>
              </w:rPr>
              <w:t xml:space="preserve">Boxing Day</w:t>
            </w:r>
          </w:p>
        </w:tc>
      </w:tr>
    </w:tbl>
    <w:p>
      <w:pPr>
        <w:spacing w:before="0" w:after="0" w:line="200" w:lineRule="exact"/>
      </w:pPr>
    </w:p>
    <w:p>
      <w:pPr>
        <w:spacing w:before="260" w:after="90" w:line="276" w:lineRule="auto"/>
        <w:keepNext/>
      </w:pPr>
      <w:r>
        <w:rPr>
          <w:rFonts w:ascii="Barlow Condensed" w:hAnsi="Barlow Condensed"/>
          <w:color w:val="12332A"/>
          <w:sz w:val="28"/>
          <w:szCs w:val="28"/>
          <w:spacing w:val="18"/>
          <w:caps/>
        </w:rPr>
        <w:t xml:space="preserve">Sick Leave, Pay and Conditions</w:t>
      </w:r>
    </w:p>
    <w:p>
      <w:pPr>
        <w:spacing w:before="0" w:after="60" w:line="276" w:lineRule="auto"/>
      </w:pPr>
      <w:r>
        <w:rPr>
          <w:rFonts w:ascii="Jost" w:hAnsi="Jost"/>
          <w:color w:val="22221F"/>
          <w:sz w:val="22"/>
          <w:szCs w:val="22"/>
        </w:rPr>
        <w:t xml:space="preserve">Any sickness absence taken is paid in line with the current SSP scheme.</w:t>
      </w:r>
    </w:p>
    <w:p>
      <w:pPr>
        <w:spacing w:before="0" w:after="180" w:line="276" w:lineRule="auto"/>
      </w:pPr>
      <w:r>
        <w:rPr>
          <w:rFonts w:ascii="Jost" w:hAnsi="Jost"/>
          <w:color w:val="22221F"/>
          <w:sz w:val="22"/>
          <w:szCs w:val="22"/>
        </w:rPr>
        <w:t xml:space="preserve">Conditions relating to the above are shown in the Employee Handbook to which you should refer.</w:t>
      </w:r>
    </w:p>
    <w:p>
      <w:pPr>
        <w:spacing w:before="260" w:after="90" w:line="276" w:lineRule="auto"/>
        <w:keepNext/>
      </w:pPr>
      <w:r>
        <w:rPr>
          <w:rFonts w:ascii="Barlow Condensed" w:hAnsi="Barlow Condensed"/>
          <w:color w:val="12332A"/>
          <w:sz w:val="28"/>
          <w:szCs w:val="28"/>
          <w:spacing w:val="18"/>
          <w:caps/>
        </w:rPr>
        <w:t xml:space="preserve">Other Paid Leave</w:t>
      </w:r>
    </w:p>
    <w:p>
      <w:pPr>
        <w:spacing w:before="0" w:after="80" w:line="276" w:lineRule="auto"/>
      </w:pPr>
      <w:r>
        <w:rPr>
          <w:rFonts w:ascii="Jost" w:hAnsi="Jost"/>
          <w:color w:val="22221F"/>
          <w:sz w:val="22"/>
          <w:szCs w:val="22"/>
        </w:rPr>
        <w:t xml:space="preserve">You are entitled to the following types of paid leave subject to any qualifying criteria and notification requirements:</w:t>
      </w:r>
    </w:p>
    <w:p>
      <w:pPr>
        <w:spacing w:before="0" w:after="40" w:line="276" w:lineRule="auto"/>
        <w:ind w:left="420" w:hanging="420"/>
        <w:tabs>
          <w:tab w:val="left" w:pos="420"/>
        </w:tabs>
      </w:pPr>
      <w:r>
        <w:rPr>
          <w:rFonts w:ascii="Jost" w:hAnsi="Jost"/>
          <w:color w:val="22221F"/>
          <w:sz w:val="22"/>
          <w:szCs w:val="22"/>
        </w:rPr>
        <w:t xml:space="preserve">a)	Maternity, paternity, neonatal care, adoption, shared parental leave with pay in line with statutory entitlements in place from time to time; and</w:t>
      </w:r>
    </w:p>
    <w:p>
      <w:pPr>
        <w:spacing w:before="0" w:after="180" w:line="276" w:lineRule="auto"/>
        <w:ind w:left="420" w:hanging="420"/>
        <w:tabs>
          <w:tab w:val="left" w:pos="420"/>
        </w:tabs>
      </w:pPr>
      <w:r>
        <w:rPr>
          <w:rFonts w:ascii="Jost" w:hAnsi="Jost"/>
          <w:color w:val="22221F"/>
          <w:sz w:val="22"/>
          <w:szCs w:val="22"/>
        </w:rPr>
        <w:t xml:space="preserve">b)	Qualifying parents are entitled to parental bereavement leave in line with statutory entitlements in place from time to time.</w:t>
      </w:r>
    </w:p>
    <w:p>
      <w:pPr>
        <w:spacing w:before="260" w:after="90" w:line="276" w:lineRule="auto"/>
        <w:keepNext/>
      </w:pPr>
      <w:r>
        <w:rPr>
          <w:rFonts w:ascii="Barlow Condensed" w:hAnsi="Barlow Condensed"/>
          <w:color w:val="12332A"/>
          <w:sz w:val="28"/>
          <w:szCs w:val="28"/>
          <w:spacing w:val="18"/>
          <w:caps/>
        </w:rPr>
        <w:t xml:space="preserve">Training</w:t>
      </w:r>
    </w:p>
    <w:p>
      <w:pPr>
        <w:spacing w:before="0" w:after="180" w:line="276" w:lineRule="auto"/>
      </w:pPr>
      <w:r>
        <w:rPr>
          <w:rFonts w:ascii="Jost" w:hAnsi="Jost"/>
          <w:color w:val="22221F"/>
          <w:sz w:val="22"/>
          <w:szCs w:val="22"/>
        </w:rPr>
        <w:t xml:space="preserve">At the commencement of your employment you will receive training for your specific job, and as your employment progresses your skills may be extended to encompass new job activities within the business. It is a condition of your employment that you participate in any training deemed necessary by us for you to reach the required levels of attainment standards. No further training entitlement is offered by the Company.</w:t>
      </w:r>
    </w:p>
    <w:p>
      <w:pPr>
        <w:spacing w:before="260" w:after="90" w:line="276" w:lineRule="auto"/>
        <w:keepNext/>
      </w:pPr>
      <w:r>
        <w:rPr>
          <w:rFonts w:ascii="Barlow Condensed" w:hAnsi="Barlow Condensed"/>
          <w:color w:val="12332A"/>
          <w:sz w:val="28"/>
          <w:szCs w:val="28"/>
          <w:spacing w:val="18"/>
          <w:caps/>
        </w:rPr>
        <w:t xml:space="preserve">Capability and Disciplinary Procedures</w:t>
      </w:r>
    </w:p>
    <w:p>
      <w:pPr>
        <w:spacing w:before="0" w:after="180" w:line="276" w:lineRule="auto"/>
      </w:pPr>
      <w:r>
        <w:rPr>
          <w:rFonts w:ascii="Jost" w:hAnsi="Jost"/>
          <w:color w:val="22221F"/>
          <w:sz w:val="22"/>
          <w:szCs w:val="22"/>
        </w:rPr>
        <w:t xml:space="preserve">The disciplinary rules and procedures that will apply when dealing with capability or disciplinary issues are shown under the headings “Capability Procedures” and “Disciplinary Procedures” in the Employee Handbook to which you should refer.</w:t>
      </w:r>
    </w:p>
    <w:p>
      <w:pPr>
        <w:spacing w:before="260" w:after="90" w:line="276" w:lineRule="auto"/>
        <w:keepNext/>
      </w:pPr>
      <w:r>
        <w:rPr>
          <w:rFonts w:ascii="Barlow Condensed" w:hAnsi="Barlow Condensed"/>
          <w:color w:val="12332A"/>
          <w:sz w:val="28"/>
          <w:szCs w:val="28"/>
          <w:spacing w:val="18"/>
          <w:caps/>
        </w:rPr>
        <w:t xml:space="preserve">Capability/Disciplinary Appeal Procedure</w:t>
      </w:r>
    </w:p>
    <w:p>
      <w:pPr>
        <w:spacing w:before="0" w:after="180" w:line="276" w:lineRule="auto"/>
      </w:pPr>
      <w:r>
        <w:rPr>
          <w:rFonts w:ascii="Jost" w:hAnsi="Jost"/>
          <w:color w:val="22221F"/>
          <w:sz w:val="22"/>
          <w:szCs w:val="22"/>
        </w:rPr>
        <w:t xml:space="preserve">Should you be dissatisfied with any decision to take action or dismiss you on capability/disciplinary grounds, you must apply, either verbally or in writing, to the Director within five working days of the decision you are complaining against. The Company will exercise discretion in hearing appeals which are submitted outside of this timeframe. Further information can be found in the Employee Handbook under the heading “Capability/Disciplinary Appeal Procedure” to which you should refer.</w:t>
      </w:r>
    </w:p>
    <w:p>
      <w:pPr>
        <w:spacing w:before="260" w:after="90" w:line="276" w:lineRule="auto"/>
        <w:keepNext/>
      </w:pPr>
      <w:r>
        <w:rPr>
          <w:rFonts w:ascii="Barlow Condensed" w:hAnsi="Barlow Condensed"/>
          <w:color w:val="12332A"/>
          <w:sz w:val="28"/>
          <w:szCs w:val="28"/>
          <w:spacing w:val="18"/>
          <w:caps/>
        </w:rPr>
        <w:t xml:space="preserve">Grievance Procedure</w:t>
      </w:r>
    </w:p>
    <w:p>
      <w:pPr>
        <w:spacing w:before="0" w:after="180" w:line="276" w:lineRule="auto"/>
      </w:pPr>
      <w:r>
        <w:rPr>
          <w:rFonts w:ascii="Jost" w:hAnsi="Jost"/>
          <w:color w:val="22221F"/>
          <w:sz w:val="22"/>
          <w:szCs w:val="22"/>
        </w:rPr>
        <w:t xml:space="preserve">Should you feel aggrieved at any matter relating to your employment, raise a grievance promptly with the Director, either verbally or in writing. Whilst there is no deadline by which grievances must be lodged, it may be more difficult for the Company to effectively deal with your grievance if the complaints relate to something which took place a long time ago. Further information can be found in the Employee Handbook.</w:t>
      </w:r>
    </w:p>
    <w:p>
      <w:pPr>
        <w:spacing w:before="260" w:after="90" w:line="276" w:lineRule="auto"/>
        <w:keepNext/>
      </w:pPr>
      <w:r>
        <w:rPr>
          <w:rFonts w:ascii="Barlow Condensed" w:hAnsi="Barlow Condensed"/>
          <w:color w:val="12332A"/>
          <w:sz w:val="28"/>
          <w:szCs w:val="28"/>
          <w:spacing w:val="18"/>
          <w:caps/>
        </w:rPr>
        <w:t xml:space="preserve">Notice of Termination</w:t>
      </w:r>
    </w:p>
    <w:p>
      <w:pPr>
        <w:spacing w:before="0" w:after="0" w:line="60" w:lineRule="exact"/>
      </w:pPr>
    </w:p>
    <w:tbl>
      <w:tblPr>
        <w:tblW w:w="9746" w:type="dxa"/>
        <w:tblLayout w:type="fixed"/>
        <w:tblBorders>
          <w:top w:val="single" w:sz="4" w:color="D8D2C2"/>
          <w:left w:val="single" w:sz="4" w:color="D8D2C2"/>
          <w:bottom w:val="single" w:sz="4" w:color="D8D2C2"/>
          <w:right w:val="single" w:sz="4" w:color="D8D2C2"/>
          <w:insideH w:val="single" w:sz="4" w:color="D8D2C2"/>
          <w:insideV w:val="single" w:sz="4" w:color="D8D2C2"/>
        </w:tblBorders>
      </w:tblPr>
      <w:tblGrid>
        <w:gridCol w:w="4873"/>
        <w:gridCol w:w="4873"/>
      </w:tblGrid>
      <w:tr>
        <w:tc>
          <w:tcPr>
            <w:tcW w:w="4873" w:type="dxa"/>
            <w:shd w:val="clear" w:fill="F3ECDD"/>
            <w:tcMar>
              <w:top w:w="100" w:type="dxa"/>
              <w:bottom w:w="100" w:type="dxa"/>
              <w:left w:w="140" w:type="dxa"/>
              <w:right w:w="140" w:type="dxa"/>
            </w:tcMar>
            <w:vAlign w:val="top"/>
          </w:tcPr>
          <w:p>
            <w:pPr>
              <w:spacing w:before="0" w:after="0" w:line="276" w:lineRule="auto"/>
            </w:pPr>
            <w:r>
              <w:rPr>
                <w:rFonts w:ascii="Barlow Condensed" w:hAnsi="Barlow Condensed"/>
                <w:color w:val="12332A"/>
                <w:sz w:val="19"/>
                <w:szCs w:val="19"/>
                <w:spacing w:val="22"/>
                <w:caps/>
              </w:rPr>
              <w:t xml:space="preserve">TO BE GIVEN BY EMPLOYER</w:t>
            </w:r>
          </w:p>
        </w:tc>
        <w:tc>
          <w:tcPr>
            <w:tcW w:w="4873" w:type="dxa"/>
            <w:shd w:val="clear" w:fill="F3ECDD"/>
            <w:tcMar>
              <w:top w:w="100" w:type="dxa"/>
              <w:bottom w:w="100" w:type="dxa"/>
              <w:left w:w="140" w:type="dxa"/>
              <w:right w:w="140" w:type="dxa"/>
            </w:tcMar>
            <w:vAlign w:val="top"/>
          </w:tcPr>
          <w:p>
            <w:pPr>
              <w:spacing w:before="0" w:after="0" w:line="276" w:lineRule="auto"/>
            </w:pPr>
            <w:r>
              <w:rPr>
                <w:rFonts w:ascii="Barlow Condensed" w:hAnsi="Barlow Condensed"/>
                <w:color w:val="12332A"/>
                <w:sz w:val="19"/>
                <w:szCs w:val="19"/>
                <w:spacing w:val="22"/>
                <w:caps/>
              </w:rPr>
              <w:t xml:space="preserve">TO BE GIVEN BY EMPLOYEE</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Under 1 month’s service — Nil.</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Under 1 month’s service — Nil.</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1 month but less than 2 years’ service – 1 week.</w:t>
            </w:r>
          </w:p>
        </w:tc>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1 month’s service or more – 2 weeks.</w:t>
            </w:r>
          </w:p>
        </w:tc>
      </w:tr>
      <w:tr>
        <w:tc>
          <w:tcPr>
            <w:tcW w:w="4873" w:type="dxa"/>
            <w:tcMar>
              <w:top w:w="90" w:type="dxa"/>
              <w:bottom w:w="90" w:type="dxa"/>
              <w:left w:w="140" w:type="dxa"/>
              <w:right w:w="140" w:type="dxa"/>
            </w:tcMar>
            <w:vAlign w:val="top"/>
          </w:tcPr>
          <w:p>
            <w:pPr>
              <w:spacing w:before="0" w:after="0" w:line="276" w:lineRule="auto"/>
            </w:pPr>
            <w:r>
              <w:rPr>
                <w:rFonts w:ascii="Jost" w:hAnsi="Jost"/>
                <w:color w:val="22221F"/>
                <w:sz w:val="19"/>
                <w:szCs w:val="19"/>
              </w:rPr>
              <w:t xml:space="preserve">2 years’ service or more — 1 week for each completed year of service to a maximum of 12 weeks after 12 years.</w:t>
            </w:r>
          </w:p>
        </w:tc>
        <w:tc>
          <w:tcPr>
            <w:tcW w:w="4873" w:type="dxa"/>
            <w:tcMar>
              <w:top w:w="90" w:type="dxa"/>
              <w:bottom w:w="90" w:type="dxa"/>
              <w:left w:w="140" w:type="dxa"/>
              <w:right w:w="140" w:type="dxa"/>
            </w:tcMar>
            <w:vAlign w:val="top"/>
          </w:tcPr>
          <w:p>
            <w:pPr>
              <w:spacing w:before="0" w:after="0" w:line="276" w:lineRule="auto"/>
            </w:pPr>
          </w:p>
        </w:tc>
      </w:tr>
    </w:tbl>
    <w:p>
      <w:pPr>
        <w:spacing w:before="0" w:after="0" w:line="200" w:lineRule="exact"/>
      </w:pPr>
    </w:p>
    <w:p>
      <w:pPr>
        <w:spacing w:before="260" w:after="90" w:line="276" w:lineRule="auto"/>
        <w:keepNext/>
      </w:pPr>
      <w:r>
        <w:rPr>
          <w:rFonts w:ascii="Barlow Condensed" w:hAnsi="Barlow Condensed"/>
          <w:color w:val="12332A"/>
          <w:sz w:val="28"/>
          <w:szCs w:val="28"/>
          <w:spacing w:val="18"/>
          <w:caps/>
        </w:rPr>
        <w:t xml:space="preserve">Pay in Lieu of Notice</w:t>
      </w:r>
    </w:p>
    <w:p>
      <w:pPr>
        <w:spacing w:before="0" w:after="180" w:line="276" w:lineRule="auto"/>
      </w:pPr>
      <w:r>
        <w:rPr>
          <w:rFonts w:ascii="Jost" w:hAnsi="Jost"/>
          <w:color w:val="22221F"/>
          <w:sz w:val="22"/>
          <w:szCs w:val="22"/>
        </w:rPr>
        <w:t xml:space="preserve">We reserve the contractual right to give pay in lieu of all or any part of the above notice by either party.</w:t>
      </w:r>
    </w:p>
    <w:p>
      <w:pPr>
        <w:spacing w:before="260" w:after="90" w:line="276" w:lineRule="auto"/>
        <w:keepNext/>
      </w:pPr>
      <w:r>
        <w:rPr>
          <w:rFonts w:ascii="Barlow Condensed" w:hAnsi="Barlow Condensed"/>
          <w:color w:val="12332A"/>
          <w:sz w:val="28"/>
          <w:szCs w:val="28"/>
          <w:spacing w:val="18"/>
          <w:caps/>
        </w:rPr>
        <w:t xml:space="preserve">Pension and Pension Scheme</w:t>
      </w:r>
    </w:p>
    <w:p>
      <w:pPr>
        <w:spacing w:before="0" w:after="200" w:line="276" w:lineRule="auto"/>
      </w:pPr>
      <w:r>
        <w:rPr>
          <w:rFonts w:ascii="Jost" w:hAnsi="Jost"/>
          <w:color w:val="22221F"/>
          <w:sz w:val="22"/>
          <w:szCs w:val="22"/>
        </w:rPr>
        <w:t xml:space="preserve">We operate a contributory pension scheme which you will be auto-enrolled into (subject to the conditions of the scheme). Further details are available from the Director.</w:t>
      </w:r>
    </w:p>
    <w:p>
      <w:pPr>
        <w:spacing w:before="120" w:after="200"/>
        <w:pBdr>
          <w:bottom w:val="single" w:sz="16" w:color="12332A"/>
        </w:pBdr>
      </w:pPr>
    </w:p>
    <w:p>
      <w:pPr>
        <w:spacing w:before="0" w:after="120" w:line="276" w:lineRule="auto"/>
      </w:pPr>
      <w:r>
        <w:rPr>
          <w:rFonts w:ascii="Barlow Condensed" w:hAnsi="Barlow Condensed"/>
          <w:color w:val="12332A"/>
          <w:sz w:val="20"/>
          <w:szCs w:val="20"/>
          <w:spacing w:val="24"/>
          <w:caps/>
        </w:rPr>
        <w:t xml:space="preserve">SIGNED FOR AND ON BEHALF OF THE EMPLOYER</w:t>
      </w:r>
    </w:p>
    <w:tbl>
      <w:tblPr>
        <w:tblW w:w="9746" w:type="dxa"/>
        <w:tblLayout w:type="fixed"/>
        <w:tblBorders>
          <w:top w:val="single" w:sz="4" w:color="FFFFFF"/>
          <w:left w:val="single" w:sz="4" w:color="FFFFFF"/>
          <w:bottom w:val="single" w:sz="4" w:color="FFFFFF"/>
          <w:right w:val="single" w:sz="4" w:color="FFFFFF"/>
          <w:insideH w:val="single" w:sz="4" w:color="FFFFFF"/>
          <w:insideV w:val="single" w:sz="4" w:color="FFFFFF"/>
        </w:tblBorders>
      </w:tblPr>
      <w:tblGrid>
        <w:gridCol w:w="6042"/>
        <w:gridCol w:w="3704"/>
      </w:tblGrid>
      <w:tr>
        <w:tc>
          <w:tcPr>
            <w:tcW w:w="6042" w:type="dxa"/>
            <w:tcMar>
              <w:top w:w="260" w:type="dxa"/>
              <w:bottom w:w="260" w:type="dxa"/>
              <w:left w:w="140" w:type="dxa"/>
              <w:right w:w="140" w:type="dxa"/>
            </w:tcMar>
            <w:vAlign w:val="top"/>
          </w:tcPr>
          <w:p>
            <w:pPr>
              <w:spacing w:before="0" w:after="0" w:line="276" w:lineRule="auto"/>
            </w:pPr>
            <w:r>
              <w:rPr>
                <w:rFonts w:ascii="Jost" w:hAnsi="Jost"/>
                <w:color w:val="22221F"/>
                <w:sz w:val="22"/>
                <w:szCs w:val="22"/>
                <w:shd w:val="clear" w:fill="F1F1F0"/>
                <w:u w:val="single" w:color="C6C4BF"/>
              </w:rPr>
              <w:t xml:space="preserve">                                        </w:t>
            </w:r>
          </w:p>
        </w:tc>
        <w:tc>
          <w:tcPr>
            <w:tcW w:w="3704"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r>
      <w:tr>
        <w:tc>
          <w:tcPr>
            <w:tcW w:w="6042"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Signature — for and on behalf of the Employer</w:t>
            </w:r>
          </w:p>
        </w:tc>
        <w:tc>
          <w:tcPr>
            <w:tcW w:w="3704"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Date</w:t>
            </w:r>
          </w:p>
        </w:tc>
      </w:tr>
    </w:tbl>
    <w:p>
      <w:pPr>
        <w:spacing w:before="0" w:after="0" w:line="240" w:lineRule="exact"/>
      </w:pPr>
    </w:p>
    <w:tbl>
      <w:tblPr>
        <w:tblW w:w="9746" w:type="dxa"/>
        <w:tblLayout w:type="fixed"/>
        <w:tblBorders>
          <w:top w:val="single" w:sz="12" w:color="12332A"/>
          <w:left w:val="single" w:sz="12" w:color="12332A"/>
          <w:bottom w:val="single" w:sz="12" w:color="12332A"/>
          <w:right w:val="single" w:sz="12" w:color="12332A"/>
          <w:insideH w:val="single" w:sz="12" w:color="12332A"/>
          <w:insideV w:val="single" w:sz="12" w:color="12332A"/>
        </w:tblBorders>
      </w:tblPr>
      <w:tblGrid>
        <w:gridCol w:w="9746"/>
      </w:tblGrid>
      <w:tr>
        <w:tc>
          <w:tcPr>
            <w:tcW w:w="9746" w:type="dxa"/>
            <w:shd w:val="clear" w:fill="F3ECDD"/>
            <w:tcMar>
              <w:top w:w="180" w:type="dxa"/>
              <w:bottom w:w="180" w:type="dxa"/>
              <w:left w:w="140" w:type="dxa"/>
              <w:right w:w="140" w:type="dxa"/>
            </w:tcMar>
            <w:vAlign w:val="top"/>
          </w:tcPr>
          <w:p>
            <w:pPr>
              <w:spacing w:before="0" w:after="0" w:line="276" w:lineRule="auto"/>
            </w:pPr>
            <w:r>
              <w:rPr>
                <w:rFonts w:ascii="Jost" w:hAnsi="Jost"/>
                <w:color w:val="12332A"/>
                <w:sz w:val="21"/>
                <w:szCs w:val="21"/>
              </w:rPr>
              <w:t xml:space="preserve">I acknowledge receipt of this statement and agree that, for the purpose of the Working Time Regulations, any applicable entitlements and provisions constitute a relevant agreement.</w:t>
            </w:r>
          </w:p>
        </w:tc>
      </w:tr>
    </w:tbl>
    <w:p>
      <w:pPr>
        <w:spacing w:before="0" w:after="0" w:line="240" w:lineRule="exact"/>
      </w:pPr>
    </w:p>
    <w:p>
      <w:pPr>
        <w:spacing w:before="0" w:after="120" w:line="276" w:lineRule="auto"/>
      </w:pPr>
      <w:r>
        <w:rPr>
          <w:rFonts w:ascii="Barlow Condensed" w:hAnsi="Barlow Condensed"/>
          <w:color w:val="12332A"/>
          <w:sz w:val="20"/>
          <w:szCs w:val="20"/>
          <w:spacing w:val="24"/>
          <w:caps/>
        </w:rPr>
        <w:t xml:space="preserve">SIGNED BY THE EMPLOYEE</w:t>
      </w:r>
    </w:p>
    <w:tbl>
      <w:tblPr>
        <w:tblW w:w="9746" w:type="dxa"/>
        <w:tblLayout w:type="fixed"/>
        <w:tblBorders>
          <w:top w:val="single" w:sz="4" w:color="FFFFFF"/>
          <w:left w:val="single" w:sz="4" w:color="FFFFFF"/>
          <w:bottom w:val="single" w:sz="4" w:color="FFFFFF"/>
          <w:right w:val="single" w:sz="4" w:color="FFFFFF"/>
          <w:insideH w:val="single" w:sz="4" w:color="FFFFFF"/>
          <w:insideV w:val="single" w:sz="4" w:color="FFFFFF"/>
        </w:tblBorders>
      </w:tblPr>
      <w:tblGrid>
        <w:gridCol w:w="6042"/>
        <w:gridCol w:w="3704"/>
      </w:tblGrid>
      <w:tr>
        <w:tc>
          <w:tcPr>
            <w:tcW w:w="6042"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c>
          <w:tcPr>
            <w:tcW w:w="3704" w:type="dxa"/>
            <w:tcMar>
              <w:top w:w="260" w:type="dxa"/>
              <w:bottom w:w="260" w:type="dxa"/>
              <w:left w:w="140" w:type="dxa"/>
              <w:right w:w="140" w:type="dxa"/>
            </w:tcMar>
            <w:vAlign w:val="top"/>
          </w:tcPr>
          <w:p>
            <w:pPr>
              <w:spacing w:before="0" w:after="0" w:line="276" w:lineRule="auto"/>
            </w:pPr>
            <w:r>
              <w:rPr>
                <w:rFonts w:ascii="Jost" w:hAnsi="Jost"/>
                <w:color w:val="22221F"/>
                <w:sz w:val="22"/>
                <w:szCs w:val="22"/>
                <w:u w:val="dotted" w:color="9A968E"/>
              </w:rPr>
              <w:t xml:space="preserve">                  </w:t>
            </w:r>
          </w:p>
        </w:tc>
      </w:tr>
      <w:tr>
        <w:tc>
          <w:tcPr>
            <w:tcW w:w="6042"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Signature — Employee</w:t>
            </w:r>
          </w:p>
        </w:tc>
        <w:tc>
          <w:tcPr>
            <w:tcW w:w="3704" w:type="dxa"/>
            <w:tcMar>
              <w:top w:w="90" w:type="dxa"/>
              <w:bottom w:w="90" w:type="dxa"/>
              <w:left w:w="140" w:type="dxa"/>
              <w:right w:w="140" w:type="dxa"/>
            </w:tcMar>
            <w:vAlign w:val="top"/>
          </w:tcPr>
          <w:p>
            <w:pPr>
              <w:spacing w:before="0" w:after="0" w:line="276" w:lineRule="auto"/>
            </w:pPr>
            <w:r>
              <w:rPr>
                <w:rFonts w:ascii="Jost" w:hAnsi="Jost"/>
                <w:color w:val="6F6A5C"/>
                <w:sz w:val="15"/>
                <w:szCs w:val="15"/>
                <w:spacing w:val="14"/>
                <w:caps/>
              </w:rPr>
              <w:t xml:space="preserve">Date</w:t>
            </w:r>
          </w:p>
        </w:tc>
      </w:tr>
    </w:tbl>
    <w:sectPr>
      <w:titlePg/>
      <w:headerReference w:type="first" r:id="rId4"/>
      <w:footerReference w:type="first" r:id="rId3"/>
      <w:headerReference w:type="default" r:id="rId2"/>
      <w:footerReference w:type="default" r:id="rId3"/>
      <w:pgSz w:w="11906" w:h="16838"/>
      <w:pgMar w:top="1900" w:right="1080" w:bottom="1300" w:left="1080" w:header="567" w:footer="510" w:gutter="0"/>
      <w:cols w:space="708"/>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w:p>
    <w:pPr>
      <w:pBdr>
        <w:top w:val="single" w:sz="12" w:color="12332A"/>
      </w:pBdr>
      <w:tabs>
        <w:tab w:val="right" w:pos="9746"/>
      </w:tabs>
      <w:spacing w:before="80" w:after="0"/>
    </w:pPr>
    <w:r>
      <w:rPr>
        <w:rFonts w:ascii="Jost" w:hAnsi="Jost"/>
        <w:color w:val="12332A"/>
        <w:sz w:val="15"/>
        <w:szCs w:val="15"/>
        <w:spacing w:val="20"/>
        <w:caps/>
      </w:rPr>
      <w:t xml:space="preserve">© THE PINT BAR – OYO ENTERTAINMENT</w:t>
    </w:r>
    <w:r>
      <w:rPr>
        <w:rFonts w:ascii="Jost" w:hAnsi="Jost"/>
        <w:color w:val="22221F"/>
        <w:sz w:val="22"/>
        <w:szCs w:val="22"/>
      </w:rPr>
      <w:t xml:space="preserve">	</w:t>
    </w:r>
    <w:r>
      <w:rPr>
        <w:rFonts w:ascii="Barlow Condensed" w:hAnsi="Barlow Condensed"/>
        <w:color w:val="5C6B62"/>
        <w:sz w:val="15"/>
        <w:szCs w:val="15"/>
        <w:spacing w:val="20"/>
      </w:rPr>
      <w:t xml:space="preserve">PAGE </w:t>
    </w:r>
    <w:r>
      <w:fldChar w:fldCharType="begin"/>
    </w:r>
    <w:r>
      <w:instrText xml:space="preserve"> PAGE </w:instrText>
    </w:r>
    <w:r>
      <w:fldChar w:fldCharType="separate"/>
    </w:r>
    <w:r>
      <w:rPr>
        <w:rFonts w:ascii="Barlow Condensed" w:hAnsi="Barlow Condensed"/>
        <w:color w:val="5C6B62"/>
        <w:sz w:val="15"/>
        <w:szCs w:val="15"/>
        <w:spacing w:val="20"/>
      </w:rPr>
      <w:t>1</w:t>
    </w:r>
    <w:r>
      <w:fldChar w:fldCharType="end"/>
    </w:r>
    <w:r>
      <w:rPr>
        <w:rFonts w:ascii="Barlow Condensed" w:hAnsi="Barlow Condensed"/>
        <w:color w:val="5C6B62"/>
        <w:sz w:val="15"/>
        <w:szCs w:val="15"/>
        <w:spacing w:val="20"/>
      </w:rPr>
      <w:t xml:space="preserve"> OF </w:t>
    </w:r>
    <w:r>
      <w:fldChar w:fldCharType="begin"/>
    </w:r>
    <w:r>
      <w:instrText xml:space="preserve"> NUMPAGES </w:instrText>
    </w:r>
    <w:r>
      <w:fldChar w:fldCharType="separate"/>
    </w:r>
    <w:r>
      <w:rPr>
        <w:rFonts w:ascii="Barlow Condensed" w:hAnsi="Barlow Condensed"/>
        <w:color w:val="5C6B62"/>
        <w:sz w:val="15"/>
        <w:szCs w:val="15"/>
        <w:spacing w:val="20"/>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w:p>
    <w:pPr>
      <w:spacing w:before="0" w:after="60"/>
      <w:pBdr>
        <w:bottom w:val="single" w:sz="12" w:color="12332A"/>
      </w:pBdr>
    </w:pPr>
    <w:r>
      <w:drawing>
        <wp:inline distT="0" distB="0" distL="0" distR="0">
          <wp:extent cx="1508760" cy="582694"/>
          <wp:docPr id="1" name="The Pint Bar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1"/>
                  <a:stretch>
                    <a:fillRect/>
                  </a:stretch>
                </pic:blipFill>
                <pic:spPr>
                  <a:xfrm>
                    <a:off x="0" y="0"/>
                    <a:ext cx="1508760" cy="582694"/>
                  </a:xfrm>
                  <a:prstGeom prst="rect">
                    <a:avLst/>
                  </a:prstGeom>
                </pic:spPr>
              </pic:pic>
            </a:graphicData>
          </a:graphic>
        </wp:inline>
      </w:drawing>
    </w:r>
  </w:p>
  <w:p>
    <w:pPr>
      <w:spacing w:before="0" w:after="0" w:line="120" w:lineRule="exact"/>
      <w:pBdr>
        <w:bottom w:val="single" w:sz="6" w:color="C8811E"/>
      </w:pBdr>
    </w:pPr>
  </w:p>
</w:hdr>
</file>

<file path=word/header2.xml><?xml version="1.0" encoding="utf-8"?>
<w:hdr xmlns:w="http://schemas.openxmlformats.org/wordprocessingml/2006/main" xmlns:r="http://schemas.openxmlformats.org/officeDocument/2006/relationships">
  <w:p>
    <w:pPr>
      <w:spacing w:before="0" w:after="0" w:line="20" w:lineRule="exact"/>
    </w:pP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Jost" w:hAnsi="Jost" w:cs="Jost"/>
        <w:color w:val="22221F"/>
        <w:sz w:val="22"/>
        <w:szCs w:val="22"/>
      </w:rPr>
    </w:rPrDefault>
    <w:pPrDefault>
      <w:pPr>
        <w:spacing w:after="120" w:line="276"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s>
</file>

<file path=word/_rels/header1.xml.rels><?xml version="1.0" encoding="UTF-8" standalone="yes"?><Relationships xmlns="http://schemas.openxmlformats.org/package/2006/relationships"><Relationship Id="rId1" Type="http://schemas.openxmlformats.org/officeDocument/2006/relationships/image" Target="media/logo.png"/></Relationships>
</file>