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7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1 hari kerja, terhitung mulai tanggal 31 Maret 2025 sampai 31 Maret 2025 dikarenakan alasan berikut: dssdfsdfsdfsdf.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