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1F4E79"/>
          <w:sz w:val="64"/>
          <w:szCs w:val="64"/>
        </w:rPr>
        <w:t xml:space="preserve">COMPLIANCE LEARNING ENGINE</w:t>
      </w:r>
    </w:p>
    <w:p>
      <w:pPr>
        <w:spacing w:before="0" w:after="160"/>
        <w:jc w:val="center"/>
      </w:pPr>
      <w:r>
        <w:rPr>
          <w:rFonts w:ascii="Arial" w:cs="Arial" w:eastAsia="Arial" w:hAnsi="Arial"/>
          <w:color w:val="2E75B6"/>
          <w:sz w:val="36"/>
          <w:szCs w:val="36"/>
        </w:rPr>
        <w:t xml:space="preserve">Technical Architecture &amp; Implementation Guide</w:t>
      </w:r>
    </w:p>
    <w:p>
      <w:pPr>
        <w:pBdr>
          <w:bottom w:val="single" w:color="2E75B6" w:sz="6" w:space="4"/>
        </w:pBdr>
        <w:spacing w:before="0" w:after="400"/>
        <w:jc w:val="center"/>
      </w:pPr>
      <w:r>
        <w:t xml:space="preserve"/>
      </w:r>
    </w:p>
    <w:p>
      <w:pPr>
        <w:spacing w:before="200" w:after="80"/>
        <w:jc w:val="center"/>
      </w:pPr>
      <w:r>
        <w:rPr>
          <w:rFonts w:ascii="Arial" w:cs="Arial" w:eastAsia="Arial" w:hAnsi="Arial"/>
          <w:color w:val="666666"/>
          <w:sz w:val="22"/>
          <w:szCs w:val="22"/>
        </w:rPr>
        <w:t xml:space="preserve">Prepared for Internal Engineering Use</w:t>
      </w:r>
    </w:p>
    <w:p>
      <w:pPr>
        <w:spacing w:before="0" w:after="80"/>
        <w:jc w:val="center"/>
      </w:pPr>
      <w:r>
        <w:rPr>
          <w:rFonts w:ascii="Arial" w:cs="Arial" w:eastAsia="Arial" w:hAnsi="Arial"/>
          <w:color w:val="666666"/>
          <w:sz w:val="22"/>
          <w:szCs w:val="22"/>
        </w:rPr>
        <w:t xml:space="preserve">Version 1.0  |  Confidential</w:t>
      </w:r>
    </w:p>
    <w:p>
      <w:pPr>
        <w:spacing w:before="0" w:after="0"/>
        <w:jc w:val="center"/>
      </w:pPr>
      <w:r>
        <w:rPr>
          <w:rFonts w:ascii="Arial" w:cs="Arial" w:eastAsia="Arial" w:hAnsi="Arial"/>
          <w:color w:val="666666"/>
          <w:sz w:val="22"/>
          <w:szCs w:val="22"/>
        </w:rPr>
        <w:t xml:space="preserve">February 2026</w:t>
      </w:r>
    </w:p>
    <w:p>
      <w:r>
        <w:br w:type="page"/>
      </w:r>
    </w:p>
    <w:p>
      <w:pPr>
        <w:pStyle w:val="Heading1"/>
        <w:spacing w:before="360" w:after="120"/>
      </w:pPr>
      <w:r>
        <w:rPr>
          <w:rFonts w:ascii="Arial" w:cs="Arial" w:eastAsia="Arial" w:hAnsi="Arial"/>
          <w:b/>
          <w:bCs/>
          <w:color w:val="1F4E79"/>
          <w:sz w:val="36"/>
          <w:szCs w:val="36"/>
        </w:rPr>
        <w:t xml:space="preserve">Executive Summary</w:t>
      </w:r>
    </w:p>
    <w:p>
      <w:pPr>
        <w:spacing w:before="80" w:after="80"/>
      </w:pPr>
      <w:r>
        <w:rPr>
          <w:rFonts w:ascii="Arial" w:cs="Arial" w:eastAsia="Arial" w:hAnsi="Arial"/>
          <w:color w:val="1A1A1A"/>
          <w:sz w:val="22"/>
          <w:szCs w:val="22"/>
        </w:rPr>
        <w:t xml:space="preserve">This document provides a detailed technical blueprint for building a Compliance Learning Engine — a system that becomes more accurate, efficient, and valuable over time through continuous feedback loops, cross-client pattern learning, and automated regulatory monitoring. Unlike static compliance tools that simply store checklists, this architecture is designed to compound in intelligence the same way Amazon's recommendation engine compounded in value with every transaction.</w:t>
      </w:r>
    </w:p>
    <w:p>
      <w:pPr>
        <w:spacing w:before="120" w:after="0"/>
      </w:pPr>
      <w:r>
        <w:t xml:space="preserve"/>
      </w:r>
    </w:p>
    <w:p>
      <w:pPr>
        <w:spacing w:before="80" w:after="80"/>
      </w:pPr>
      <w:r>
        <w:rPr>
          <w:rFonts w:ascii="Arial" w:cs="Arial" w:eastAsia="Arial" w:hAnsi="Arial"/>
          <w:color w:val="1A1A1A"/>
          <w:sz w:val="22"/>
          <w:szCs w:val="22"/>
        </w:rPr>
        <w:t xml:space="preserve">The engine is composed of five core technical systems that work together to create a self-reinforcing flywheel: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Five Core Systems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System 1: Living RAG (Retrieval-Augmented Generation) Knowledge Base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System 2: Compliance Knowledge Graph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System 3: Feedback Loop &amp; Learning Layer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System 4: Cross-Client Pattern Detection with Privacy Preservation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System 5: Regulatory Event Stream &amp; Continuous Monitoring</w:t>
            </w:r>
          </w:p>
        </w:tc>
      </w:tr>
    </w:tbl>
    <w:p>
      <w:pPr>
        <w:spacing w:before="120" w:after="0"/>
      </w:pPr>
      <w:r>
        <w:t xml:space="preserve"/>
      </w:r>
    </w:p>
    <w:p>
      <w:pPr>
        <w:spacing w:before="80" w:after="80"/>
      </w:pPr>
      <w:r>
        <w:rPr>
          <w:rFonts w:ascii="Arial" w:cs="Arial" w:eastAsia="Arial" w:hAnsi="Arial"/>
          <w:color w:val="1A1A1A"/>
          <w:sz w:val="22"/>
          <w:szCs w:val="22"/>
        </w:rPr>
        <w:t xml:space="preserve">Each system is described below with full technical detail, recommended technology stack, implementation sequence, and concrete use cases mapped to your compliance platform.</w:t>
      </w:r>
    </w:p>
    <w:p>
      <w:r>
        <w:br w:type="page"/>
      </w:r>
    </w:p>
    <w:p>
      <w:pPr>
        <w:pStyle w:val="Heading1"/>
        <w:spacing w:before="360" w:after="120"/>
      </w:pPr>
      <w:r>
        <w:rPr>
          <w:rFonts w:ascii="Arial" w:cs="Arial" w:eastAsia="Arial" w:hAnsi="Arial"/>
          <w:b/>
          <w:bCs/>
          <w:color w:val="1F4E79"/>
          <w:sz w:val="36"/>
          <w:szCs w:val="36"/>
        </w:rPr>
        <w:t xml:space="preserve">System 1: Living RAG Knowledge Base</w:t>
      </w:r>
    </w:p>
    <w:p>
      <w:pPr>
        <w:pStyle w:val="Heading2"/>
        <w:spacing w:before="280" w:after="100"/>
      </w:pPr>
      <w:r>
        <w:rPr>
          <w:rFonts w:ascii="Arial" w:cs="Arial" w:eastAsia="Arial" w:hAnsi="Arial"/>
          <w:b/>
          <w:bCs/>
          <w:color w:val="2E75B6"/>
          <w:sz w:val="28"/>
          <w:szCs w:val="28"/>
        </w:rPr>
        <w:t xml:space="preserve">What It Is</w:t>
      </w:r>
    </w:p>
    <w:p>
      <w:pPr>
        <w:spacing w:before="80" w:after="80"/>
      </w:pPr>
      <w:r>
        <w:rPr>
          <w:rFonts w:ascii="Arial" w:cs="Arial" w:eastAsia="Arial" w:hAnsi="Arial"/>
          <w:color w:val="1A1A1A"/>
          <w:sz w:val="22"/>
          <w:szCs w:val="22"/>
        </w:rPr>
        <w:t xml:space="preserve">Retrieval-Augmented Generation (RAG) is an architecture where an AI model doesn't rely solely on its training data to answer questions. Instead, it retrieves relevant documents from a curated knowledge base at query time and uses those documents as context to generate accurate, grounded responses. The critical word in your implementation is 'living' — most teams build RAG statically, loading documents once and never updating. Your system must treat the knowledge base as a continuously evolving dataset.</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How It Works Technically</w:t>
      </w:r>
    </w:p>
    <w:p>
      <w:pPr>
        <w:pStyle w:val="Heading3"/>
        <w:spacing w:before="200" w:after="80"/>
      </w:pPr>
      <w:r>
        <w:rPr>
          <w:rFonts w:ascii="Arial" w:cs="Arial" w:eastAsia="Arial" w:hAnsi="Arial"/>
          <w:b/>
          <w:bCs/>
          <w:color w:val="1F4E79"/>
          <w:sz w:val="24"/>
          <w:szCs w:val="24"/>
        </w:rPr>
        <w:t xml:space="preserve">Step 1: Document Ingestion Pipeline</w:t>
      </w:r>
    </w:p>
    <w:p>
      <w:pPr>
        <w:spacing w:before="80" w:after="80"/>
      </w:pPr>
      <w:r>
        <w:rPr>
          <w:rFonts w:ascii="Arial" w:cs="Arial" w:eastAsia="Arial" w:hAnsi="Arial"/>
          <w:color w:val="1A1A1A"/>
          <w:sz w:val="22"/>
          <w:szCs w:val="22"/>
        </w:rPr>
        <w:t xml:space="preserve">Every compliance document — regulations, client policies, audit templates, guidance letters — is processed through an ingestion pipeline before entering the knowledge base.</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The document is split into semantically meaningful chunks (typically 512–1024 tokens with 10–15% overlap to preserve context across chunk boundaries)</w:t>
      </w:r>
    </w:p>
    <w:p>
      <w:pPr>
        <w:pStyle w:val="ListParagraph"/>
        <w:numPr>
          <w:ilvl w:val="0"/>
          <w:numId w:val="2"/>
        </w:numPr>
        <w:spacing w:before="60" w:after="60"/>
      </w:pPr>
      <w:r>
        <w:rPr>
          <w:rFonts w:ascii="Arial" w:cs="Arial" w:eastAsia="Arial" w:hAnsi="Arial"/>
          <w:color w:val="1A1A1A"/>
          <w:sz w:val="22"/>
          <w:szCs w:val="22"/>
        </w:rPr>
        <w:t xml:space="preserve">Each chunk is converted into a vector embedding using a model like OpenAI text-embedding-3-large or a self-hosted model via Amazon Bedrock</w:t>
      </w:r>
    </w:p>
    <w:p>
      <w:pPr>
        <w:pStyle w:val="ListParagraph"/>
        <w:numPr>
          <w:ilvl w:val="0"/>
          <w:numId w:val="2"/>
        </w:numPr>
        <w:spacing w:before="60" w:after="60"/>
      </w:pPr>
      <w:r>
        <w:rPr>
          <w:rFonts w:ascii="Arial" w:cs="Arial" w:eastAsia="Arial" w:hAnsi="Arial"/>
          <w:color w:val="1A1A1A"/>
          <w:sz w:val="22"/>
          <w:szCs w:val="22"/>
        </w:rPr>
        <w:t xml:space="preserve">The embedding (a list of ~1536 floating point numbers representing semantic meaning) is stored in a vector database alongside the original text chunk</w:t>
      </w:r>
    </w:p>
    <w:p>
      <w:pPr>
        <w:pStyle w:val="ListParagraph"/>
        <w:numPr>
          <w:ilvl w:val="0"/>
          <w:numId w:val="2"/>
        </w:numPr>
        <w:spacing w:before="60" w:after="60"/>
      </w:pPr>
      <w:r>
        <w:rPr>
          <w:rFonts w:ascii="Arial" w:cs="Arial" w:eastAsia="Arial" w:hAnsi="Arial"/>
          <w:color w:val="1A1A1A"/>
          <w:sz w:val="22"/>
          <w:szCs w:val="22"/>
        </w:rPr>
        <w:t xml:space="preserve">Crucially, each chunk is tagged with rich metadata: document type, regulatory framework, date ingested, date of source document, client industry, and whether it represents official regulation vs. internal interpretation</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Step 2: Retrieval at Query Time</w:t>
      </w:r>
    </w:p>
    <w:p>
      <w:pPr>
        <w:spacing w:before="80" w:after="80"/>
      </w:pPr>
      <w:r>
        <w:rPr>
          <w:rFonts w:ascii="Arial" w:cs="Arial" w:eastAsia="Arial" w:hAnsi="Arial"/>
          <w:color w:val="1A1A1A"/>
          <w:sz w:val="22"/>
          <w:szCs w:val="22"/>
        </w:rPr>
        <w:t xml:space="preserve">When a user asks a compliance question or the system performs an automated assessment, the query is itself converted to an embedding. The vector database then finds the most semantically similar chunks — not by keyword matching, but by meaning similarity. This means a question about 'workforce training requirements' will correctly retrieve chunks about employee education even if the word 'training' doesn't appear in the source text.</w:t>
      </w:r>
    </w:p>
    <w:p>
      <w:pPr>
        <w:spacing w:before="120" w:after="0"/>
      </w:pPr>
      <w:r>
        <w:t xml:space="preserve"/>
      </w:r>
    </w:p>
    <w:p>
      <w:pPr>
        <w:spacing w:before="80" w:after="80"/>
      </w:pPr>
      <w:r>
        <w:rPr>
          <w:rFonts w:ascii="Arial" w:cs="Arial" w:eastAsia="Arial" w:hAnsi="Arial"/>
          <w:color w:val="1A1A1A"/>
          <w:sz w:val="22"/>
          <w:szCs w:val="22"/>
        </w:rPr>
        <w:t xml:space="preserve">The retrieved chunks are injected into the prompt context sent to the LLM, which then generates a response grounded in your specific knowledge base rather than generic training data. This eliminates hallucination on compliance-specific details.</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Step 3: Making It 'Living'</w:t>
      </w:r>
    </w:p>
    <w:p>
      <w:pPr>
        <w:spacing w:before="80" w:after="80"/>
      </w:pPr>
      <w:r>
        <w:rPr>
          <w:rFonts w:ascii="Arial" w:cs="Arial" w:eastAsia="Arial" w:hAnsi="Arial"/>
          <w:color w:val="1A1A1A"/>
          <w:sz w:val="22"/>
          <w:szCs w:val="22"/>
        </w:rPr>
        <w:t xml:space="preserve">This is where most implementations stop and yours should not. The living layer requires: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Automated monitoring of regulatory sources (HHS, NIST, state health boards) via scheduled scrapers or API feeds</w:t>
      </w:r>
    </w:p>
    <w:p>
      <w:pPr>
        <w:pStyle w:val="ListParagraph"/>
        <w:numPr>
          <w:ilvl w:val="0"/>
          <w:numId w:val="2"/>
        </w:numPr>
        <w:spacing w:before="60" w:after="60"/>
      </w:pPr>
      <w:r>
        <w:rPr>
          <w:rFonts w:ascii="Arial" w:cs="Arial" w:eastAsia="Arial" w:hAnsi="Arial"/>
          <w:color w:val="1A1A1A"/>
          <w:sz w:val="22"/>
          <w:szCs w:val="22"/>
        </w:rPr>
        <w:t xml:space="preserve">When a new document is detected, it is automatically ingested, chunked, embedded, and added to the knowledge base within hours</w:t>
      </w:r>
    </w:p>
    <w:p>
      <w:pPr>
        <w:pStyle w:val="ListParagraph"/>
        <w:numPr>
          <w:ilvl w:val="0"/>
          <w:numId w:val="2"/>
        </w:numPr>
        <w:spacing w:before="60" w:after="60"/>
      </w:pPr>
      <w:r>
        <w:rPr>
          <w:rFonts w:ascii="Arial" w:cs="Arial" w:eastAsia="Arial" w:hAnsi="Arial"/>
          <w:color w:val="1A1A1A"/>
          <w:sz w:val="22"/>
          <w:szCs w:val="22"/>
        </w:rPr>
        <w:t xml:space="preserve">Old chunks from superseded regulations are flagged as deprecated rather than deleted, so the system can answer questions about historical compliance state</w:t>
      </w:r>
    </w:p>
    <w:p>
      <w:pPr>
        <w:pStyle w:val="ListParagraph"/>
        <w:numPr>
          <w:ilvl w:val="0"/>
          <w:numId w:val="2"/>
        </w:numPr>
        <w:spacing w:before="60" w:after="60"/>
      </w:pPr>
      <w:r>
        <w:rPr>
          <w:rFonts w:ascii="Arial" w:cs="Arial" w:eastAsia="Arial" w:hAnsi="Arial"/>
          <w:color w:val="1A1A1A"/>
          <w:sz w:val="22"/>
          <w:szCs w:val="22"/>
        </w:rPr>
        <w:t xml:space="preserve">Version history is maintained so you can show a client what the requirement was when they implemented a control versus what it is today</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Vector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pgvector (PostgreSQL extension)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Simplest path — you likely already run Postgres. Handles up to tens of millions of vectors without additional infrastructure.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Vector Database (scale)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Pinecone or Weaviate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Purpose-built for vector search. Better performance at millions of records. Pinecone is fully managed; Weaviate is open-source self-hosted.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Embedding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Amazon Bedrock (Titan Embeddings)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Fits your existing AWS setup. HIPAA-eligible. No data leaves your cloud boundary.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Document Chunking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LangChain RecursiveCharacterTextSplitter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Battle-tested, handles various document formats, configurable overlap.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Ingestion Orchestration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Lambda + EventBridge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Serverless, event-driven ingestion triggered by regulatory source changes.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Document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S3 + DynamoDB metadata index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Raw documents in S3, metadata and chunk index in DynamoDB for fast lookups.</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New Client HIPAA Assessment</w:t>
      </w:r>
    </w:p>
    <w:p>
      <w:pPr>
        <w:spacing w:before="80" w:after="80"/>
      </w:pPr>
      <w:r>
        <w:rPr>
          <w:rFonts w:ascii="Arial" w:cs="Arial" w:eastAsia="Arial" w:hAnsi="Arial"/>
          <w:color w:val="1A1A1A"/>
          <w:sz w:val="22"/>
          <w:szCs w:val="22"/>
        </w:rPr>
        <w:t xml:space="preserve">A new healthcare SMB client onboards. Your system needs to assess their current compliance posture against HIPAA Security Rule requirements.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Client completes an intake questionnaire describing their systems, data flows, and existing controls</w:t>
      </w:r>
    </w:p>
    <w:p>
      <w:pPr>
        <w:pStyle w:val="ListParagraph"/>
        <w:numPr>
          <w:ilvl w:val="0"/>
          <w:numId w:val="2"/>
        </w:numPr>
        <w:spacing w:before="60" w:after="60"/>
      </w:pPr>
      <w:r>
        <w:rPr>
          <w:rFonts w:ascii="Arial" w:cs="Arial" w:eastAsia="Arial" w:hAnsi="Arial"/>
          <w:color w:val="1A1A1A"/>
          <w:sz w:val="22"/>
          <w:szCs w:val="22"/>
        </w:rPr>
        <w:t xml:space="preserve">Each client response is embedded and used to query the knowledge base for relevant HIPAA requirements</w:t>
      </w:r>
    </w:p>
    <w:p>
      <w:pPr>
        <w:pStyle w:val="ListParagraph"/>
        <w:numPr>
          <w:ilvl w:val="0"/>
          <w:numId w:val="2"/>
        </w:numPr>
        <w:spacing w:before="60" w:after="60"/>
      </w:pPr>
      <w:r>
        <w:rPr>
          <w:rFonts w:ascii="Arial" w:cs="Arial" w:eastAsia="Arial" w:hAnsi="Arial"/>
          <w:color w:val="1A1A1A"/>
          <w:sz w:val="22"/>
          <w:szCs w:val="22"/>
        </w:rPr>
        <w:t xml:space="preserve">The system retrieves the 15-20 most relevant regulatory chunks — specific to their configuration (e.g., cloud-hosted EHR, remote workforce)</w:t>
      </w:r>
    </w:p>
    <w:p>
      <w:pPr>
        <w:pStyle w:val="ListParagraph"/>
        <w:numPr>
          <w:ilvl w:val="0"/>
          <w:numId w:val="2"/>
        </w:numPr>
        <w:spacing w:before="60" w:after="60"/>
      </w:pPr>
      <w:r>
        <w:rPr>
          <w:rFonts w:ascii="Arial" w:cs="Arial" w:eastAsia="Arial" w:hAnsi="Arial"/>
          <w:color w:val="1A1A1A"/>
          <w:sz w:val="22"/>
          <w:szCs w:val="22"/>
        </w:rPr>
        <w:t xml:space="preserve">An LLM generates a gap analysis using only retrieved, verified regulatory text — no hallucinated requirements</w:t>
      </w:r>
    </w:p>
    <w:p>
      <w:pPr>
        <w:pStyle w:val="ListParagraph"/>
        <w:numPr>
          <w:ilvl w:val="0"/>
          <w:numId w:val="2"/>
        </w:numPr>
        <w:spacing w:before="60" w:after="60"/>
      </w:pPr>
      <w:r>
        <w:rPr>
          <w:rFonts w:ascii="Arial" w:cs="Arial" w:eastAsia="Arial" w:hAnsi="Arial"/>
          <w:color w:val="1A1A1A"/>
          <w:sz w:val="22"/>
          <w:szCs w:val="22"/>
        </w:rPr>
        <w:t xml:space="preserve">Every requirement cited links back to its source chunk, giving the client an auditable, defensible compliance report</w:t>
      </w:r>
    </w:p>
    <w:p>
      <w:pPr>
        <w:pStyle w:val="ListParagraph"/>
        <w:numPr>
          <w:ilvl w:val="0"/>
          <w:numId w:val="2"/>
        </w:numPr>
        <w:spacing w:before="60" w:after="60"/>
      </w:pPr>
      <w:r>
        <w:rPr>
          <w:rFonts w:ascii="Arial" w:cs="Arial" w:eastAsia="Arial" w:hAnsi="Arial"/>
          <w:color w:val="1A1A1A"/>
          <w:sz w:val="22"/>
          <w:szCs w:val="22"/>
        </w:rPr>
        <w:t xml:space="preserve">Because the knowledge base was updated last week when HHS released new guidance on telehealth security, the assessment automatically includes requirements a human consultant might have missed</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Automated Policy Update Notification</w:t>
      </w:r>
    </w:p>
    <w:p>
      <w:pPr>
        <w:spacing w:before="80" w:after="80"/>
      </w:pPr>
      <w:r>
        <w:rPr>
          <w:rFonts w:ascii="Arial" w:cs="Arial" w:eastAsia="Arial" w:hAnsi="Arial"/>
          <w:color w:val="1A1A1A"/>
          <w:sz w:val="22"/>
          <w:szCs w:val="22"/>
        </w:rPr>
        <w:t xml:space="preserve">HHS publishes updated guidance on business associate agreements. Your ingestion pipeline detects the new document within 4 hours of publication. The system automatically identifies which clients have BAA-related configurations in their profile, generates a plain-language summary of what changed and what action is required, and sends each client a targeted notification. No manual monitoring required. No client falls through the cracks.</w:t>
      </w:r>
    </w:p>
    <w:p>
      <w:pPr>
        <w:pBdr>
          <w:bottom w:val="single" w:color="D6E4F0" w:sz="4" w:space="1"/>
        </w:pBdr>
        <w:spacing w:before="160" w:after="160"/>
      </w:pPr>
      <w:r>
        <w:t xml:space="preserve"/>
      </w:r>
    </w:p>
    <w:p>
      <w:r>
        <w:br w:type="page"/>
      </w:r>
    </w:p>
    <w:p>
      <w:pPr>
        <w:pStyle w:val="Heading1"/>
        <w:spacing w:before="360" w:after="120"/>
      </w:pPr>
      <w:r>
        <w:rPr>
          <w:rFonts w:ascii="Arial" w:cs="Arial" w:eastAsia="Arial" w:hAnsi="Arial"/>
          <w:b/>
          <w:bCs/>
          <w:color w:val="1F4E79"/>
          <w:sz w:val="36"/>
          <w:szCs w:val="36"/>
        </w:rPr>
        <w:t xml:space="preserve">System 2: Compliance Knowledge Graph</w:t>
      </w:r>
    </w:p>
    <w:p>
      <w:pPr>
        <w:pStyle w:val="Heading2"/>
        <w:spacing w:before="280" w:after="100"/>
      </w:pPr>
      <w:r>
        <w:rPr>
          <w:rFonts w:ascii="Arial" w:cs="Arial" w:eastAsia="Arial" w:hAnsi="Arial"/>
          <w:b/>
          <w:bCs/>
          <w:color w:val="2E75B6"/>
          <w:sz w:val="28"/>
          <w:szCs w:val="28"/>
        </w:rPr>
        <w:t xml:space="preserve">What It Is</w:t>
      </w:r>
    </w:p>
    <w:p>
      <w:pPr>
        <w:spacing w:before="80" w:after="80"/>
      </w:pPr>
      <w:r>
        <w:rPr>
          <w:rFonts w:ascii="Arial" w:cs="Arial" w:eastAsia="Arial" w:hAnsi="Arial"/>
          <w:color w:val="1A1A1A"/>
          <w:sz w:val="22"/>
          <w:szCs w:val="22"/>
        </w:rPr>
        <w:t xml:space="preserve">A knowledge graph is a database that stores not just information but the relationships between pieces of information. Where a RAG system stores documents as isolated chunks, a knowledge graph stores compliance requirements as interconnected nodes where changes to one node automatically propagate awareness of impact to all connected nodes. This is your single biggest architectural differentiator against competitors.</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How It Works Technically</w:t>
      </w:r>
    </w:p>
    <w:p>
      <w:pPr>
        <w:pStyle w:val="Heading3"/>
        <w:spacing w:before="200" w:after="80"/>
      </w:pPr>
      <w:r>
        <w:rPr>
          <w:rFonts w:ascii="Arial" w:cs="Arial" w:eastAsia="Arial" w:hAnsi="Arial"/>
          <w:b/>
          <w:bCs/>
          <w:color w:val="1F4E79"/>
          <w:sz w:val="24"/>
          <w:szCs w:val="24"/>
        </w:rPr>
        <w:t xml:space="preserve">Graph Structure</w:t>
      </w:r>
    </w:p>
    <w:p>
      <w:pPr>
        <w:spacing w:before="80" w:after="80"/>
      </w:pPr>
      <w:r>
        <w:rPr>
          <w:rFonts w:ascii="Arial" w:cs="Arial" w:eastAsia="Arial" w:hAnsi="Arial"/>
          <w:color w:val="1A1A1A"/>
          <w:sz w:val="22"/>
          <w:szCs w:val="22"/>
        </w:rPr>
        <w:t xml:space="preserve">The graph is composed of nodes and edges. In your compliance domain, the primary node types are:</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Regulation nodes: specific clauses or requirements from regulatory frameworks (e.g., HIPAA §164.312(a)(1) — Access Control)</w:t>
      </w:r>
    </w:p>
    <w:p>
      <w:pPr>
        <w:pStyle w:val="ListParagraph"/>
        <w:numPr>
          <w:ilvl w:val="0"/>
          <w:numId w:val="2"/>
        </w:numPr>
        <w:spacing w:before="60" w:after="60"/>
      </w:pPr>
      <w:r>
        <w:rPr>
          <w:rFonts w:ascii="Arial" w:cs="Arial" w:eastAsia="Arial" w:hAnsi="Arial"/>
          <w:color w:val="1A1A1A"/>
          <w:sz w:val="22"/>
          <w:szCs w:val="22"/>
        </w:rPr>
        <w:t xml:space="preserve">Control nodes: specific technical or administrative actions that satisfy regulations (e.g., 'Implement unique user identification')</w:t>
      </w:r>
    </w:p>
    <w:p>
      <w:pPr>
        <w:pStyle w:val="ListParagraph"/>
        <w:numPr>
          <w:ilvl w:val="0"/>
          <w:numId w:val="2"/>
        </w:numPr>
        <w:spacing w:before="60" w:after="60"/>
      </w:pPr>
      <w:r>
        <w:rPr>
          <w:rFonts w:ascii="Arial" w:cs="Arial" w:eastAsia="Arial" w:hAnsi="Arial"/>
          <w:color w:val="1A1A1A"/>
          <w:sz w:val="22"/>
          <w:szCs w:val="22"/>
        </w:rPr>
        <w:t xml:space="preserve">Policy nodes: client-specific policy documents that implement controls</w:t>
      </w:r>
    </w:p>
    <w:p>
      <w:pPr>
        <w:pStyle w:val="ListParagraph"/>
        <w:numPr>
          <w:ilvl w:val="0"/>
          <w:numId w:val="2"/>
        </w:numPr>
        <w:spacing w:before="60" w:after="60"/>
      </w:pPr>
      <w:r>
        <w:rPr>
          <w:rFonts w:ascii="Arial" w:cs="Arial" w:eastAsia="Arial" w:hAnsi="Arial"/>
          <w:color w:val="1A1A1A"/>
          <w:sz w:val="22"/>
          <w:szCs w:val="22"/>
        </w:rPr>
        <w:t xml:space="preserve">Evidence nodes: artifacts that prove a control is in place (e.g., access logs, training records, audit reports)</w:t>
      </w:r>
    </w:p>
    <w:p>
      <w:pPr>
        <w:pStyle w:val="ListParagraph"/>
        <w:numPr>
          <w:ilvl w:val="0"/>
          <w:numId w:val="2"/>
        </w:numPr>
        <w:spacing w:before="60" w:after="60"/>
      </w:pPr>
      <w:r>
        <w:rPr>
          <w:rFonts w:ascii="Arial" w:cs="Arial" w:eastAsia="Arial" w:hAnsi="Arial"/>
          <w:color w:val="1A1A1A"/>
          <w:sz w:val="22"/>
          <w:szCs w:val="22"/>
        </w:rPr>
        <w:t xml:space="preserve">Framework nodes: top-level compliance frameworks (HIPAA, SOC 2, HITRUST, ISO 27001, NIST CSF)</w:t>
      </w:r>
    </w:p>
    <w:p>
      <w:pPr>
        <w:pStyle w:val="ListParagraph"/>
        <w:numPr>
          <w:ilvl w:val="0"/>
          <w:numId w:val="2"/>
        </w:numPr>
        <w:spacing w:before="60" w:after="60"/>
      </w:pPr>
      <w:r>
        <w:rPr>
          <w:rFonts w:ascii="Arial" w:cs="Arial" w:eastAsia="Arial" w:hAnsi="Arial"/>
          <w:color w:val="1A1A1A"/>
          <w:sz w:val="22"/>
          <w:szCs w:val="22"/>
        </w:rPr>
        <w:t xml:space="preserve">Risk nodes: specific risks that regulations are designed to mitigate</w:t>
      </w:r>
    </w:p>
    <w:p>
      <w:pPr>
        <w:spacing w:before="120" w:after="0"/>
      </w:pPr>
      <w:r>
        <w:t xml:space="preserve"/>
      </w:r>
    </w:p>
    <w:p>
      <w:pPr>
        <w:spacing w:before="80" w:after="80"/>
      </w:pPr>
      <w:r>
        <w:rPr>
          <w:rFonts w:ascii="Arial" w:cs="Arial" w:eastAsia="Arial" w:hAnsi="Arial"/>
          <w:color w:val="1A1A1A"/>
          <w:sz w:val="22"/>
          <w:szCs w:val="22"/>
        </w:rPr>
        <w:t xml:space="preserve">The edges between nodes define relationships: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REQUIRES: Framework node → Regulation node ('HIPAA requires §164.312(a)(1)')</w:t>
      </w:r>
    </w:p>
    <w:p>
      <w:pPr>
        <w:pStyle w:val="ListParagraph"/>
        <w:numPr>
          <w:ilvl w:val="0"/>
          <w:numId w:val="2"/>
        </w:numPr>
        <w:spacing w:before="60" w:after="60"/>
      </w:pPr>
      <w:r>
        <w:rPr>
          <w:rFonts w:ascii="Arial" w:cs="Arial" w:eastAsia="Arial" w:hAnsi="Arial"/>
          <w:color w:val="1A1A1A"/>
          <w:sz w:val="22"/>
          <w:szCs w:val="22"/>
        </w:rPr>
        <w:t xml:space="preserve">SATISFIED_BY: Regulation node → Control node ('Access control requirement satisfied by unique user ID control')</w:t>
      </w:r>
    </w:p>
    <w:p>
      <w:pPr>
        <w:pStyle w:val="ListParagraph"/>
        <w:numPr>
          <w:ilvl w:val="0"/>
          <w:numId w:val="2"/>
        </w:numPr>
        <w:spacing w:before="60" w:after="60"/>
      </w:pPr>
      <w:r>
        <w:rPr>
          <w:rFonts w:ascii="Arial" w:cs="Arial" w:eastAsia="Arial" w:hAnsi="Arial"/>
          <w:color w:val="1A1A1A"/>
          <w:sz w:val="22"/>
          <w:szCs w:val="22"/>
        </w:rPr>
        <w:t xml:space="preserve">EVIDENCED_BY: Control node → Evidence node ('Unique user ID control evidenced by access logs')</w:t>
      </w:r>
    </w:p>
    <w:p>
      <w:pPr>
        <w:pStyle w:val="ListParagraph"/>
        <w:numPr>
          <w:ilvl w:val="0"/>
          <w:numId w:val="2"/>
        </w:numPr>
        <w:spacing w:before="60" w:after="60"/>
      </w:pPr>
      <w:r>
        <w:rPr>
          <w:rFonts w:ascii="Arial" w:cs="Arial" w:eastAsia="Arial" w:hAnsi="Arial"/>
          <w:color w:val="1A1A1A"/>
          <w:sz w:val="22"/>
          <w:szCs w:val="22"/>
        </w:rPr>
        <w:t xml:space="preserve">OVERLAPS_WITH: Regulation node → Regulation node (cross-framework mapping)</w:t>
      </w:r>
    </w:p>
    <w:p>
      <w:pPr>
        <w:pStyle w:val="ListParagraph"/>
        <w:numPr>
          <w:ilvl w:val="0"/>
          <w:numId w:val="2"/>
        </w:numPr>
        <w:spacing w:before="60" w:after="60"/>
      </w:pPr>
      <w:r>
        <w:rPr>
          <w:rFonts w:ascii="Arial" w:cs="Arial" w:eastAsia="Arial" w:hAnsi="Arial"/>
          <w:color w:val="1A1A1A"/>
          <w:sz w:val="22"/>
          <w:szCs w:val="22"/>
        </w:rPr>
        <w:t xml:space="preserve">SUPERSEDES: Regulation node → Regulation node (version history)</w:t>
      </w:r>
    </w:p>
    <w:p>
      <w:pPr>
        <w:pStyle w:val="ListParagraph"/>
        <w:numPr>
          <w:ilvl w:val="0"/>
          <w:numId w:val="2"/>
        </w:numPr>
        <w:spacing w:before="60" w:after="60"/>
      </w:pPr>
      <w:r>
        <w:rPr>
          <w:rFonts w:ascii="Arial" w:cs="Arial" w:eastAsia="Arial" w:hAnsi="Arial"/>
          <w:color w:val="1A1A1A"/>
          <w:sz w:val="22"/>
          <w:szCs w:val="22"/>
        </w:rPr>
        <w:t xml:space="preserve">MITIGATES: Control node → Risk node</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The Cross-Framework Power</w:t>
      </w:r>
    </w:p>
    <w:p>
      <w:pPr>
        <w:spacing w:before="80" w:after="80"/>
      </w:pPr>
      <w:r>
        <w:rPr>
          <w:rFonts w:ascii="Arial" w:cs="Arial" w:eastAsia="Arial" w:hAnsi="Arial"/>
          <w:color w:val="1A1A1A"/>
          <w:sz w:val="22"/>
          <w:szCs w:val="22"/>
        </w:rPr>
        <w:t xml:space="preserve">This graph structure unlocks your multi-framework expansion strategy. HIPAA Security Rule §164.312(a)(1) on access control overlaps significantly with SOC 2 CC6.1 and ISO 27001 A.9.2. In a flat document system, these look like three separate requirements. In your graph, they are three nodes connected by OVERLAPS_WITH edges with a similarity weight.</w:t>
      </w:r>
    </w:p>
    <w:p>
      <w:pPr>
        <w:spacing w:before="120" w:after="0"/>
      </w:pPr>
      <w:r>
        <w:t xml:space="preserve"/>
      </w:r>
    </w:p>
    <w:p>
      <w:pPr>
        <w:spacing w:before="80" w:after="80"/>
      </w:pPr>
      <w:r>
        <w:rPr>
          <w:rFonts w:ascii="Arial" w:cs="Arial" w:eastAsia="Arial" w:hAnsi="Arial"/>
          <w:color w:val="1A1A1A"/>
          <w:sz w:val="22"/>
          <w:szCs w:val="22"/>
        </w:rPr>
        <w:t xml:space="preserve">When a client has already demonstrated compliance with HIPAA access controls, your system instantly knows — through graph traversal — exactly how much of that evidence maps to SOC 2 and ISO requirements. A client expanding from HIPAA to SOC 2 doesn't re-answer 60% of the questions. This is a concrete, demo-able value proposition that no flat compliance tool can match.</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Change Propagation</w:t>
      </w:r>
    </w:p>
    <w:p>
      <w:pPr>
        <w:spacing w:before="80" w:after="80"/>
      </w:pPr>
      <w:r>
        <w:rPr>
          <w:rFonts w:ascii="Arial" w:cs="Arial" w:eastAsia="Arial" w:hAnsi="Arial"/>
          <w:color w:val="1A1A1A"/>
          <w:sz w:val="22"/>
          <w:szCs w:val="22"/>
        </w:rPr>
        <w:t xml:space="preserve">When a regulatory node is updated — say, new HHS guidance modifies an interpretation of the minimum necessary standard — the graph traversal identifies every downstream node affected: which controls need to be reviewed, which policies need updating, which client evidence may be invalidated. This happens automatically. The system generates a targeted change impact report rather than requiring a manual review of every client's full compliance posture.</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Graph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Neo4j (Community or Enterprise)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Industry standard. Excellent tooling, Cypher query language is intuitive. Self-hosted on EC2 or managed via Aura cloud.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Graph Query Language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Cypher (Neo4j native)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Readable, expressive. Well-documented for compliance relationship traversal patterns.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Graph + Vector Hybrid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Weaviate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Supports both graph relationships AND vector similarity in one system. Worth evaluating as your scale grows.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Visualization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Neo4j Bloom or custom D3.js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For internal engineering. Consider a simplified visual for client dashboards showing their compliance graph.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ORM/SDK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neo4j-driver (Node.js/Python)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Official driver. Fits your existing stack.</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Multi-Framework Gap Analysis</w:t>
      </w:r>
    </w:p>
    <w:p>
      <w:pPr>
        <w:spacing w:before="80" w:after="80"/>
      </w:pPr>
      <w:r>
        <w:rPr>
          <w:rFonts w:ascii="Arial" w:cs="Arial" w:eastAsia="Arial" w:hAnsi="Arial"/>
          <w:color w:val="1A1A1A"/>
          <w:sz w:val="22"/>
          <w:szCs w:val="22"/>
        </w:rPr>
        <w:t xml:space="preserve">A client currently compliant with HIPAA wants to pursue SOC 2 Type II certification to win enterprise customers. Instead of a full re-assessment, your system runs a graph query:</w:t>
      </w:r>
    </w:p>
    <w:p>
      <w:pPr>
        <w:spacing w:before="60" w:after="0"/>
      </w:pPr>
      <w:r>
        <w:t xml:space="preserve"/>
      </w:r>
    </w:p>
    <w:p>
      <w:pPr>
        <w:spacing w:before="60" w:after="60"/>
        <w:ind w:left="720"/>
      </w:pPr>
      <w:r>
        <w:rPr>
          <w:rFonts w:ascii="Courier New" w:cs="Courier New" w:eastAsia="Courier New" w:hAnsi="Courier New"/>
          <w:color w:val="2E4057"/>
          <w:sz w:val="18"/>
          <w:szCs w:val="18"/>
        </w:rPr>
        <w:t xml:space="preserve">MATCH (hipaa:Framework {name: 'HIPAA'})-[:REQUIRES]-&gt;(req:Regulation)</w:t>
      </w:r>
    </w:p>
    <w:p>
      <w:pPr>
        <w:spacing w:before="60" w:after="60"/>
        <w:ind w:left="720"/>
      </w:pPr>
      <w:r>
        <w:rPr>
          <w:rFonts w:ascii="Courier New" w:cs="Courier New" w:eastAsia="Courier New" w:hAnsi="Courier New"/>
          <w:color w:val="2E4057"/>
          <w:sz w:val="18"/>
          <w:szCs w:val="18"/>
        </w:rPr>
        <w:t xml:space="preserve">&lt;-[:OVERLAPS_WITH]-(soc2req:Regulation)&lt;-[:REQUIRES]-(soc2:Framework {name: 'SOC2'})</w:t>
      </w:r>
    </w:p>
    <w:p>
      <w:pPr>
        <w:spacing w:before="60" w:after="60"/>
        <w:ind w:left="720"/>
      </w:pPr>
      <w:r>
        <w:rPr>
          <w:rFonts w:ascii="Courier New" w:cs="Courier New" w:eastAsia="Courier New" w:hAnsi="Courier New"/>
          <w:color w:val="2E4057"/>
          <w:sz w:val="18"/>
          <w:szCs w:val="18"/>
        </w:rPr>
        <w:t xml:space="preserve">WHERE client.id = $clientId AND client.evidenced(req) = true</w:t>
      </w:r>
    </w:p>
    <w:p>
      <w:pPr>
        <w:spacing w:before="60" w:after="60"/>
        <w:ind w:left="720"/>
      </w:pPr>
      <w:r>
        <w:rPr>
          <w:rFonts w:ascii="Courier New" w:cs="Courier New" w:eastAsia="Courier New" w:hAnsi="Courier New"/>
          <w:color w:val="2E4057"/>
          <w:sz w:val="18"/>
          <w:szCs w:val="18"/>
        </w:rPr>
        <w:t xml:space="preserve">RETURN soc2req, overlap_score ORDER BY overlap_score DESC</w:t>
      </w:r>
    </w:p>
    <w:p>
      <w:pPr>
        <w:spacing w:before="60" w:after="0"/>
      </w:pPr>
      <w:r>
        <w:t xml:space="preserve"/>
      </w:r>
    </w:p>
    <w:p>
      <w:pPr>
        <w:spacing w:before="80" w:after="80"/>
      </w:pPr>
      <w:r>
        <w:rPr>
          <w:rFonts w:ascii="Arial" w:cs="Arial" w:eastAsia="Arial" w:hAnsi="Arial"/>
          <w:color w:val="1A1A1A"/>
          <w:sz w:val="22"/>
          <w:szCs w:val="22"/>
        </w:rPr>
        <w:t xml:space="preserve">This query returns every SOC 2 requirement the client can satisfy with existing HIPAA evidence, ranked by overlap confidence. The client sees immediately: 'You are 58% of the way to SOC 2 compliance based on your existing HIPAA controls.' That's a powerful, data-driven upsell that also genuinely helps the client.</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Regulation Change Impact Assessment</w:t>
      </w:r>
    </w:p>
    <w:p>
      <w:pPr>
        <w:spacing w:before="80" w:after="80"/>
      </w:pPr>
      <w:r>
        <w:rPr>
          <w:rFonts w:ascii="Arial" w:cs="Arial" w:eastAsia="Arial" w:hAnsi="Arial"/>
          <w:color w:val="1A1A1A"/>
          <w:sz w:val="22"/>
          <w:szCs w:val="22"/>
        </w:rPr>
        <w:t xml:space="preserve">HHS publishes a bulletin modifying interpretation of the HIPAA Privacy Rule's minimum necessary standard. Your ingestion pipeline updates the relevant regulation node. The system then automatically runs: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Graph traversal to find all controls linked to that regulation node</w:t>
      </w:r>
    </w:p>
    <w:p>
      <w:pPr>
        <w:pStyle w:val="ListParagraph"/>
        <w:numPr>
          <w:ilvl w:val="0"/>
          <w:numId w:val="2"/>
        </w:numPr>
        <w:spacing w:before="60" w:after="60"/>
      </w:pPr>
      <w:r>
        <w:rPr>
          <w:rFonts w:ascii="Arial" w:cs="Arial" w:eastAsia="Arial" w:hAnsi="Arial"/>
          <w:color w:val="1A1A1A"/>
          <w:sz w:val="22"/>
          <w:szCs w:val="22"/>
        </w:rPr>
        <w:t xml:space="preserve">For each affected control, find all client policies implementing that control</w:t>
      </w:r>
    </w:p>
    <w:p>
      <w:pPr>
        <w:pStyle w:val="ListParagraph"/>
        <w:numPr>
          <w:ilvl w:val="0"/>
          <w:numId w:val="2"/>
        </w:numPr>
        <w:spacing w:before="60" w:after="60"/>
      </w:pPr>
      <w:r>
        <w:rPr>
          <w:rFonts w:ascii="Arial" w:cs="Arial" w:eastAsia="Arial" w:hAnsi="Arial"/>
          <w:color w:val="1A1A1A"/>
          <w:sz w:val="22"/>
          <w:szCs w:val="22"/>
        </w:rPr>
        <w:t xml:space="preserve">For each affected policy, find all evidence artifacts that may need re-collection</w:t>
      </w:r>
    </w:p>
    <w:p>
      <w:pPr>
        <w:pStyle w:val="ListParagraph"/>
        <w:numPr>
          <w:ilvl w:val="0"/>
          <w:numId w:val="2"/>
        </w:numPr>
        <w:spacing w:before="60" w:after="60"/>
      </w:pPr>
      <w:r>
        <w:rPr>
          <w:rFonts w:ascii="Arial" w:cs="Arial" w:eastAsia="Arial" w:hAnsi="Arial"/>
          <w:color w:val="1A1A1A"/>
          <w:sz w:val="22"/>
          <w:szCs w:val="22"/>
        </w:rPr>
        <w:t xml:space="preserve">Generate a client-by-client impact report showing exactly what each client needs to review</w:t>
      </w:r>
    </w:p>
    <w:p>
      <w:pPr>
        <w:spacing w:before="120" w:after="0"/>
      </w:pPr>
      <w:r>
        <w:t xml:space="preserve"/>
      </w:r>
    </w:p>
    <w:p>
      <w:pPr>
        <w:spacing w:before="80" w:after="80"/>
      </w:pPr>
      <w:r>
        <w:rPr>
          <w:rFonts w:ascii="Arial" w:cs="Arial" w:eastAsia="Arial" w:hAnsi="Arial"/>
          <w:color w:val="1A1A1A"/>
          <w:sz w:val="22"/>
          <w:szCs w:val="22"/>
        </w:rPr>
        <w:t xml:space="preserve">This process that would take a compliance consultant days to manually assess happens in seconds and is more thorough than manual review.</w:t>
      </w:r>
    </w:p>
    <w:p>
      <w:pPr>
        <w:pBdr>
          <w:bottom w:val="single" w:color="D6E4F0" w:sz="4" w:space="1"/>
        </w:pBdr>
        <w:spacing w:before="160" w:after="160"/>
      </w:pPr>
      <w:r>
        <w:t xml:space="preserve"/>
      </w:r>
    </w:p>
    <w:p>
      <w:r>
        <w:br w:type="page"/>
      </w:r>
    </w:p>
    <w:p>
      <w:pPr>
        <w:pStyle w:val="Heading1"/>
        <w:spacing w:before="360" w:after="120"/>
      </w:pPr>
      <w:r>
        <w:rPr>
          <w:rFonts w:ascii="Arial" w:cs="Arial" w:eastAsia="Arial" w:hAnsi="Arial"/>
          <w:b/>
          <w:bCs/>
          <w:color w:val="1F4E79"/>
          <w:sz w:val="36"/>
          <w:szCs w:val="36"/>
        </w:rPr>
        <w:t xml:space="preserve">System 3: Feedback Loop &amp; Learning Layer</w:t>
      </w:r>
    </w:p>
    <w:p>
      <w:pPr>
        <w:pStyle w:val="Heading2"/>
        <w:spacing w:before="280" w:after="100"/>
      </w:pPr>
      <w:r>
        <w:rPr>
          <w:rFonts w:ascii="Arial" w:cs="Arial" w:eastAsia="Arial" w:hAnsi="Arial"/>
          <w:b/>
          <w:bCs/>
          <w:color w:val="2E75B6"/>
          <w:sz w:val="28"/>
          <w:szCs w:val="28"/>
        </w:rPr>
        <w:t xml:space="preserve">What It Is</w:t>
      </w:r>
    </w:p>
    <w:p>
      <w:pPr>
        <w:spacing w:before="80" w:after="80"/>
      </w:pPr>
      <w:r>
        <w:rPr>
          <w:rFonts w:ascii="Arial" w:cs="Arial" w:eastAsia="Arial" w:hAnsi="Arial"/>
          <w:color w:val="1A1A1A"/>
          <w:sz w:val="22"/>
          <w:szCs w:val="22"/>
        </w:rPr>
        <w:t xml:space="preserve">This is the mechanism by which your system gets measurably smarter over time rather than remaining a static knowledge lookup tool. Every correction made by a compliance expert, every audit outcome, every client remediation result is captured as a training signal and fed back into the system to improve future assessments. This is the core of the compounding flywheel.</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How It Works Technically</w:t>
      </w:r>
    </w:p>
    <w:p>
      <w:pPr>
        <w:pStyle w:val="Heading3"/>
        <w:spacing w:before="200" w:after="80"/>
      </w:pPr>
      <w:r>
        <w:rPr>
          <w:rFonts w:ascii="Arial" w:cs="Arial" w:eastAsia="Arial" w:hAnsi="Arial"/>
          <w:b/>
          <w:bCs/>
          <w:color w:val="1F4E79"/>
          <w:sz w:val="24"/>
          <w:szCs w:val="24"/>
        </w:rPr>
        <w:t xml:space="preserve">Signal Capture Layer</w:t>
      </w:r>
    </w:p>
    <w:p>
      <w:pPr>
        <w:spacing w:before="80" w:after="80"/>
      </w:pPr>
      <w:r>
        <w:rPr>
          <w:rFonts w:ascii="Arial" w:cs="Arial" w:eastAsia="Arial" w:hAnsi="Arial"/>
          <w:color w:val="1A1A1A"/>
          <w:sz w:val="22"/>
          <w:szCs w:val="22"/>
        </w:rPr>
        <w:t xml:space="preserve">Every meaningful event in your platform generates a learning signal. You need to instrument these events from day one, even if you are not yet acting on them:</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Expert correction: A compliance professional reviews an AI-generated assessment and changes a finding. Capture: what the AI said, what the expert said, the regulatory context, the client configuration.</w:t>
      </w:r>
    </w:p>
    <w:p>
      <w:pPr>
        <w:pStyle w:val="ListParagraph"/>
        <w:numPr>
          <w:ilvl w:val="0"/>
          <w:numId w:val="2"/>
        </w:numPr>
        <w:spacing w:before="60" w:after="60"/>
      </w:pPr>
      <w:r>
        <w:rPr>
          <w:rFonts w:ascii="Arial" w:cs="Arial" w:eastAsia="Arial" w:hAnsi="Arial"/>
          <w:color w:val="1A1A1A"/>
          <w:sz w:val="22"/>
          <w:szCs w:val="22"/>
        </w:rPr>
        <w:t xml:space="preserve">Audit outcome: A client completes an external audit. Capture: which AI recommendations they followed, which they didn't, what the auditor found, pass/fail by control area.</w:t>
      </w:r>
    </w:p>
    <w:p>
      <w:pPr>
        <w:pStyle w:val="ListParagraph"/>
        <w:numPr>
          <w:ilvl w:val="0"/>
          <w:numId w:val="2"/>
        </w:numPr>
        <w:spacing w:before="60" w:after="60"/>
      </w:pPr>
      <w:r>
        <w:rPr>
          <w:rFonts w:ascii="Arial" w:cs="Arial" w:eastAsia="Arial" w:hAnsi="Arial"/>
          <w:color w:val="1A1A1A"/>
          <w:sz w:val="22"/>
          <w:szCs w:val="22"/>
        </w:rPr>
        <w:t xml:space="preserve">Client remediation: A client implements a recommended control. Capture: which recommendation triggered the action, how long implementation took, whether follow-up evidence satisfied the requirement.</w:t>
      </w:r>
    </w:p>
    <w:p>
      <w:pPr>
        <w:pStyle w:val="ListParagraph"/>
        <w:numPr>
          <w:ilvl w:val="0"/>
          <w:numId w:val="2"/>
        </w:numPr>
        <w:spacing w:before="60" w:after="60"/>
      </w:pPr>
      <w:r>
        <w:rPr>
          <w:rFonts w:ascii="Arial" w:cs="Arial" w:eastAsia="Arial" w:hAnsi="Arial"/>
          <w:color w:val="1A1A1A"/>
          <w:sz w:val="22"/>
          <w:szCs w:val="22"/>
        </w:rPr>
        <w:t xml:space="preserve">False positive: AI flagged a gap that an expert determined was not actually a gap. Capture: the full context so similar situations are handled correctly in future.</w:t>
      </w:r>
    </w:p>
    <w:p>
      <w:pPr>
        <w:pStyle w:val="ListParagraph"/>
        <w:numPr>
          <w:ilvl w:val="0"/>
          <w:numId w:val="2"/>
        </w:numPr>
        <w:spacing w:before="60" w:after="60"/>
      </w:pPr>
      <w:r>
        <w:rPr>
          <w:rFonts w:ascii="Arial" w:cs="Arial" w:eastAsia="Arial" w:hAnsi="Arial"/>
          <w:color w:val="1A1A1A"/>
          <w:sz w:val="22"/>
          <w:szCs w:val="22"/>
        </w:rPr>
        <w:t xml:space="preserve">False negative: A gap was missed by the AI but caught by an expert. Capture: what signals should have triggered the finding.</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The Corrections Database</w:t>
      </w:r>
    </w:p>
    <w:p>
      <w:pPr>
        <w:spacing w:before="80" w:after="80"/>
      </w:pPr>
      <w:r>
        <w:rPr>
          <w:rFonts w:ascii="Arial" w:cs="Arial" w:eastAsia="Arial" w:hAnsi="Arial"/>
          <w:color w:val="1A1A1A"/>
          <w:sz w:val="22"/>
          <w:szCs w:val="22"/>
        </w:rPr>
        <w:t xml:space="preserve">Corrections are stored as structured records, not just free-form notes. Each record contains the original AI output, the corrected output, the reasoning provided by the expert, the client configuration context, and the regulatory framework. This database serves two purposes: immediate retrieval (when a similar situation arises, the correction is surfaced as additional context) and periodic fine-tuning (when you have sufficient volume, corrections become training data).</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Retrieval-Weighted Feedback</w:t>
      </w:r>
    </w:p>
    <w:p>
      <w:pPr>
        <w:spacing w:before="80" w:after="80"/>
      </w:pPr>
      <w:r>
        <w:rPr>
          <w:rFonts w:ascii="Arial" w:cs="Arial" w:eastAsia="Arial" w:hAnsi="Arial"/>
          <w:color w:val="1A1A1A"/>
          <w:sz w:val="22"/>
          <w:szCs w:val="22"/>
        </w:rPr>
        <w:t xml:space="preserve">In the short term before you have enough data to fine-tune a model, you implement feedback through retrieval weighting. When the system generates a compliance assessment, it first queries the corrections database for similar historical situations. If a strong match is found, the correction is included in the prompt context alongside the regulatory chunks. The LLM effectively learns from the correction without any model retraining.</w:t>
      </w:r>
    </w:p>
    <w:p>
      <w:pPr>
        <w:spacing w:before="120" w:after="0"/>
      </w:pPr>
      <w:r>
        <w:t xml:space="preserve"/>
      </w:r>
    </w:p>
    <w:p>
      <w:pPr>
        <w:spacing w:before="80" w:after="80"/>
      </w:pPr>
      <w:r>
        <w:rPr>
          <w:rFonts w:ascii="Arial" w:cs="Arial" w:eastAsia="Arial" w:hAnsi="Arial"/>
          <w:color w:val="1A1A1A"/>
          <w:sz w:val="22"/>
          <w:szCs w:val="22"/>
        </w:rPr>
        <w:t xml:space="preserve">This approach is sometimes called few-shot learning with dynamic examples. It requires no ML infrastructure beyond your existing RAG setup and begins working from your very first correction.</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Outcome Tracking &amp; Closed-Loop Scoring</w:t>
      </w:r>
    </w:p>
    <w:p>
      <w:pPr>
        <w:spacing w:before="80" w:after="80"/>
      </w:pPr>
      <w:r>
        <w:rPr>
          <w:rFonts w:ascii="Arial" w:cs="Arial" w:eastAsia="Arial" w:hAnsi="Arial"/>
          <w:color w:val="1A1A1A"/>
          <w:sz w:val="22"/>
          <w:szCs w:val="22"/>
        </w:rPr>
        <w:t xml:space="preserve">Most compliance tools never know if their recommendations actually worked. You close this loop by maintaining a recommendation lifecycle tracker:</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Recommendation issued: tracked with confidence score and regulatory basis</w:t>
      </w:r>
    </w:p>
    <w:p>
      <w:pPr>
        <w:pStyle w:val="ListParagraph"/>
        <w:numPr>
          <w:ilvl w:val="0"/>
          <w:numId w:val="2"/>
        </w:numPr>
        <w:spacing w:before="60" w:after="60"/>
      </w:pPr>
      <w:r>
        <w:rPr>
          <w:rFonts w:ascii="Arial" w:cs="Arial" w:eastAsia="Arial" w:hAnsi="Arial"/>
          <w:color w:val="1A1A1A"/>
          <w:sz w:val="22"/>
          <w:szCs w:val="22"/>
        </w:rPr>
        <w:t xml:space="preserve">Client acknowledges: timestamp and responsible party</w:t>
      </w:r>
    </w:p>
    <w:p>
      <w:pPr>
        <w:pStyle w:val="ListParagraph"/>
        <w:numPr>
          <w:ilvl w:val="0"/>
          <w:numId w:val="2"/>
        </w:numPr>
        <w:spacing w:before="60" w:after="60"/>
      </w:pPr>
      <w:r>
        <w:rPr>
          <w:rFonts w:ascii="Arial" w:cs="Arial" w:eastAsia="Arial" w:hAnsi="Arial"/>
          <w:color w:val="1A1A1A"/>
          <w:sz w:val="22"/>
          <w:szCs w:val="22"/>
        </w:rPr>
        <w:t xml:space="preserve">Client implements: evidence artifact uploaded</w:t>
      </w:r>
    </w:p>
    <w:p>
      <w:pPr>
        <w:pStyle w:val="ListParagraph"/>
        <w:numPr>
          <w:ilvl w:val="0"/>
          <w:numId w:val="2"/>
        </w:numPr>
        <w:spacing w:before="60" w:after="60"/>
      </w:pPr>
      <w:r>
        <w:rPr>
          <w:rFonts w:ascii="Arial" w:cs="Arial" w:eastAsia="Arial" w:hAnsi="Arial"/>
          <w:color w:val="1A1A1A"/>
          <w:sz w:val="22"/>
          <w:szCs w:val="22"/>
        </w:rPr>
        <w:t xml:space="preserve">Evidence validated: AI + optional expert review</w:t>
      </w:r>
    </w:p>
    <w:p>
      <w:pPr>
        <w:pStyle w:val="ListParagraph"/>
        <w:numPr>
          <w:ilvl w:val="0"/>
          <w:numId w:val="2"/>
        </w:numPr>
        <w:spacing w:before="60" w:after="60"/>
      </w:pPr>
      <w:r>
        <w:rPr>
          <w:rFonts w:ascii="Arial" w:cs="Arial" w:eastAsia="Arial" w:hAnsi="Arial"/>
          <w:color w:val="1A1A1A"/>
          <w:sz w:val="22"/>
          <w:szCs w:val="22"/>
        </w:rPr>
        <w:t xml:space="preserve">Audit outcome: external auditor finding (pass/cite/observation)</w:t>
      </w:r>
    </w:p>
    <w:p>
      <w:pPr>
        <w:spacing w:before="120" w:after="0"/>
      </w:pPr>
      <w:r>
        <w:t xml:space="preserve"/>
      </w:r>
    </w:p>
    <w:p>
      <w:pPr>
        <w:spacing w:before="80" w:after="80"/>
      </w:pPr>
      <w:r>
        <w:rPr>
          <w:rFonts w:ascii="Arial" w:cs="Arial" w:eastAsia="Arial" w:hAnsi="Arial"/>
          <w:color w:val="1A1A1A"/>
          <w:sz w:val="22"/>
          <w:szCs w:val="22"/>
        </w:rPr>
        <w:t xml:space="preserve">Over time, this gives you empirical accuracy data by recommendation type, by industry, by company size, and by regulatory framework. You can tell a prospect: 'Our recommendations have a 94% first-pass audit success rate for healthcare companies with 10-50 employees.' No competitor has this data because they never built the loop.</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Event Capture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EventBridge + Lambda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Serverless event ingestion. Every platform action publishes an event. Lambda handlers process and store signals.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Corrections Database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PostgreSQL (JSONB columns)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Structured correction records with flexible context storage. Queryable for retrieval and analytics.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Signal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SQS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Decouples signal capture from processing. No signal is lost if processing is delayed.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Analytics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Amazon QuickSight or Metabase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Internal dashboards showing model accuracy trends, correction volumes, audit outcome rates.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Fine-tuning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Bedrock fine-tuning (future)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When correction volume reaches ~1000+ examples, periodic fine-tuning of your base model becomes viable.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Feature Store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AWS SageMaker Feature Store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Stores computed client features (industry, size, configuration profile) for consistent ML input across services.</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Expert Correction Improves Future Assessments</w:t>
      </w:r>
    </w:p>
    <w:p>
      <w:pPr>
        <w:spacing w:before="80" w:after="80"/>
      </w:pPr>
      <w:r>
        <w:rPr>
          <w:rFonts w:ascii="Arial" w:cs="Arial" w:eastAsia="Arial" w:hAnsi="Arial"/>
          <w:color w:val="1A1A1A"/>
          <w:sz w:val="22"/>
          <w:szCs w:val="22"/>
        </w:rPr>
        <w:t xml:space="preserve">Your AI assesses a dental practice's HIPAA compliance and flags their use of a cloud fax service as a potential gap because it involves ePHI transmission. A compliance expert reviews and notes that this particular service has a signed BAA and HIPAA-eligible infrastructure — not a gap. The expert logs the correction with the reasoning.</w:t>
      </w:r>
    </w:p>
    <w:p>
      <w:pPr>
        <w:spacing w:before="120" w:after="0"/>
      </w:pPr>
      <w:r>
        <w:t xml:space="preserve"/>
      </w:r>
    </w:p>
    <w:p>
      <w:pPr>
        <w:spacing w:before="80" w:after="80"/>
      </w:pPr>
      <w:r>
        <w:rPr>
          <w:rFonts w:ascii="Arial" w:cs="Arial" w:eastAsia="Arial" w:hAnsi="Arial"/>
          <w:color w:val="1A1A1A"/>
          <w:sz w:val="22"/>
          <w:szCs w:val="22"/>
        </w:rPr>
        <w:t xml:space="preserve">Six months later, a different dental client uses the same service. When the assessment runs, the corrections database returns the previous expert resolution as a high-confidence match. The AI correctly identifies this as a compliant configuration, cites the BAA requirement, and does not flag it as a gap. The expert's judgment, captured once, has now improved every future assessment involving that service. This compounds — each expert correction becomes institutional knowledge.</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Audit Outcome Drives Confidence Calibration</w:t>
      </w:r>
    </w:p>
    <w:p>
      <w:pPr>
        <w:spacing w:before="80" w:after="80"/>
      </w:pPr>
      <w:r>
        <w:rPr>
          <w:rFonts w:ascii="Arial" w:cs="Arial" w:eastAsia="Arial" w:hAnsi="Arial"/>
          <w:color w:val="1A1A1A"/>
          <w:sz w:val="22"/>
          <w:szCs w:val="22"/>
        </w:rPr>
        <w:t xml:space="preserve">After processing 50 client audits, you analyze outcomes by recommendation type. You discover that your access control recommendations have a 97% audit success rate, but your incident response plan recommendations have only a 78% rate — auditors keep finding gaps the AI didn't catch. This triggers a focused review: an expert audits the incident response recommendation logic, identifies that the AI is not accounting for state-specific breach notification timelines, and the correction is logged. The gap closes. Your incident response accuracy rate improves across all future assessments automatically.</w:t>
      </w:r>
    </w:p>
    <w:p>
      <w:pPr>
        <w:pBdr>
          <w:bottom w:val="single" w:color="D6E4F0" w:sz="4" w:space="1"/>
        </w:pBdr>
        <w:spacing w:before="160" w:after="160"/>
      </w:pPr>
      <w:r>
        <w:t xml:space="preserve"/>
      </w:r>
    </w:p>
    <w:p>
      <w:r>
        <w:br w:type="page"/>
      </w:r>
    </w:p>
    <w:p>
      <w:pPr>
        <w:pStyle w:val="Heading1"/>
        <w:spacing w:before="360" w:after="120"/>
      </w:pPr>
      <w:r>
        <w:rPr>
          <w:rFonts w:ascii="Arial" w:cs="Arial" w:eastAsia="Arial" w:hAnsi="Arial"/>
          <w:b/>
          <w:bCs/>
          <w:color w:val="1F4E79"/>
          <w:sz w:val="36"/>
          <w:szCs w:val="36"/>
        </w:rPr>
        <w:t xml:space="preserve">System 4: Cross-Client Pattern Detection with Privacy Preservation</w:t>
      </w:r>
    </w:p>
    <w:p>
      <w:pPr>
        <w:pStyle w:val="Heading2"/>
        <w:spacing w:before="280" w:after="100"/>
      </w:pPr>
      <w:r>
        <w:rPr>
          <w:rFonts w:ascii="Arial" w:cs="Arial" w:eastAsia="Arial" w:hAnsi="Arial"/>
          <w:b/>
          <w:bCs/>
          <w:color w:val="2E75B6"/>
          <w:sz w:val="28"/>
          <w:szCs w:val="28"/>
        </w:rPr>
        <w:t xml:space="preserve">What It Is</w:t>
      </w:r>
    </w:p>
    <w:p>
      <w:pPr>
        <w:spacing w:before="80" w:after="80"/>
      </w:pPr>
      <w:r>
        <w:rPr>
          <w:rFonts w:ascii="Arial" w:cs="Arial" w:eastAsia="Arial" w:hAnsi="Arial"/>
          <w:color w:val="1A1A1A"/>
          <w:sz w:val="22"/>
          <w:szCs w:val="22"/>
        </w:rPr>
        <w:t xml:space="preserve">This system allows your platform to learn from patterns across all clients simultaneously — identifying common compliance gaps, industry-specific risk clusters, and high-value intervention opportunities — without ever exposing one client's data to another or storing raw client information in shared systems. This is the Amazon flywheel in its most direct form: each new client makes the system smarter for every future client.</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The Privacy Challenge</w:t>
      </w:r>
    </w:p>
    <w:p>
      <w:pPr>
        <w:spacing w:before="80" w:after="80"/>
      </w:pPr>
      <w:r>
        <w:rPr>
          <w:rFonts w:ascii="Arial" w:cs="Arial" w:eastAsia="Arial" w:hAnsi="Arial"/>
          <w:color w:val="1A1A1A"/>
          <w:sz w:val="22"/>
          <w:szCs w:val="22"/>
        </w:rPr>
        <w:t xml:space="preserve">Healthcare compliance data is among the most sensitive data that exists. Your clients trust you with their vulnerability information — unpatched systems, policy gaps, incomplete training programs. A data breach or even a perception of cross-client data exposure would be catastrophic. The architecture must make privacy preservation structural, not just policy.</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How It Works Technically</w:t>
      </w:r>
    </w:p>
    <w:p>
      <w:pPr>
        <w:pStyle w:val="Heading3"/>
        <w:spacing w:before="200" w:after="80"/>
      </w:pPr>
      <w:r>
        <w:rPr>
          <w:rFonts w:ascii="Arial" w:cs="Arial" w:eastAsia="Arial" w:hAnsi="Arial"/>
          <w:b/>
          <w:bCs/>
          <w:color w:val="1F4E79"/>
          <w:sz w:val="24"/>
          <w:szCs w:val="24"/>
        </w:rPr>
        <w:t xml:space="preserve">Abstraction Before Aggregation</w:t>
      </w:r>
    </w:p>
    <w:p>
      <w:pPr>
        <w:spacing w:before="80" w:after="80"/>
      </w:pPr>
      <w:r>
        <w:rPr>
          <w:rFonts w:ascii="Arial" w:cs="Arial" w:eastAsia="Arial" w:hAnsi="Arial"/>
          <w:color w:val="1A1A1A"/>
          <w:sz w:val="22"/>
          <w:szCs w:val="22"/>
        </w:rPr>
        <w:t xml:space="preserve">The core principle is that raw client data never enters the shared learning layer. Before any client information can contribute to cross-client learning, it is abstracted into a pattern record that contains no identifying information:</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Raw: 'Acme Medical Group, 12 employees, Chicago IL, uses Epic EHR, has not conducted HIPAA training in 18 months, no documented sanction policy'</w:t>
      </w:r>
    </w:p>
    <w:p>
      <w:pPr>
        <w:pStyle w:val="ListParagraph"/>
        <w:numPr>
          <w:ilvl w:val="0"/>
          <w:numId w:val="2"/>
        </w:numPr>
        <w:spacing w:before="60" w:after="60"/>
      </w:pPr>
      <w:r>
        <w:rPr>
          <w:rFonts w:ascii="Arial" w:cs="Arial" w:eastAsia="Arial" w:hAnsi="Arial"/>
          <w:color w:val="1A1A1A"/>
          <w:sz w:val="22"/>
          <w:szCs w:val="22"/>
        </w:rPr>
        <w:t xml:space="preserve">Abstracted: '{industry: healthcare, size_bucket: 10-25, ehr_type: enterprise, training_gap_months: 12-24, missing_controls: [sanction_policy, workforce_training]}'</w:t>
      </w:r>
    </w:p>
    <w:p>
      <w:pPr>
        <w:spacing w:before="120" w:after="0"/>
      </w:pPr>
      <w:r>
        <w:t xml:space="preserve"/>
      </w:r>
    </w:p>
    <w:p>
      <w:pPr>
        <w:spacing w:before="80" w:after="80"/>
      </w:pPr>
      <w:r>
        <w:rPr>
          <w:rFonts w:ascii="Arial" w:cs="Arial" w:eastAsia="Arial" w:hAnsi="Arial"/>
          <w:color w:val="1A1A1A"/>
          <w:sz w:val="22"/>
          <w:szCs w:val="22"/>
        </w:rPr>
        <w:t xml:space="preserve">The abstracted pattern is what enters the shared pattern library. The raw record stays isolated in that client's encrypted data partition. An attacker who gained access to the pattern library would find no PII and no client-identifying information.</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Pattern Library Architecture</w:t>
      </w:r>
    </w:p>
    <w:p>
      <w:pPr>
        <w:spacing w:before="80" w:after="80"/>
      </w:pPr>
      <w:r>
        <w:rPr>
          <w:rFonts w:ascii="Arial" w:cs="Arial" w:eastAsia="Arial" w:hAnsi="Arial"/>
          <w:color w:val="1A1A1A"/>
          <w:sz w:val="22"/>
          <w:szCs w:val="22"/>
        </w:rPr>
        <w:t xml:space="preserve">The pattern library is a structured database of compliance gap configurations with frequency statistics and outcome data. Each pattern record contains: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Industry vertical and company size bucket</w:t>
      </w:r>
    </w:p>
    <w:p>
      <w:pPr>
        <w:pStyle w:val="ListParagraph"/>
        <w:numPr>
          <w:ilvl w:val="0"/>
          <w:numId w:val="2"/>
        </w:numPr>
        <w:spacing w:before="60" w:after="60"/>
      </w:pPr>
      <w:r>
        <w:rPr>
          <w:rFonts w:ascii="Arial" w:cs="Arial" w:eastAsia="Arial" w:hAnsi="Arial"/>
          <w:color w:val="1A1A1A"/>
          <w:sz w:val="22"/>
          <w:szCs w:val="22"/>
        </w:rPr>
        <w:t xml:space="preserve">Technology stack profile (EHR type, cloud provider, communication tools)</w:t>
      </w:r>
    </w:p>
    <w:p>
      <w:pPr>
        <w:pStyle w:val="ListParagraph"/>
        <w:numPr>
          <w:ilvl w:val="0"/>
          <w:numId w:val="2"/>
        </w:numPr>
        <w:spacing w:before="60" w:after="60"/>
      </w:pPr>
      <w:r>
        <w:rPr>
          <w:rFonts w:ascii="Arial" w:cs="Arial" w:eastAsia="Arial" w:hAnsi="Arial"/>
          <w:color w:val="1A1A1A"/>
          <w:sz w:val="22"/>
          <w:szCs w:val="22"/>
        </w:rPr>
        <w:t xml:space="preserve">Set of missing controls or policy gaps</w:t>
      </w:r>
    </w:p>
    <w:p>
      <w:pPr>
        <w:pStyle w:val="ListParagraph"/>
        <w:numPr>
          <w:ilvl w:val="0"/>
          <w:numId w:val="2"/>
        </w:numPr>
        <w:spacing w:before="60" w:after="60"/>
      </w:pPr>
      <w:r>
        <w:rPr>
          <w:rFonts w:ascii="Arial" w:cs="Arial" w:eastAsia="Arial" w:hAnsi="Arial"/>
          <w:color w:val="1A1A1A"/>
          <w:sz w:val="22"/>
          <w:szCs w:val="22"/>
        </w:rPr>
        <w:t xml:space="preserve">Frequency: how many clients in this configuration have shown this gap</w:t>
      </w:r>
    </w:p>
    <w:p>
      <w:pPr>
        <w:pStyle w:val="ListParagraph"/>
        <w:numPr>
          <w:ilvl w:val="0"/>
          <w:numId w:val="2"/>
        </w:numPr>
        <w:spacing w:before="60" w:after="60"/>
      </w:pPr>
      <w:r>
        <w:rPr>
          <w:rFonts w:ascii="Arial" w:cs="Arial" w:eastAsia="Arial" w:hAnsi="Arial"/>
          <w:color w:val="1A1A1A"/>
          <w:sz w:val="22"/>
          <w:szCs w:val="22"/>
        </w:rPr>
        <w:t xml:space="preserve">Severity weighting: based on audit outcomes</w:t>
      </w:r>
    </w:p>
    <w:p>
      <w:pPr>
        <w:pStyle w:val="ListParagraph"/>
        <w:numPr>
          <w:ilvl w:val="0"/>
          <w:numId w:val="2"/>
        </w:numPr>
        <w:spacing w:before="60" w:after="60"/>
      </w:pPr>
      <w:r>
        <w:rPr>
          <w:rFonts w:ascii="Arial" w:cs="Arial" w:eastAsia="Arial" w:hAnsi="Arial"/>
          <w:color w:val="1A1A1A"/>
          <w:sz w:val="22"/>
          <w:szCs w:val="22"/>
        </w:rPr>
        <w:t xml:space="preserve">Remediation success rate: how often the recommended fix actually worked</w:t>
      </w:r>
    </w:p>
    <w:p>
      <w:pPr>
        <w:spacing w:before="120" w:after="0"/>
      </w:pPr>
      <w:r>
        <w:t xml:space="preserve"/>
      </w:r>
    </w:p>
    <w:p>
      <w:pPr>
        <w:spacing w:before="80" w:after="80"/>
      </w:pPr>
      <w:r>
        <w:rPr>
          <w:rFonts w:ascii="Arial" w:cs="Arial" w:eastAsia="Arial" w:hAnsi="Arial"/>
          <w:color w:val="1A1A1A"/>
          <w:sz w:val="22"/>
          <w:szCs w:val="22"/>
        </w:rPr>
        <w:t xml:space="preserve">When a new client is assessed, their configuration profile is matched against the pattern library. The system surfaces: 'Companies with your configuration commonly have these three additional gaps that aren't immediately visible in your questionnaire responses.' These proactive findings are high-value discoveries that feel like expert intuition but are actually pattern-matched intelligence.</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Differential Privacy for Statistical Outputs</w:t>
      </w:r>
    </w:p>
    <w:p>
      <w:pPr>
        <w:spacing w:before="80" w:after="80"/>
      </w:pPr>
      <w:r>
        <w:rPr>
          <w:rFonts w:ascii="Arial" w:cs="Arial" w:eastAsia="Arial" w:hAnsi="Arial"/>
          <w:color w:val="1A1A1A"/>
          <w:sz w:val="22"/>
          <w:szCs w:val="22"/>
        </w:rPr>
        <w:t xml:space="preserve">When you expose aggregate statistics — 'X% of healthcare companies have this gap' — you add controlled statistical noise using differential privacy techniques. This prevents reverse-engineering of individual client data from aggregate outputs. Libraries like Apple's differential privacy toolkit or Google's DP library make this straightforward to implement without deep cryptography expertise.</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 Data 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RDS with row-level security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Each client's raw data is cryptographically isolated. Cross-client queries are structurally impossible at the database layer.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Pattern Library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PostgreSQL with JSONB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Flexible schema for pattern records. Aggregation queries are fast and auditable.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Abstraction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Python Lambda functions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Transformation logic that converts raw assessments to abstract patterns. Auditable code that reviewers can verify contains no PII leakage.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Differential Privacy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Google DP Library (Python)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Adds calibrated noise to aggregate statistics before exposure. Open-source, well-audited.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Encryption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KMS with per-client keys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Each client's data is encrypted with a unique KMS key. Even internal engineers cannot query across client data without key escalation.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Audit Logging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AWS CloudTrail + CloudWatch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Every data access is logged. Required for your own HIPAA compliance as a business associate.</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Proactive Gap Discovery for New Clients</w:t>
      </w:r>
    </w:p>
    <w:p>
      <w:pPr>
        <w:spacing w:before="80" w:after="80"/>
      </w:pPr>
      <w:r>
        <w:rPr>
          <w:rFonts w:ascii="Arial" w:cs="Arial" w:eastAsia="Arial" w:hAnsi="Arial"/>
          <w:color w:val="1A1A1A"/>
          <w:sz w:val="22"/>
          <w:szCs w:val="22"/>
        </w:rPr>
        <w:t xml:space="preserve">A new pediatric dental group onboards. Their questionnaire responses look reasonably solid — they have a BAA process, basic access controls, and some training documentation. A human consultant reviewing only their responses might give them a moderate compliance score.</w:t>
      </w:r>
    </w:p>
    <w:p>
      <w:pPr>
        <w:spacing w:before="120" w:after="0"/>
      </w:pPr>
      <w:r>
        <w:t xml:space="preserve"/>
      </w:r>
    </w:p>
    <w:p>
      <w:pPr>
        <w:spacing w:before="80" w:after="80"/>
      </w:pPr>
      <w:r>
        <w:rPr>
          <w:rFonts w:ascii="Arial" w:cs="Arial" w:eastAsia="Arial" w:hAnsi="Arial"/>
          <w:color w:val="1A1A1A"/>
          <w:sz w:val="22"/>
          <w:szCs w:val="22"/>
        </w:rPr>
        <w:t xml:space="preserve">Your pattern library, however, has processed 40 previous clients in the dental/pediatric configuration. It knows that 73% of clients in this profile have a gap in their medical device security documentation (X-ray machines, digital imaging systems are often overlooked as network-connected devices containing ePHI). The new client didn't mention this because they didn't know to mention it.</w:t>
      </w:r>
    </w:p>
    <w:p>
      <w:pPr>
        <w:spacing w:before="120" w:after="0"/>
      </w:pPr>
      <w:r>
        <w:t xml:space="preserve"/>
      </w:r>
    </w:p>
    <w:p>
      <w:pPr>
        <w:spacing w:before="80" w:after="80"/>
      </w:pPr>
      <w:r>
        <w:rPr>
          <w:rFonts w:ascii="Arial" w:cs="Arial" w:eastAsia="Arial" w:hAnsi="Arial"/>
          <w:color w:val="1A1A1A"/>
          <w:sz w:val="22"/>
          <w:szCs w:val="22"/>
        </w:rPr>
        <w:t xml:space="preserve">The system surfaces this as a high-confidence proactive finding before the client even realizes it's a risk. The client's experience is: 'How did you know to look for that?' The answer is pattern intelligence from 40 prior assessments — without any of those clients' data being exposed.</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Industry Benchmark Reporting</w:t>
      </w:r>
    </w:p>
    <w:p>
      <w:pPr>
        <w:spacing w:before="80" w:after="80"/>
      </w:pPr>
      <w:r>
        <w:rPr>
          <w:rFonts w:ascii="Arial" w:cs="Arial" w:eastAsia="Arial" w:hAnsi="Arial"/>
          <w:color w:val="1A1A1A"/>
          <w:sz w:val="22"/>
          <w:szCs w:val="22"/>
        </w:rPr>
        <w:t xml:space="preserve">Your compliance dashboard shows each client how their posture compares to peers in their industry and size segment, using privacy-preserved aggregate statistics. A client sees: 'Your access control maturity is in the top 30% of healthcare companies with 10-25 employees. Your incident response planning is below median — 68% of similar companies have a tested IRP while you do not.'</w:t>
      </w:r>
    </w:p>
    <w:p>
      <w:pPr>
        <w:spacing w:before="120" w:after="0"/>
      </w:pPr>
      <w:r>
        <w:t xml:space="preserve"/>
      </w:r>
    </w:p>
    <w:p>
      <w:pPr>
        <w:spacing w:before="80" w:after="80"/>
      </w:pPr>
      <w:r>
        <w:rPr>
          <w:rFonts w:ascii="Arial" w:cs="Arial" w:eastAsia="Arial" w:hAnsi="Arial"/>
          <w:color w:val="1A1A1A"/>
          <w:sz w:val="22"/>
          <w:szCs w:val="22"/>
        </w:rPr>
        <w:t xml:space="preserve">This benchmarking is a powerful retention and upsell driver. It makes abstract compliance requirements concrete and competitive. It also adds a network effect: the more clients you have, the more accurate and valuable the benchmarks become, which makes the product more valuable to every client, which helps you acquire more clients. This is the flywheel.</w:t>
      </w:r>
    </w:p>
    <w:p>
      <w:pPr>
        <w:pBdr>
          <w:bottom w:val="single" w:color="D6E4F0" w:sz="4" w:space="1"/>
        </w:pBdr>
        <w:spacing w:before="160" w:after="160"/>
      </w:pPr>
      <w:r>
        <w:t xml:space="preserve"/>
      </w:r>
    </w:p>
    <w:p>
      <w:r>
        <w:br w:type="page"/>
      </w:r>
    </w:p>
    <w:p>
      <w:pPr>
        <w:pStyle w:val="Heading1"/>
        <w:spacing w:before="360" w:after="120"/>
      </w:pPr>
      <w:r>
        <w:rPr>
          <w:rFonts w:ascii="Arial" w:cs="Arial" w:eastAsia="Arial" w:hAnsi="Arial"/>
          <w:b/>
          <w:bCs/>
          <w:color w:val="1F4E79"/>
          <w:sz w:val="36"/>
          <w:szCs w:val="36"/>
        </w:rPr>
        <w:t xml:space="preserve">System 5: Regulatory Event Stream &amp; Continuous Monitoring</w:t>
      </w:r>
    </w:p>
    <w:p>
      <w:pPr>
        <w:pStyle w:val="Heading2"/>
        <w:spacing w:before="280" w:after="100"/>
      </w:pPr>
      <w:r>
        <w:rPr>
          <w:rFonts w:ascii="Arial" w:cs="Arial" w:eastAsia="Arial" w:hAnsi="Arial"/>
          <w:b/>
          <w:bCs/>
          <w:color w:val="2E75B6"/>
          <w:sz w:val="28"/>
          <w:szCs w:val="28"/>
        </w:rPr>
        <w:t xml:space="preserve">What It Is</w:t>
      </w:r>
    </w:p>
    <w:p>
      <w:pPr>
        <w:spacing w:before="80" w:after="80"/>
      </w:pPr>
      <w:r>
        <w:rPr>
          <w:rFonts w:ascii="Arial" w:cs="Arial" w:eastAsia="Arial" w:hAnsi="Arial"/>
          <w:color w:val="1A1A1A"/>
          <w:sz w:val="22"/>
          <w:szCs w:val="22"/>
        </w:rPr>
        <w:t xml:space="preserve">Compliance is not a state you achieve — it is a state you maintain continuously against a regulatory landscape that never stops changing. This system treats compliance as a real-time event stream rather than an annual audit snapshot. It monitors regulatory sources continuously, maps every change to affected clients automatically, and makes compliance drift visible before it becomes a violation.</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The Problem It Solves</w:t>
      </w:r>
    </w:p>
    <w:p>
      <w:pPr>
        <w:spacing w:before="80" w:after="80"/>
      </w:pPr>
      <w:r>
        <w:rPr>
          <w:rFonts w:ascii="Arial" w:cs="Arial" w:eastAsia="Arial" w:hAnsi="Arial"/>
          <w:color w:val="1A1A1A"/>
          <w:sz w:val="22"/>
          <w:szCs w:val="22"/>
        </w:rPr>
        <w:t xml:space="preserve">Today, most SMBs achieve HIPAA compliance once and then drift. A new employee joins and doesn't get trained. A vendor relationship changes and the BAA isn't updated. HHS issues guidance that modifies an interpretation and nobody notices until the audit. The gap between audits — typically 12 months — is where violations incubate. Your continuous monitoring system collapses that gap to hours.</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How It Works Technically</w:t>
      </w:r>
    </w:p>
    <w:p>
      <w:pPr>
        <w:pStyle w:val="Heading3"/>
        <w:spacing w:before="200" w:after="80"/>
      </w:pPr>
      <w:r>
        <w:rPr>
          <w:rFonts w:ascii="Arial" w:cs="Arial" w:eastAsia="Arial" w:hAnsi="Arial"/>
          <w:b/>
          <w:bCs/>
          <w:color w:val="1F4E79"/>
          <w:sz w:val="24"/>
          <w:szCs w:val="24"/>
        </w:rPr>
        <w:t xml:space="preserve">Regulatory Source Monitoring</w:t>
      </w:r>
    </w:p>
    <w:p>
      <w:pPr>
        <w:spacing w:before="80" w:after="80"/>
      </w:pPr>
      <w:r>
        <w:rPr>
          <w:rFonts w:ascii="Arial" w:cs="Arial" w:eastAsia="Arial" w:hAnsi="Arial"/>
          <w:color w:val="1A1A1A"/>
          <w:sz w:val="22"/>
          <w:szCs w:val="22"/>
        </w:rPr>
        <w:t xml:space="preserve">A set of scrapers and API integrations continuously monitor official regulatory sources: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HHS Office for Civil Rights: hhs.gov/hipaa — new guidance, enforcement actions, FAQs</w:t>
      </w:r>
    </w:p>
    <w:p>
      <w:pPr>
        <w:pStyle w:val="ListParagraph"/>
        <w:numPr>
          <w:ilvl w:val="0"/>
          <w:numId w:val="2"/>
        </w:numPr>
        <w:spacing w:before="60" w:after="60"/>
      </w:pPr>
      <w:r>
        <w:rPr>
          <w:rFonts w:ascii="Arial" w:cs="Arial" w:eastAsia="Arial" w:hAnsi="Arial"/>
          <w:color w:val="1A1A1A"/>
          <w:sz w:val="22"/>
          <w:szCs w:val="22"/>
        </w:rPr>
        <w:t xml:space="preserve">NIST: nvlpubs.nist.gov — framework updates, special publications</w:t>
      </w:r>
    </w:p>
    <w:p>
      <w:pPr>
        <w:pStyle w:val="ListParagraph"/>
        <w:numPr>
          <w:ilvl w:val="0"/>
          <w:numId w:val="2"/>
        </w:numPr>
        <w:spacing w:before="60" w:after="60"/>
      </w:pPr>
      <w:r>
        <w:rPr>
          <w:rFonts w:ascii="Arial" w:cs="Arial" w:eastAsia="Arial" w:hAnsi="Arial"/>
          <w:color w:val="1A1A1A"/>
          <w:sz w:val="22"/>
          <w:szCs w:val="22"/>
        </w:rPr>
        <w:t xml:space="preserve">State health department portals — state-specific breach notification law changes</w:t>
      </w:r>
    </w:p>
    <w:p>
      <w:pPr>
        <w:pStyle w:val="ListParagraph"/>
        <w:numPr>
          <w:ilvl w:val="0"/>
          <w:numId w:val="2"/>
        </w:numPr>
        <w:spacing w:before="60" w:after="60"/>
      </w:pPr>
      <w:r>
        <w:rPr>
          <w:rFonts w:ascii="Arial" w:cs="Arial" w:eastAsia="Arial" w:hAnsi="Arial"/>
          <w:color w:val="1A1A1A"/>
          <w:sz w:val="22"/>
          <w:szCs w:val="22"/>
        </w:rPr>
        <w:t xml:space="preserve">Federal Register — proposed and final rules with compliance effective dates</w:t>
      </w:r>
    </w:p>
    <w:p>
      <w:pPr>
        <w:pStyle w:val="ListParagraph"/>
        <w:numPr>
          <w:ilvl w:val="0"/>
          <w:numId w:val="2"/>
        </w:numPr>
        <w:spacing w:before="60" w:after="60"/>
      </w:pPr>
      <w:r>
        <w:rPr>
          <w:rFonts w:ascii="Arial" w:cs="Arial" w:eastAsia="Arial" w:hAnsi="Arial"/>
          <w:color w:val="1A1A1A"/>
          <w:sz w:val="22"/>
          <w:szCs w:val="22"/>
        </w:rPr>
        <w:t xml:space="preserve">HHS Enforcement Database — breach reports and settlement details (valuable for pattern learning)</w:t>
      </w:r>
    </w:p>
    <w:p>
      <w:pPr>
        <w:spacing w:before="120" w:after="0"/>
      </w:pPr>
      <w:r>
        <w:t xml:space="preserve"/>
      </w:r>
    </w:p>
    <w:p>
      <w:pPr>
        <w:spacing w:before="80" w:after="80"/>
      </w:pPr>
      <w:r>
        <w:rPr>
          <w:rFonts w:ascii="Arial" w:cs="Arial" w:eastAsia="Arial" w:hAnsi="Arial"/>
          <w:color w:val="1A1A1A"/>
          <w:sz w:val="22"/>
          <w:szCs w:val="22"/>
        </w:rPr>
        <w:t xml:space="preserve">Changes are detected via content hash comparison — the system stores a hash of each monitored page and document. When the hash changes, a change event is published to the event stream. This is more reliable than date-based monitoring which misses retroactive corrections.</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Event Stream Architecture</w:t>
      </w:r>
    </w:p>
    <w:p>
      <w:pPr>
        <w:spacing w:before="80" w:after="80"/>
      </w:pPr>
      <w:r>
        <w:rPr>
          <w:rFonts w:ascii="Arial" w:cs="Arial" w:eastAsia="Arial" w:hAnsi="Arial"/>
          <w:color w:val="1A1A1A"/>
          <w:sz w:val="22"/>
          <w:szCs w:val="22"/>
        </w:rPr>
        <w:t xml:space="preserve">The event stream is built on a pub/sub pattern. Regulatory source monitors are producers. Multiple consumer services subscribe to relevant events: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Knowledge base updater: ingests new documents into RAG</w:t>
      </w:r>
    </w:p>
    <w:p>
      <w:pPr>
        <w:pStyle w:val="ListParagraph"/>
        <w:numPr>
          <w:ilvl w:val="0"/>
          <w:numId w:val="2"/>
        </w:numPr>
        <w:spacing w:before="60" w:after="60"/>
      </w:pPr>
      <w:r>
        <w:rPr>
          <w:rFonts w:ascii="Arial" w:cs="Arial" w:eastAsia="Arial" w:hAnsi="Arial"/>
          <w:color w:val="1A1A1A"/>
          <w:sz w:val="22"/>
          <w:szCs w:val="22"/>
        </w:rPr>
        <w:t xml:space="preserve">Graph updater: modifies affected nodes in the knowledge graph</w:t>
      </w:r>
    </w:p>
    <w:p>
      <w:pPr>
        <w:pStyle w:val="ListParagraph"/>
        <w:numPr>
          <w:ilvl w:val="0"/>
          <w:numId w:val="2"/>
        </w:numPr>
        <w:spacing w:before="60" w:after="60"/>
      </w:pPr>
      <w:r>
        <w:rPr>
          <w:rFonts w:ascii="Arial" w:cs="Arial" w:eastAsia="Arial" w:hAnsi="Arial"/>
          <w:color w:val="1A1A1A"/>
          <w:sz w:val="22"/>
          <w:szCs w:val="22"/>
        </w:rPr>
        <w:t xml:space="preserve">Client impact analyzer: runs graph traversal to identify affected clients</w:t>
      </w:r>
    </w:p>
    <w:p>
      <w:pPr>
        <w:pStyle w:val="ListParagraph"/>
        <w:numPr>
          <w:ilvl w:val="0"/>
          <w:numId w:val="2"/>
        </w:numPr>
        <w:spacing w:before="60" w:after="60"/>
      </w:pPr>
      <w:r>
        <w:rPr>
          <w:rFonts w:ascii="Arial" w:cs="Arial" w:eastAsia="Arial" w:hAnsi="Arial"/>
          <w:color w:val="1A1A1A"/>
          <w:sz w:val="22"/>
          <w:szCs w:val="22"/>
        </w:rPr>
        <w:t xml:space="preserve">Notification generator: creates client-specific change summaries</w:t>
      </w:r>
    </w:p>
    <w:p>
      <w:pPr>
        <w:pStyle w:val="ListParagraph"/>
        <w:numPr>
          <w:ilvl w:val="0"/>
          <w:numId w:val="2"/>
        </w:numPr>
        <w:spacing w:before="60" w:after="60"/>
      </w:pPr>
      <w:r>
        <w:rPr>
          <w:rFonts w:ascii="Arial" w:cs="Arial" w:eastAsia="Arial" w:hAnsi="Arial"/>
          <w:color w:val="1A1A1A"/>
          <w:sz w:val="22"/>
          <w:szCs w:val="22"/>
        </w:rPr>
        <w:t xml:space="preserve">Pattern library updater: adds new enforcement actions as pattern signals</w:t>
      </w:r>
    </w:p>
    <w:p>
      <w:pPr>
        <w:spacing w:before="120" w:after="0"/>
      </w:pPr>
      <w:r>
        <w:t xml:space="preserve"/>
      </w:r>
    </w:p>
    <w:p>
      <w:pPr>
        <w:spacing w:before="80" w:after="80"/>
      </w:pPr>
      <w:r>
        <w:rPr>
          <w:rFonts w:ascii="Arial" w:cs="Arial" w:eastAsia="Arial" w:hAnsi="Arial"/>
          <w:color w:val="1A1A1A"/>
          <w:sz w:val="22"/>
          <w:szCs w:val="22"/>
        </w:rPr>
        <w:t xml:space="preserve">This decoupled architecture means each consumer can process events independently at its own pace. A slowdown in notification generation doesn't block knowledge base updates.</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Client Compliance State Machine</w:t>
      </w:r>
    </w:p>
    <w:p>
      <w:pPr>
        <w:spacing w:before="80" w:after="80"/>
      </w:pPr>
      <w:r>
        <w:rPr>
          <w:rFonts w:ascii="Arial" w:cs="Arial" w:eastAsia="Arial" w:hAnsi="Arial"/>
          <w:color w:val="1A1A1A"/>
          <w:sz w:val="22"/>
          <w:szCs w:val="22"/>
        </w:rPr>
        <w:t xml:space="preserve">Each client has a compliance state model — not a static score but a live state machine where each control has a current status: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Compliant: control implemented and evidence current</w:t>
      </w:r>
    </w:p>
    <w:p>
      <w:pPr>
        <w:pStyle w:val="ListParagraph"/>
        <w:numPr>
          <w:ilvl w:val="0"/>
          <w:numId w:val="2"/>
        </w:numPr>
        <w:spacing w:before="60" w:after="60"/>
      </w:pPr>
      <w:r>
        <w:rPr>
          <w:rFonts w:ascii="Arial" w:cs="Arial" w:eastAsia="Arial" w:hAnsi="Arial"/>
          <w:color w:val="1A1A1A"/>
          <w:sz w:val="22"/>
          <w:szCs w:val="22"/>
        </w:rPr>
        <w:t xml:space="preserve">Evidence aging: control implemented but evidence documentation approaching expiration</w:t>
      </w:r>
    </w:p>
    <w:p>
      <w:pPr>
        <w:pStyle w:val="ListParagraph"/>
        <w:numPr>
          <w:ilvl w:val="0"/>
          <w:numId w:val="2"/>
        </w:numPr>
        <w:spacing w:before="60" w:after="60"/>
      </w:pPr>
      <w:r>
        <w:rPr>
          <w:rFonts w:ascii="Arial" w:cs="Arial" w:eastAsia="Arial" w:hAnsi="Arial"/>
          <w:color w:val="1A1A1A"/>
          <w:sz w:val="22"/>
          <w:szCs w:val="22"/>
        </w:rPr>
        <w:t xml:space="preserve">Regulatory drift: control was compliant but regulatory interpretation has changed</w:t>
      </w:r>
    </w:p>
    <w:p>
      <w:pPr>
        <w:pStyle w:val="ListParagraph"/>
        <w:numPr>
          <w:ilvl w:val="0"/>
          <w:numId w:val="2"/>
        </w:numPr>
        <w:spacing w:before="60" w:after="60"/>
      </w:pPr>
      <w:r>
        <w:rPr>
          <w:rFonts w:ascii="Arial" w:cs="Arial" w:eastAsia="Arial" w:hAnsi="Arial"/>
          <w:color w:val="1A1A1A"/>
          <w:sz w:val="22"/>
          <w:szCs w:val="22"/>
        </w:rPr>
        <w:t xml:space="preserve">Gap: control not implemented</w:t>
      </w:r>
    </w:p>
    <w:p>
      <w:pPr>
        <w:pStyle w:val="ListParagraph"/>
        <w:numPr>
          <w:ilvl w:val="0"/>
          <w:numId w:val="2"/>
        </w:numPr>
        <w:spacing w:before="60" w:after="60"/>
      </w:pPr>
      <w:r>
        <w:rPr>
          <w:rFonts w:ascii="Arial" w:cs="Arial" w:eastAsia="Arial" w:hAnsi="Arial"/>
          <w:color w:val="1A1A1A"/>
          <w:sz w:val="22"/>
          <w:szCs w:val="22"/>
        </w:rPr>
        <w:t xml:space="preserve">Pending: remediation in progress</w:t>
      </w:r>
    </w:p>
    <w:p>
      <w:pPr>
        <w:spacing w:before="120" w:after="0"/>
      </w:pPr>
      <w:r>
        <w:t xml:space="preserve"/>
      </w:r>
    </w:p>
    <w:p>
      <w:pPr>
        <w:spacing w:before="80" w:after="80"/>
      </w:pPr>
      <w:r>
        <w:rPr>
          <w:rFonts w:ascii="Arial" w:cs="Arial" w:eastAsia="Arial" w:hAnsi="Arial"/>
          <w:color w:val="1A1A1A"/>
          <w:sz w:val="22"/>
          <w:szCs w:val="22"/>
        </w:rPr>
        <w:t xml:space="preserve">The state machine transitions are triggered by events: evidence uploads, regulatory changes, time-based expiration rules, and expert reviews. At any moment, your system knows the exact compliance state of every client without requiring them to log in or take any action. This is fundamentally different from tools that only know compliance state when the client actively uses the platform.</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Alerting Logic</w:t>
      </w:r>
    </w:p>
    <w:p>
      <w:pPr>
        <w:spacing w:before="80" w:after="80"/>
      </w:pPr>
      <w:r>
        <w:rPr>
          <w:rFonts w:ascii="Arial" w:cs="Arial" w:eastAsia="Arial" w:hAnsi="Arial"/>
          <w:color w:val="1A1A1A"/>
          <w:sz w:val="22"/>
          <w:szCs w:val="22"/>
        </w:rPr>
        <w:t xml:space="preserve">Not all regulatory changes require client action. The alerting logic must distinguish between:</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Informational: regulatory clarification that doesn't change compliance requirements for existing implementations</w:t>
      </w:r>
    </w:p>
    <w:p>
      <w:pPr>
        <w:pStyle w:val="ListParagraph"/>
        <w:numPr>
          <w:ilvl w:val="0"/>
          <w:numId w:val="2"/>
        </w:numPr>
        <w:spacing w:before="60" w:after="60"/>
      </w:pPr>
      <w:r>
        <w:rPr>
          <w:rFonts w:ascii="Arial" w:cs="Arial" w:eastAsia="Arial" w:hAnsi="Arial"/>
          <w:color w:val="1A1A1A"/>
          <w:sz w:val="22"/>
          <w:szCs w:val="22"/>
        </w:rPr>
        <w:t xml:space="preserve">Advisory: change that may affect some clients depending on their specific configuration</w:t>
      </w:r>
    </w:p>
    <w:p>
      <w:pPr>
        <w:pStyle w:val="ListParagraph"/>
        <w:numPr>
          <w:ilvl w:val="0"/>
          <w:numId w:val="2"/>
        </w:numPr>
        <w:spacing w:before="60" w:after="60"/>
      </w:pPr>
      <w:r>
        <w:rPr>
          <w:rFonts w:ascii="Arial" w:cs="Arial" w:eastAsia="Arial" w:hAnsi="Arial"/>
          <w:color w:val="1A1A1A"/>
          <w:sz w:val="22"/>
          <w:szCs w:val="22"/>
        </w:rPr>
        <w:t xml:space="preserve">Action required: change that definitively requires client action by a specific deadline</w:t>
      </w:r>
    </w:p>
    <w:p>
      <w:pPr>
        <w:spacing w:before="120" w:after="0"/>
      </w:pPr>
      <w:r>
        <w:t xml:space="preserve"/>
      </w:r>
    </w:p>
    <w:p>
      <w:pPr>
        <w:spacing w:before="80" w:after="80"/>
      </w:pPr>
      <w:r>
        <w:rPr>
          <w:rFonts w:ascii="Arial" w:cs="Arial" w:eastAsia="Arial" w:hAnsi="Arial"/>
          <w:color w:val="1A1A1A"/>
          <w:sz w:val="22"/>
          <w:szCs w:val="22"/>
        </w:rPr>
        <w:t xml:space="preserve">Classification is initially done by the AI using the knowledge graph context, then reviewed by a compliance expert for significant changes. Over time, the classification accuracy improves through the feedback loop.</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Event Stream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EventBridge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Managed event bus. Native integration with Lambda, SQS, and other AWS services. Schema registry prevents malformed events.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Source Monitoring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AWS Lambda + CloudWatch Events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Scheduled Lambda functions check each source on configurable intervals. Hash comparison detects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Change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SQS FIFO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Ordered, exactly-once delivery of change events. Dead letter queue for failed processing.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State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DynamoDB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High-throughput reads for compliance state queries. TTL-based expiration for evidence aging events.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Notification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Amazon SES + SNS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Email and in-app notifications. Template-based generation from change event data.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 Scraping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AWS Lambda + Playwright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Headless browser scraping for government sites that block simple HTTP clients. Runs on schedule.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Feed Monitoring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RSS/Atom parsers + Federal Register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 sources that publish machine-readable feeds — faster and more reliable than scraping.</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Zero-Day Regulatory Response</w:t>
      </w:r>
    </w:p>
    <w:p>
      <w:pPr>
        <w:spacing w:before="80" w:after="80"/>
      </w:pPr>
      <w:r>
        <w:rPr>
          <w:rFonts w:ascii="Arial" w:cs="Arial" w:eastAsia="Arial" w:hAnsi="Arial"/>
          <w:color w:val="1A1A1A"/>
          <w:sz w:val="22"/>
          <w:szCs w:val="22"/>
        </w:rPr>
        <w:t xml:space="preserve">At 2pm on a Tuesday, HHS publishes updated guidance on telehealth platforms and ePHI — a significant change affecting any client using video conferencing for patient interactions. By 2:15pm, your scraper detects the content hash change on hhs.gov. By 2:20pm, the document has been ingested into the knowledge base and the graph has been updated. By 2:35pm, the client impact analyzer has run graph traversal and identified 23 of your clients who use telehealth platforms in their configurations. By 3pm, each of those 23 clients receives a personalized email: 'HHS published new telehealth guidance today. Based on your current configuration, here is specifically what this means for you and what action, if any, is required.'</w:t>
      </w:r>
    </w:p>
    <w:p>
      <w:pPr>
        <w:spacing w:before="120" w:after="0"/>
      </w:pPr>
      <w:r>
        <w:t xml:space="preserve"/>
      </w:r>
    </w:p>
    <w:p>
      <w:pPr>
        <w:spacing w:before="80" w:after="80"/>
      </w:pPr>
      <w:r>
        <w:rPr>
          <w:rFonts w:ascii="Arial" w:cs="Arial" w:eastAsia="Arial" w:hAnsi="Arial"/>
          <w:color w:val="1A1A1A"/>
          <w:sz w:val="22"/>
          <w:szCs w:val="22"/>
        </w:rPr>
        <w:t xml:space="preserve">A client using a traditional compliance consultant learns about this guidance at their next quarterly check-in, three months later. Your client learned within an hour. That difference is your product's core value proposition made tangible.</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Use Case: Evidence Expiration Prevention</w:t>
      </w:r>
    </w:p>
    <w:p>
      <w:pPr>
        <w:spacing w:before="80" w:after="80"/>
      </w:pPr>
      <w:r>
        <w:rPr>
          <w:rFonts w:ascii="Arial" w:cs="Arial" w:eastAsia="Arial" w:hAnsi="Arial"/>
          <w:color w:val="1A1A1A"/>
          <w:sz w:val="22"/>
          <w:szCs w:val="22"/>
        </w:rPr>
        <w:t xml:space="preserve">Your state machine tracks that one of your clients last conducted HIPAA workforce training 10 months ago. At 11 months, the system sends an automated reminder: 'Your annual HIPAA training is coming due in 30 days. Here is a pre-configured training checklist based on your workforce profile and this year's most common audit findings in your industry.' At 12 months with no action, the client's training control status transitions to 'evidence aging' and the alert escalates. The client never reaches a lapsed training status without multiple opportunities to remediate.</w:t>
      </w:r>
    </w:p>
    <w:p>
      <w:pPr>
        <w:pBdr>
          <w:bottom w:val="single" w:color="D6E4F0" w:sz="4" w:space="1"/>
        </w:pBdr>
        <w:spacing w:before="160" w:after="160"/>
      </w:pPr>
      <w:r>
        <w:t xml:space="preserve"/>
      </w:r>
    </w:p>
    <w:p>
      <w:r>
        <w:br w:type="page"/>
      </w:r>
    </w:p>
    <w:p>
      <w:pPr>
        <w:pStyle w:val="Heading1"/>
        <w:spacing w:before="360" w:after="120"/>
      </w:pPr>
      <w:r>
        <w:rPr>
          <w:rFonts w:ascii="Arial" w:cs="Arial" w:eastAsia="Arial" w:hAnsi="Arial"/>
          <w:b/>
          <w:bCs/>
          <w:color w:val="1F4E79"/>
          <w:sz w:val="36"/>
          <w:szCs w:val="36"/>
        </w:rPr>
        <w:t xml:space="preserve">Implementation Sequence</w:t>
      </w:r>
    </w:p>
    <w:p>
      <w:pPr>
        <w:spacing w:before="80" w:after="80"/>
      </w:pPr>
      <w:r>
        <w:rPr>
          <w:rFonts w:ascii="Arial" w:cs="Arial" w:eastAsia="Arial" w:hAnsi="Arial"/>
          <w:color w:val="1A1A1A"/>
          <w:sz w:val="22"/>
          <w:szCs w:val="22"/>
        </w:rPr>
        <w:t xml:space="preserve">Building all five systems simultaneously is not recommended. The following sequence maximizes early value delivery while laying the foundation for the compounding flywheel:</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Phase 1: Months 1–3 — Foundation (RAG + Instrumentation)</w:t>
      </w:r>
    </w:p>
    <w:p>
      <w:pPr>
        <w:spacing w:before="80" w:after="80"/>
      </w:pPr>
      <w:r>
        <w:rPr>
          <w:rFonts w:ascii="Arial" w:cs="Arial" w:eastAsia="Arial" w:hAnsi="Arial"/>
          <w:color w:val="1A1A1A"/>
          <w:sz w:val="22"/>
          <w:szCs w:val="22"/>
        </w:rPr>
        <w:t xml:space="preserve">Build the living RAG knowledge base for your initial compliance frameworks. Get retrieval quality high before adding complexity. Critically: instrument everything from day one. Build the signal capture layer and corrections database even before you have data to learn from. Every week you delay instrumentation is a week of learning signal you lose permanently.</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Deploy vector database (start with pgvector on existing Postgres)</w:t>
      </w:r>
    </w:p>
    <w:p>
      <w:pPr>
        <w:pStyle w:val="ListParagraph"/>
        <w:numPr>
          <w:ilvl w:val="0"/>
          <w:numId w:val="2"/>
        </w:numPr>
        <w:spacing w:before="60" w:after="60"/>
      </w:pPr>
      <w:r>
        <w:rPr>
          <w:rFonts w:ascii="Arial" w:cs="Arial" w:eastAsia="Arial" w:hAnsi="Arial"/>
          <w:color w:val="1A1A1A"/>
          <w:sz w:val="22"/>
          <w:szCs w:val="22"/>
        </w:rPr>
        <w:t xml:space="preserve">Build document ingestion pipeline for HIPAA regulations</w:t>
      </w:r>
    </w:p>
    <w:p>
      <w:pPr>
        <w:pStyle w:val="ListParagraph"/>
        <w:numPr>
          <w:ilvl w:val="0"/>
          <w:numId w:val="2"/>
        </w:numPr>
        <w:spacing w:before="60" w:after="60"/>
      </w:pPr>
      <w:r>
        <w:rPr>
          <w:rFonts w:ascii="Arial" w:cs="Arial" w:eastAsia="Arial" w:hAnsi="Arial"/>
          <w:color w:val="1A1A1A"/>
          <w:sz w:val="22"/>
          <w:szCs w:val="22"/>
        </w:rPr>
        <w:t xml:space="preserve">Implement basic RAG-powered assessment generation</w:t>
      </w:r>
    </w:p>
    <w:p>
      <w:pPr>
        <w:pStyle w:val="ListParagraph"/>
        <w:numPr>
          <w:ilvl w:val="0"/>
          <w:numId w:val="2"/>
        </w:numPr>
        <w:spacing w:before="60" w:after="60"/>
      </w:pPr>
      <w:r>
        <w:rPr>
          <w:rFonts w:ascii="Arial" w:cs="Arial" w:eastAsia="Arial" w:hAnsi="Arial"/>
          <w:color w:val="1A1A1A"/>
          <w:sz w:val="22"/>
          <w:szCs w:val="22"/>
        </w:rPr>
        <w:t xml:space="preserve">Build corrections database schema and capture UI for expert reviewers</w:t>
      </w:r>
    </w:p>
    <w:p>
      <w:pPr>
        <w:pStyle w:val="ListParagraph"/>
        <w:numPr>
          <w:ilvl w:val="0"/>
          <w:numId w:val="2"/>
        </w:numPr>
        <w:spacing w:before="60" w:after="60"/>
      </w:pPr>
      <w:r>
        <w:rPr>
          <w:rFonts w:ascii="Arial" w:cs="Arial" w:eastAsia="Arial" w:hAnsi="Arial"/>
          <w:color w:val="1A1A1A"/>
          <w:sz w:val="22"/>
          <w:szCs w:val="22"/>
        </w:rPr>
        <w:t xml:space="preserve">Log every assessment output and every expert interaction</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Phase 2: Months 4–6 — Intelligence Layer (Knowledge Graph)</w:t>
      </w:r>
    </w:p>
    <w:p>
      <w:pPr>
        <w:spacing w:before="80" w:after="80"/>
      </w:pPr>
      <w:r>
        <w:rPr>
          <w:rFonts w:ascii="Arial" w:cs="Arial" w:eastAsia="Arial" w:hAnsi="Arial"/>
          <w:color w:val="1A1A1A"/>
          <w:sz w:val="22"/>
          <w:szCs w:val="22"/>
        </w:rPr>
        <w:t xml:space="preserve">Build the compliance knowledge graph using the regulatory data already in your RAG system. Start with HIPAA only. Map controls to regulations to evidence types. Build the cross-framework overlap mappings for your next target framework.</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Deploy Neo4j and load initial HIPAA requirement graph</w:t>
      </w:r>
    </w:p>
    <w:p>
      <w:pPr>
        <w:pStyle w:val="ListParagraph"/>
        <w:numPr>
          <w:ilvl w:val="0"/>
          <w:numId w:val="2"/>
        </w:numPr>
        <w:spacing w:before="60" w:after="60"/>
      </w:pPr>
      <w:r>
        <w:rPr>
          <w:rFonts w:ascii="Arial" w:cs="Arial" w:eastAsia="Arial" w:hAnsi="Arial"/>
          <w:color w:val="1A1A1A"/>
          <w:sz w:val="22"/>
          <w:szCs w:val="22"/>
        </w:rPr>
        <w:t xml:space="preserve">Build graph-augmented assessment that combines RAG retrieval with graph traversal</w:t>
      </w:r>
    </w:p>
    <w:p>
      <w:pPr>
        <w:pStyle w:val="ListParagraph"/>
        <w:numPr>
          <w:ilvl w:val="0"/>
          <w:numId w:val="2"/>
        </w:numPr>
        <w:spacing w:before="60" w:after="60"/>
      </w:pPr>
      <w:r>
        <w:rPr>
          <w:rFonts w:ascii="Arial" w:cs="Arial" w:eastAsia="Arial" w:hAnsi="Arial"/>
          <w:color w:val="1A1A1A"/>
          <w:sz w:val="22"/>
          <w:szCs w:val="22"/>
        </w:rPr>
        <w:t xml:space="preserve">Implement change propagation logic for regulatory updates</w:t>
      </w:r>
    </w:p>
    <w:p>
      <w:pPr>
        <w:pStyle w:val="ListParagraph"/>
        <w:numPr>
          <w:ilvl w:val="0"/>
          <w:numId w:val="2"/>
        </w:numPr>
        <w:spacing w:before="60" w:after="60"/>
      </w:pPr>
      <w:r>
        <w:rPr>
          <w:rFonts w:ascii="Arial" w:cs="Arial" w:eastAsia="Arial" w:hAnsi="Arial"/>
          <w:color w:val="1A1A1A"/>
          <w:sz w:val="22"/>
          <w:szCs w:val="22"/>
        </w:rPr>
        <w:t xml:space="preserve">Build internal visualization of the compliance graph</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Phase 3: Months 7–9 — Flywheel (Pattern Library + Feedback Loop)</w:t>
      </w:r>
    </w:p>
    <w:p>
      <w:pPr>
        <w:spacing w:before="80" w:after="80"/>
      </w:pPr>
      <w:r>
        <w:rPr>
          <w:rFonts w:ascii="Arial" w:cs="Arial" w:eastAsia="Arial" w:hAnsi="Arial"/>
          <w:color w:val="1A1A1A"/>
          <w:sz w:val="22"/>
          <w:szCs w:val="22"/>
        </w:rPr>
        <w:t xml:space="preserve">By now you have real client data and correction signals. Build the abstraction pipeline and pattern library. Implement retrieval-weighted feedback so corrections improve live assessments. Begin generating industry benchmark data.</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Build client data abstraction pipeline</w:t>
      </w:r>
    </w:p>
    <w:p>
      <w:pPr>
        <w:pStyle w:val="ListParagraph"/>
        <w:numPr>
          <w:ilvl w:val="0"/>
          <w:numId w:val="2"/>
        </w:numPr>
        <w:spacing w:before="60" w:after="60"/>
      </w:pPr>
      <w:r>
        <w:rPr>
          <w:rFonts w:ascii="Arial" w:cs="Arial" w:eastAsia="Arial" w:hAnsi="Arial"/>
          <w:color w:val="1A1A1A"/>
          <w:sz w:val="22"/>
          <w:szCs w:val="22"/>
        </w:rPr>
        <w:t xml:space="preserve">Deploy pattern library database and populate from existing client assessments</w:t>
      </w:r>
    </w:p>
    <w:p>
      <w:pPr>
        <w:pStyle w:val="ListParagraph"/>
        <w:numPr>
          <w:ilvl w:val="0"/>
          <w:numId w:val="2"/>
        </w:numPr>
        <w:spacing w:before="60" w:after="60"/>
      </w:pPr>
      <w:r>
        <w:rPr>
          <w:rFonts w:ascii="Arial" w:cs="Arial" w:eastAsia="Arial" w:hAnsi="Arial"/>
          <w:color w:val="1A1A1A"/>
          <w:sz w:val="22"/>
          <w:szCs w:val="22"/>
        </w:rPr>
        <w:t xml:space="preserve">Implement proactive gap discovery from pattern matching</w:t>
      </w:r>
    </w:p>
    <w:p>
      <w:pPr>
        <w:pStyle w:val="ListParagraph"/>
        <w:numPr>
          <w:ilvl w:val="0"/>
          <w:numId w:val="2"/>
        </w:numPr>
        <w:spacing w:before="60" w:after="60"/>
      </w:pPr>
      <w:r>
        <w:rPr>
          <w:rFonts w:ascii="Arial" w:cs="Arial" w:eastAsia="Arial" w:hAnsi="Arial"/>
          <w:color w:val="1A1A1A"/>
          <w:sz w:val="22"/>
          <w:szCs w:val="22"/>
        </w:rPr>
        <w:t xml:space="preserve">Build audit outcome tracking and connect to recommendation accuracy metrics</w:t>
      </w:r>
    </w:p>
    <w:p>
      <w:pPr>
        <w:pStyle w:val="ListParagraph"/>
        <w:numPr>
          <w:ilvl w:val="0"/>
          <w:numId w:val="2"/>
        </w:numPr>
        <w:spacing w:before="60" w:after="60"/>
      </w:pPr>
      <w:r>
        <w:rPr>
          <w:rFonts w:ascii="Arial" w:cs="Arial" w:eastAsia="Arial" w:hAnsi="Arial"/>
          <w:color w:val="1A1A1A"/>
          <w:sz w:val="22"/>
          <w:szCs w:val="22"/>
        </w:rPr>
        <w:t xml:space="preserve">Internal dashboard showing model accuracy trends</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Phase 4: Months 10–12 — Continuous Monitoring (Event Stream)</w:t>
      </w:r>
    </w:p>
    <w:p>
      <w:pPr>
        <w:spacing w:before="80" w:after="80"/>
      </w:pPr>
      <w:r>
        <w:rPr>
          <w:rFonts w:ascii="Arial" w:cs="Arial" w:eastAsia="Arial" w:hAnsi="Arial"/>
          <w:color w:val="1A1A1A"/>
          <w:sz w:val="22"/>
          <w:szCs w:val="22"/>
        </w:rPr>
        <w:t xml:space="preserve">With the intelligence layer stable, add real-time regulatory monitoring. This is what transforms your product from a periodic assessment tool to a continuous compliance operating system.</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Build regulatory source scrapers for priority sources</w:t>
      </w:r>
    </w:p>
    <w:p>
      <w:pPr>
        <w:pStyle w:val="ListParagraph"/>
        <w:numPr>
          <w:ilvl w:val="0"/>
          <w:numId w:val="2"/>
        </w:numPr>
        <w:spacing w:before="60" w:after="60"/>
      </w:pPr>
      <w:r>
        <w:rPr>
          <w:rFonts w:ascii="Arial" w:cs="Arial" w:eastAsia="Arial" w:hAnsi="Arial"/>
          <w:color w:val="1A1A1A"/>
          <w:sz w:val="22"/>
          <w:szCs w:val="22"/>
        </w:rPr>
        <w:t xml:space="preserve">Deploy EventBridge event stream architecture</w:t>
      </w:r>
    </w:p>
    <w:p>
      <w:pPr>
        <w:pStyle w:val="ListParagraph"/>
        <w:numPr>
          <w:ilvl w:val="0"/>
          <w:numId w:val="2"/>
        </w:numPr>
        <w:spacing w:before="60" w:after="60"/>
      </w:pPr>
      <w:r>
        <w:rPr>
          <w:rFonts w:ascii="Arial" w:cs="Arial" w:eastAsia="Arial" w:hAnsi="Arial"/>
          <w:color w:val="1A1A1A"/>
          <w:sz w:val="22"/>
          <w:szCs w:val="22"/>
        </w:rPr>
        <w:t xml:space="preserve">Implement client compliance state machine</w:t>
      </w:r>
    </w:p>
    <w:p>
      <w:pPr>
        <w:pStyle w:val="ListParagraph"/>
        <w:numPr>
          <w:ilvl w:val="0"/>
          <w:numId w:val="2"/>
        </w:numPr>
        <w:spacing w:before="60" w:after="60"/>
      </w:pPr>
      <w:r>
        <w:rPr>
          <w:rFonts w:ascii="Arial" w:cs="Arial" w:eastAsia="Arial" w:hAnsi="Arial"/>
          <w:color w:val="1A1A1A"/>
          <w:sz w:val="22"/>
          <w:szCs w:val="22"/>
        </w:rPr>
        <w:t xml:space="preserve">Build automated notification system for regulatory changes</w:t>
      </w:r>
    </w:p>
    <w:p>
      <w:pPr>
        <w:pStyle w:val="ListParagraph"/>
        <w:numPr>
          <w:ilvl w:val="0"/>
          <w:numId w:val="2"/>
        </w:numPr>
        <w:spacing w:before="60" w:after="60"/>
      </w:pPr>
      <w:r>
        <w:rPr>
          <w:rFonts w:ascii="Arial" w:cs="Arial" w:eastAsia="Arial" w:hAnsi="Arial"/>
          <w:color w:val="1A1A1A"/>
          <w:sz w:val="22"/>
          <w:szCs w:val="22"/>
        </w:rPr>
        <w:t xml:space="preserve">Launch continuous monitoring as a premium tier feature</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Phase 5: Month 12+ — Compounding (Fine-tuning + Multi-Framework)</w:t>
      </w:r>
    </w:p>
    <w:p>
      <w:pPr>
        <w:spacing w:before="80" w:after="80"/>
      </w:pPr>
      <w:r>
        <w:rPr>
          <w:rFonts w:ascii="Arial" w:cs="Arial" w:eastAsia="Arial" w:hAnsi="Arial"/>
          <w:color w:val="1A1A1A"/>
          <w:sz w:val="22"/>
          <w:szCs w:val="22"/>
        </w:rPr>
        <w:t xml:space="preserve">With 12 months of correction signals and audit outcomes, evaluate fine-tuning your base model on your domain-specific data. Expand the knowledge graph to your second compliance framework, leveraging cross-framework overlap mappings built in Phase 2.</w:t>
      </w:r>
    </w:p>
    <w:p>
      <w:pPr>
        <w:pBdr>
          <w:bottom w:val="single" w:color="D6E4F0" w:sz="4" w:space="1"/>
        </w:pBdr>
        <w:spacing w:before="160" w:after="160"/>
      </w:pPr>
      <w:r>
        <w:t xml:space="preserve"/>
      </w:r>
    </w:p>
    <w:p>
      <w:r>
        <w:br w:type="page"/>
      </w:r>
    </w:p>
    <w:p>
      <w:pPr>
        <w:pStyle w:val="Heading1"/>
        <w:spacing w:before="360" w:after="120"/>
      </w:pPr>
      <w:r>
        <w:rPr>
          <w:rFonts w:ascii="Arial" w:cs="Arial" w:eastAsia="Arial" w:hAnsi="Arial"/>
          <w:b/>
          <w:bCs/>
          <w:color w:val="1F4E79"/>
          <w:sz w:val="36"/>
          <w:szCs w:val="36"/>
        </w:rPr>
        <w:t xml:space="preserve">Architecture Summary</w:t>
      </w:r>
    </w:p>
    <w:p>
      <w:pPr>
        <w:spacing w:before="80" w:after="80"/>
      </w:pPr>
      <w:r>
        <w:rPr>
          <w:rFonts w:ascii="Arial" w:cs="Arial" w:eastAsia="Arial" w:hAnsi="Arial"/>
          <w:color w:val="1A1A1A"/>
          <w:sz w:val="22"/>
          <w:szCs w:val="22"/>
        </w:rPr>
        <w:t xml:space="preserve">The five systems described in this document are not independent modules — they are designed to reinforce each other into a compounding intelligence flywheel: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How the Systems Reinforce Each Other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The RAG knowledge base provides grounded, accurate regulatory context to all other systems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The knowledge graph maps relationships that make RAG retrieval more contextually precise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The feedback loop improves the quality of both RAG retrieval weighting and graph traversal logic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Cross-client patterns feed the feedback loop with signals no single client could generate alone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1A1A1A"/>
                <w:sz w:val="22"/>
                <w:szCs w:val="22"/>
              </w:rPr>
              <w:t xml:space="preserve">The event stream keeps the knowledge base and graph current, making all other systems more accurate</w:t>
            </w:r>
          </w:p>
        </w:tc>
      </w:tr>
    </w:tbl>
    <w:p>
      <w:pPr>
        <w:spacing w:before="120" w:after="0"/>
      </w:pPr>
      <w:r>
        <w:t xml:space="preserve"/>
      </w:r>
    </w:p>
    <w:p>
      <w:pPr>
        <w:spacing w:before="80" w:after="80"/>
      </w:pPr>
      <w:r>
        <w:rPr>
          <w:rFonts w:ascii="Arial" w:cs="Arial" w:eastAsia="Arial" w:hAnsi="Arial"/>
          <w:color w:val="1A1A1A"/>
          <w:sz w:val="22"/>
          <w:szCs w:val="22"/>
        </w:rPr>
        <w:t xml:space="preserve">The key architectural principle throughout is: build for compounding from day one. The technology choices, the data schemas, the event instrumentation — all of it is designed so that the system six months from now is meaningfully smarter than the system today, and the system two years from now has a capability gap versus new entrants that cannot be closed by simply hiring more engineers.</w:t>
      </w:r>
    </w:p>
    <w:p>
      <w:pPr>
        <w:spacing w:before="120" w:after="0"/>
      </w:pPr>
      <w:r>
        <w:t xml:space="preserve"/>
      </w:r>
    </w:p>
    <w:p>
      <w:pPr>
        <w:spacing w:before="80" w:after="80"/>
      </w:pPr>
      <w:r>
        <w:rPr>
          <w:rFonts w:ascii="Arial" w:cs="Arial" w:eastAsia="Arial" w:hAnsi="Arial"/>
          <w:color w:val="1A1A1A"/>
          <w:sz w:val="22"/>
          <w:szCs w:val="22"/>
        </w:rPr>
        <w:t xml:space="preserve">That structural advantage — intelligence that compounds with time and scale — is the durable moat this architecture is designed to create.</w:t>
      </w:r>
    </w:p>
    <w:p>
      <w:pPr>
        <w:spacing w:before="240" w:after="0"/>
      </w:pPr>
      <w:r>
        <w:t xml:space="preserve"/>
      </w:r>
    </w:p>
    <w:p>
      <w:pPr>
        <w:jc w:val="center"/>
      </w:pPr>
      <w:r>
        <w:rPr>
          <w:rFonts w:ascii="Arial" w:cs="Arial" w:eastAsia="Arial" w:hAnsi="Arial"/>
          <w:i/>
          <w:iCs/>
          <w:color w:val="888888"/>
          <w:sz w:val="18"/>
          <w:szCs w:val="1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026"/>
      </w:tabs>
      <w:spacing w:before="120" w:after="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spacing w:before="0" w:after="120"/>
    </w:pPr>
    <w:r>
      <w:rPr>
        <w:rFonts w:ascii="Arial" w:cs="Arial" w:eastAsia="Arial" w:hAnsi="Arial"/>
        <w:color w:val="888888"/>
        <w:sz w:val="18"/>
        <w:szCs w:val="18"/>
      </w:rPr>
      <w:t xml:space="preserve">Compliance Learning Engine  |  Technical Architecture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2026-02-19T05:42:31.265Z</dcterms:created>
  <dcterms:modified xsi:type="dcterms:W3CDTF">2026-02-19T05:42:31.266Z</dcterms:modified>
</cp:coreProperties>
</file>

<file path=docProps/custom.xml><?xml version="1.0" encoding="utf-8"?>
<Properties xmlns="http://schemas.openxmlformats.org/officeDocument/2006/custom-properties" xmlns:vt="http://schemas.openxmlformats.org/officeDocument/2006/docPropsVTypes"/>
</file>