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60"/>
        <w:jc w:val="center"/>
      </w:pPr>
      <w:r>
        <w:rPr>
          <w:rFonts w:ascii="Arial" w:cs="Arial" w:eastAsia="Arial" w:hAnsi="Arial"/>
          <w:b/>
          <w:bCs/>
          <w:color w:val="1A7F7F"/>
          <w:sz w:val="28"/>
          <w:szCs w:val="28"/>
        </w:rPr>
        <w:t xml:space="preserve">ADVANCED FEATURE</w:t>
      </w:r>
    </w:p>
    <w:p>
      <w:pPr>
        <w:spacing w:before="0" w:after="180"/>
        <w:jc w:val="center"/>
      </w:pPr>
      <w:r>
        <w:rPr>
          <w:rFonts w:ascii="Arial" w:cs="Arial" w:eastAsia="Arial" w:hAnsi="Arial"/>
          <w:b/>
          <w:bCs/>
          <w:color w:val="1F3864"/>
          <w:sz w:val="72"/>
          <w:szCs w:val="72"/>
        </w:rPr>
        <w:t xml:space="preserve">IMPLEMENTATION GUIDE</w:t>
      </w:r>
    </w:p>
    <w:p>
      <w:pPr>
        <w:spacing w:before="0" w:after="200"/>
        <w:jc w:val="center"/>
      </w:pPr>
      <w:r>
        <w:rPr>
          <w:rFonts w:ascii="Arial" w:cs="Arial" w:eastAsia="Arial" w:hAnsi="Arial"/>
          <w:color w:val="555555"/>
          <w:sz w:val="28"/>
          <w:szCs w:val="28"/>
        </w:rPr>
        <w:t xml:space="preserve">Compliance Intelligence Platform  ·  8 Core Features</w:t>
      </w:r>
    </w:p>
    <w:p>
      <w:pPr>
        <w:pBdr>
          <w:bottom w:val="single" w:color="1A7F7F" w:sz="8" w:space="4"/>
        </w:pBdr>
        <w:spacing w:before="0" w:after="400"/>
        <w:jc w:val="center"/>
      </w:pPr>
      <w:r>
        <w:t xml:space="preserve"/>
      </w:r>
    </w:p>
    <w:p>
      <w:pPr>
        <w:spacing w:before="240" w:after="0"/>
      </w:pPr>
      <w:r>
        <w:t xml:space="preserve"/>
      </w:r>
    </w:p>
    <w:p>
      <w:pPr>
        <w:spacing w:before="0" w:after="80"/>
        <w:jc w:val="center"/>
      </w:pPr>
      <w:r>
        <w:rPr>
          <w:rFonts w:ascii="Arial" w:cs="Arial" w:eastAsia="Arial" w:hAnsi="Arial"/>
          <w:color w:val="555555"/>
          <w:sz w:val="22"/>
          <w:szCs w:val="22"/>
        </w:rPr>
        <w:t xml:space="preserve">Technical Implementation  ·  Stack Recommendations  ·  Use Cases  ·  Data Models</w:t>
      </w:r>
    </w:p>
    <w:p>
      <w:pPr>
        <w:spacing w:before="0" w:after="80"/>
        <w:jc w:val="center"/>
      </w:pPr>
      <w:r>
        <w:rPr>
          <w:rFonts w:ascii="Arial" w:cs="Arial" w:eastAsia="Arial" w:hAnsi="Arial"/>
          <w:color w:val="555555"/>
          <w:sz w:val="22"/>
          <w:szCs w:val="22"/>
        </w:rPr>
        <w:t xml:space="preserve">Confidential  ·  February 2026</w:t>
      </w:r>
    </w:p>
    <w:p>
      <w:r>
        <w:br w:type="page"/>
      </w:r>
    </w:p>
    <w:p>
      <w:pPr>
        <w:pStyle w:val="Heading1"/>
        <w:spacing w:before="400" w:after="140"/>
      </w:pPr>
      <w:r>
        <w:rPr>
          <w:rFonts w:ascii="Arial" w:cs="Arial" w:eastAsia="Arial" w:hAnsi="Arial"/>
          <w:b/>
          <w:bCs/>
          <w:color w:val="1F3864"/>
          <w:sz w:val="38"/>
          <w:szCs w:val="38"/>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Feature 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Risk-Weighted Prioritization Engine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Feature 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Breach Simulation &amp; Scenario Testing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Feature 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Automated Evidence Collection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Feature 4</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Regulatory Penalty Exposure Calculator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Feature 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Vendor &amp; Supply Chain Compliance Intelligence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Feature 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Compliance-Native Contract Intelligence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Feature 7</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Staff Behavior Analytics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Feature 8</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M&amp;A and Onboarding Due Diligence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Appendix 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Master Implementation Sequence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Appendix 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Integration Architecture Overview</w:t>
            </w:r>
          </w:p>
        </w:tc>
      </w:tr>
    </w:tbl>
    <w:p>
      <w:r>
        <w:br w:type="page"/>
      </w:r>
    </w:p>
    <w:p>
      <w:pPr>
        <w:spacing w:before="0" w:after="140"/>
      </w:pPr>
      <w:r>
        <w:rPr>
          <w:rFonts w:ascii="Arial" w:cs="Arial" w:eastAsia="Arial" w:hAnsi="Arial"/>
          <w:b/>
          <w:bCs/>
          <w:color w:val="1A7F7F"/>
          <w:sz w:val="28"/>
          <w:szCs w:val="28"/>
        </w:rPr>
        <w:t xml:space="preserve">FEATURE 01  </w:t>
      </w:r>
      <w:r>
        <w:rPr>
          <w:rFonts w:ascii="Arial" w:cs="Arial" w:eastAsia="Arial" w:hAnsi="Arial"/>
          <w:b/>
          <w:bCs/>
          <w:color w:val="1F3864"/>
          <w:sz w:val="28"/>
          <w:szCs w:val="28"/>
        </w:rPr>
        <w:t xml:space="preserve">Risk-Weighted Prioritization Engine</w:t>
      </w:r>
    </w:p>
    <w:p>
      <w:pPr>
        <w:spacing w:before="60" w:after="60"/>
      </w:pPr>
      <w:r>
        <w:rPr>
          <w:rFonts w:ascii="Arial" w:cs="Arial" w:eastAsia="Arial" w:hAnsi="Arial"/>
          <w:i/>
          <w:iCs/>
          <w:color w:val="555555"/>
          <w:sz w:val="18"/>
          <w:szCs w:val="18"/>
        </w:rPr>
        <w:t xml:space="preserve">Transforms a list of compliance gaps into an ordered risk reduction roadmap with quantified breach probability impact</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What Problem This Solves</w:t>
      </w:r>
    </w:p>
    <w:p>
      <w:pPr>
        <w:spacing w:before="80" w:after="80"/>
      </w:pPr>
      <w:r>
        <w:rPr>
          <w:rFonts w:ascii="Arial" w:cs="Arial" w:eastAsia="Arial" w:hAnsi="Arial"/>
          <w:color w:val="1A1A1A"/>
          <w:sz w:val="22"/>
          <w:szCs w:val="22"/>
        </w:rPr>
        <w:t xml:space="preserve">Standard compliance assessments return a flat list of gaps. A small healthcare practice with 23 gaps and two staff members cannot remediate everything simultaneously. Today, they either guess at priority, follow the order a consultant suggests, or do nothing because the list is overwhelming. This feature answers the question every business owner actually needs answered: of everything wrong, what should I fix first to reduce my real risk the most?</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How It Works — Technical Architecture</w:t>
      </w:r>
    </w:p>
    <w:p>
      <w:pPr>
        <w:pStyle w:val="Heading3"/>
        <w:spacing w:before="220" w:after="80"/>
      </w:pPr>
      <w:r>
        <w:rPr>
          <w:rFonts w:ascii="Arial" w:cs="Arial" w:eastAsia="Arial" w:hAnsi="Arial"/>
          <w:b/>
          <w:bCs/>
          <w:color w:val="1A7F7F"/>
          <w:sz w:val="24"/>
          <w:szCs w:val="24"/>
        </w:rPr>
        <w:t xml:space="preserve">Step 1: Gap Severity Baseline</w:t>
      </w:r>
    </w:p>
    <w:p>
      <w:pPr>
        <w:spacing w:before="80" w:after="80"/>
      </w:pPr>
      <w:r>
        <w:rPr>
          <w:rFonts w:ascii="Arial" w:cs="Arial" w:eastAsia="Arial" w:hAnsi="Arial"/>
          <w:color w:val="1A1A1A"/>
          <w:sz w:val="22"/>
          <w:szCs w:val="22"/>
        </w:rPr>
        <w:t xml:space="preserve">Every compliance gap identified by the assessment engine is assigned a baseline severity score derived from three inputs:</w:t>
      </w:r>
    </w:p>
    <w:p>
      <w:pPr>
        <w:pStyle w:val="ListParagraph"/>
        <w:numPr>
          <w:ilvl w:val="0"/>
          <w:numId w:val="2"/>
        </w:numPr>
        <w:spacing w:before="55" w:after="55"/>
      </w:pPr>
      <w:r>
        <w:rPr>
          <w:rFonts w:ascii="Arial" w:cs="Arial" w:eastAsia="Arial" w:hAnsi="Arial"/>
          <w:color w:val="1A1A1A"/>
          <w:sz w:val="22"/>
          <w:szCs w:val="22"/>
        </w:rPr>
        <w:t xml:space="preserve">Regulatory weight: the penalty tier and audit frequency associated with this specific requirement based on HHS enforcement history</w:t>
      </w:r>
    </w:p>
    <w:p>
      <w:pPr>
        <w:pStyle w:val="ListParagraph"/>
        <w:numPr>
          <w:ilvl w:val="0"/>
          <w:numId w:val="2"/>
        </w:numPr>
        <w:spacing w:before="55" w:after="55"/>
      </w:pPr>
      <w:r>
        <w:rPr>
          <w:rFonts w:ascii="Arial" w:cs="Arial" w:eastAsia="Arial" w:hAnsi="Arial"/>
          <w:color w:val="1A1A1A"/>
          <w:sz w:val="22"/>
          <w:szCs w:val="22"/>
        </w:rPr>
        <w:t xml:space="preserve">Control category weight: administrative, physical, and technical safeguards carry different breach likelihood multipliers based on actual breach data</w:t>
      </w:r>
    </w:p>
    <w:p>
      <w:pPr>
        <w:pStyle w:val="ListParagraph"/>
        <w:numPr>
          <w:ilvl w:val="0"/>
          <w:numId w:val="2"/>
        </w:numPr>
        <w:spacing w:before="55" w:after="55"/>
      </w:pPr>
      <w:r>
        <w:rPr>
          <w:rFonts w:ascii="Arial" w:cs="Arial" w:eastAsia="Arial" w:hAnsi="Arial"/>
          <w:color w:val="1A1A1A"/>
          <w:sz w:val="22"/>
          <w:szCs w:val="22"/>
        </w:rPr>
        <w:t xml:space="preserve">Time sensitivity: requirements with regulatory deadlines or expiring evidence receive urgency multipliers</w:t>
      </w:r>
    </w:p>
    <w:p>
      <w:pPr>
        <w:spacing w:before="60" w:after="0"/>
      </w:pPr>
      <w:r>
        <w:t xml:space="preserve"/>
      </w:r>
    </w:p>
    <w:p>
      <w:pPr>
        <w:pStyle w:val="Heading3"/>
        <w:spacing w:before="220" w:after="80"/>
      </w:pPr>
      <w:r>
        <w:rPr>
          <w:rFonts w:ascii="Arial" w:cs="Arial" w:eastAsia="Arial" w:hAnsi="Arial"/>
          <w:b/>
          <w:bCs/>
          <w:color w:val="1A7F7F"/>
          <w:sz w:val="24"/>
          <w:szCs w:val="24"/>
        </w:rPr>
        <w:t xml:space="preserve">Step 2: Threat Intelligence Overlay</w:t>
      </w:r>
    </w:p>
    <w:p>
      <w:pPr>
        <w:spacing w:before="80" w:after="80"/>
      </w:pPr>
      <w:r>
        <w:rPr>
          <w:rFonts w:ascii="Arial" w:cs="Arial" w:eastAsia="Arial" w:hAnsi="Arial"/>
          <w:color w:val="1A1A1A"/>
          <w:sz w:val="22"/>
          <w:szCs w:val="22"/>
        </w:rPr>
        <w:t xml:space="preserve">The baseline severity is then modified by real-world threat data. Your system ingests two public datasets on an ongoing basis:</w:t>
      </w:r>
    </w:p>
    <w:p>
      <w:pPr>
        <w:pStyle w:val="ListParagraph"/>
        <w:numPr>
          <w:ilvl w:val="0"/>
          <w:numId w:val="2"/>
        </w:numPr>
        <w:spacing w:before="55" w:after="55"/>
      </w:pPr>
      <w:r>
        <w:rPr>
          <w:rFonts w:ascii="Arial" w:cs="Arial" w:eastAsia="Arial" w:hAnsi="Arial"/>
          <w:color w:val="1A1A1A"/>
          <w:sz w:val="22"/>
          <w:szCs w:val="22"/>
        </w:rPr>
        <w:t xml:space="preserve">HHS Breach Portal (the 'Wall of Shame'): all reported HIPAA breaches with breach type, organization size, and violation category. Publicly available at hhs.gov/hipaa/for-professionals/breach-notification/breach-reporting.</w:t>
      </w:r>
    </w:p>
    <w:p>
      <w:pPr>
        <w:pStyle w:val="ListParagraph"/>
        <w:numPr>
          <w:ilvl w:val="0"/>
          <w:numId w:val="2"/>
        </w:numPr>
        <w:spacing w:before="55" w:after="55"/>
      </w:pPr>
      <w:r>
        <w:rPr>
          <w:rFonts w:ascii="Arial" w:cs="Arial" w:eastAsia="Arial" w:hAnsi="Arial"/>
          <w:color w:val="1A1A1A"/>
          <w:sz w:val="22"/>
          <w:szCs w:val="22"/>
        </w:rPr>
        <w:t xml:space="preserve">HHS Resolution Agreements: enforcement actions with the specific violations cited, penalty amounts, and corrective action plans.</w:t>
      </w:r>
    </w:p>
    <w:p>
      <w:pPr>
        <w:spacing w:before="60" w:after="0"/>
      </w:pPr>
      <w:r>
        <w:t xml:space="preserve"/>
      </w:r>
    </w:p>
    <w:p>
      <w:pPr>
        <w:spacing w:before="80" w:after="80"/>
      </w:pPr>
      <w:r>
        <w:rPr>
          <w:rFonts w:ascii="Arial" w:cs="Arial" w:eastAsia="Arial" w:hAnsi="Arial"/>
          <w:color w:val="1A1A1A"/>
          <w:sz w:val="22"/>
          <w:szCs w:val="22"/>
        </w:rPr>
        <w:t xml:space="preserve">From these datasets you build a breach frequency model: for a given client configuration (industry vertical, company size, technology stack), what percentage of similar organizations that had a breach had this specific gap as a contributing factor? A gap that appears in 40% of breaches for similar organizations gets a 4x threat multiplier over a gap that appears in 8%.</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Step 3: Client-Specific Risk Scoring</w:t>
      </w:r>
    </w:p>
    <w:p>
      <w:pPr>
        <w:spacing w:before="80" w:after="80"/>
      </w:pPr>
      <w:r>
        <w:rPr>
          <w:rFonts w:ascii="Arial" w:cs="Arial" w:eastAsia="Arial" w:hAnsi="Arial"/>
          <w:color w:val="1A1A1A"/>
          <w:sz w:val="22"/>
          <w:szCs w:val="22"/>
        </w:rPr>
        <w:t xml:space="preserve">The final risk score for each gap combines baseline severity, threat frequency, and client-specific factors:</w:t>
      </w:r>
    </w:p>
    <w:p>
      <w:pPr>
        <w:spacing w:before="60" w:after="0"/>
      </w:pPr>
      <w:r>
        <w:t xml:space="preserve"/>
      </w:r>
    </w:p>
    <w:p>
      <w:pPr>
        <w:spacing w:before="50" w:after="50"/>
        <w:ind w:left="720"/>
      </w:pPr>
      <w:r>
        <w:rPr>
          <w:rFonts w:ascii="Courier New" w:cs="Courier New" w:eastAsia="Courier New" w:hAnsi="Courier New"/>
          <w:color w:val="2C3E6B"/>
          <w:sz w:val="16"/>
          <w:szCs w:val="16"/>
        </w:rPr>
        <w:t xml:space="preserve">risk_score = baseline_severity</w:t>
      </w:r>
    </w:p>
    <w:p>
      <w:pPr>
        <w:spacing w:before="50" w:after="50"/>
        <w:ind w:left="720"/>
      </w:pPr>
      <w:r>
        <w:rPr>
          <w:rFonts w:ascii="Courier New" w:cs="Courier New" w:eastAsia="Courier New" w:hAnsi="Courier New"/>
          <w:color w:val="2C3E6B"/>
          <w:sz w:val="16"/>
          <w:szCs w:val="16"/>
        </w:rPr>
        <w:t xml:space="preserve">           × threat_frequency_multiplier</w:t>
      </w:r>
    </w:p>
    <w:p>
      <w:pPr>
        <w:spacing w:before="50" w:after="50"/>
        <w:ind w:left="720"/>
      </w:pPr>
      <w:r>
        <w:rPr>
          <w:rFonts w:ascii="Courier New" w:cs="Courier New" w:eastAsia="Courier New" w:hAnsi="Courier New"/>
          <w:color w:val="2C3E6B"/>
          <w:sz w:val="16"/>
          <w:szCs w:val="16"/>
        </w:rPr>
        <w:t xml:space="preserve">           × client_exposure_factor</w:t>
      </w:r>
    </w:p>
    <w:p>
      <w:pPr>
        <w:spacing w:before="50" w:after="50"/>
        <w:ind w:left="720"/>
      </w:pPr>
      <w:r>
        <w:rPr>
          <w:rFonts w:ascii="Courier New" w:cs="Courier New" w:eastAsia="Courier New" w:hAnsi="Courier New"/>
          <w:color w:val="2C3E6B"/>
          <w:sz w:val="16"/>
          <w:szCs w:val="16"/>
        </w:rPr>
        <w:t xml:space="preserve">           × (1 + urgency_modifier)</w:t>
      </w:r>
    </w:p>
    <w:p>
      <w:pPr>
        <w:spacing w:before="60" w:after="0"/>
      </w:pPr>
      <w:r>
        <w:t xml:space="preserve"/>
      </w:r>
    </w:p>
    <w:p>
      <w:pPr>
        <w:spacing w:before="80" w:after="80"/>
      </w:pPr>
      <w:r>
        <w:rPr>
          <w:rFonts w:ascii="Arial" w:cs="Arial" w:eastAsia="Arial" w:hAnsi="Arial"/>
          <w:color w:val="1A1A1A"/>
          <w:sz w:val="22"/>
          <w:szCs w:val="22"/>
        </w:rPr>
        <w:t xml:space="preserve">The client exposure factor accounts for their specific configuration — a practice that stores PHI in a cloud system has higher exposure on encryption gaps than one using only on-premise storage. These factors are derived from the client's onboarding profile and continuously updated by the automated evidence collection system.</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Step 4: Remediation ROI Ranking</w:t>
      </w:r>
    </w:p>
    <w:p>
      <w:pPr>
        <w:spacing w:before="80" w:after="80"/>
      </w:pPr>
      <w:r>
        <w:rPr>
          <w:rFonts w:ascii="Arial" w:cs="Arial" w:eastAsia="Arial" w:hAnsi="Arial"/>
          <w:color w:val="1A1A1A"/>
          <w:sz w:val="22"/>
          <w:szCs w:val="22"/>
        </w:rPr>
        <w:t xml:space="preserve">The final output is not just a ranked list — it's a remediation ROI model. For each gap, the system calculates:</w:t>
      </w:r>
    </w:p>
    <w:p>
      <w:pPr>
        <w:pStyle w:val="ListParagraph"/>
        <w:numPr>
          <w:ilvl w:val="0"/>
          <w:numId w:val="2"/>
        </w:numPr>
        <w:spacing w:before="55" w:after="55"/>
      </w:pPr>
      <w:r>
        <w:rPr>
          <w:rFonts w:ascii="Arial" w:cs="Arial" w:eastAsia="Arial" w:hAnsi="Arial"/>
          <w:color w:val="1A1A1A"/>
          <w:sz w:val="22"/>
          <w:szCs w:val="22"/>
        </w:rPr>
        <w:t xml:space="preserve">Estimated implementation effort (derived from historical remediation data in your corrections database — how long did similar clients take to close this gap?)</w:t>
      </w:r>
    </w:p>
    <w:p>
      <w:pPr>
        <w:pStyle w:val="ListParagraph"/>
        <w:numPr>
          <w:ilvl w:val="0"/>
          <w:numId w:val="2"/>
        </w:numPr>
        <w:spacing w:before="55" w:after="55"/>
      </w:pPr>
      <w:r>
        <w:rPr>
          <w:rFonts w:ascii="Arial" w:cs="Arial" w:eastAsia="Arial" w:hAnsi="Arial"/>
          <w:color w:val="1A1A1A"/>
          <w:sz w:val="22"/>
          <w:szCs w:val="22"/>
        </w:rPr>
        <w:t xml:space="preserve">Risk reduction achieved: how much does fixing this gap reduce the overall risk score?</w:t>
      </w:r>
    </w:p>
    <w:p>
      <w:pPr>
        <w:pStyle w:val="ListParagraph"/>
        <w:numPr>
          <w:ilvl w:val="0"/>
          <w:numId w:val="2"/>
        </w:numPr>
        <w:spacing w:before="55" w:after="55"/>
      </w:pPr>
      <w:r>
        <w:rPr>
          <w:rFonts w:ascii="Arial" w:cs="Arial" w:eastAsia="Arial" w:hAnsi="Arial"/>
          <w:color w:val="1A1A1A"/>
          <w:sz w:val="22"/>
          <w:szCs w:val="22"/>
        </w:rPr>
        <w:t xml:space="preserve">Cost of non-remediation: financial exposure contribution from this specific gap (feeds into Feature 4)</w:t>
      </w:r>
    </w:p>
    <w:p>
      <w:pPr>
        <w:spacing w:before="60" w:after="0"/>
      </w:pPr>
      <w:r>
        <w:t xml:space="preserve"/>
      </w:r>
    </w:p>
    <w:p>
      <w:pPr>
        <w:spacing w:before="80" w:after="80"/>
      </w:pPr>
      <w:r>
        <w:rPr>
          <w:rFonts w:ascii="Arial" w:cs="Arial" w:eastAsia="Arial" w:hAnsi="Arial"/>
          <w:color w:val="1A1A1A"/>
          <w:sz w:val="22"/>
          <w:szCs w:val="22"/>
        </w:rPr>
        <w:t xml:space="preserve">The dashboard presents this as a prioritized roadmap: 'Fix these 4 items this month and you reduce your breach probability by 61%. Estimated effort: 8 hours.' That's a message a non-technical business owner can act on immediately.</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Data Model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gap_assessments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gap_id, client_id, framework, control_ref, detected_at, severity_base, threat_multiplier, client_factor, final_score, status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breach_intelligence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breach_id, org_size_bucket, state, breach_type, violation_categories[], affected_count, year, penalty_amount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remediation_history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gap_type, avg_days_to_close, effort_hours_p50, effort_hours_p90, success_rate, industry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risk_snapshots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client_id, snapshot_date, overall_score, gap_count_by_severity, top_5_risks[], score_delta</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 / Notes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Risk Scoring</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Python (scikit-learn)</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Weighted scoring model. Logistic regression initially; upgrade to gradient boosting as data grows. Runs on Lambda.</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Breach Data Store</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PostgreSQL + scheduled ETL</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HHS breach portal scraped weekly. Normalized into queryable schema by org size, violation type, state.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Score Storage</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DynamoDB</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Risk scores need fast single-client reads. DynamoDB with client_id as partition key, snapshot_date as sort key.</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Dashboard</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React + Recharts</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Visual risk reduction roadmap. Bar chart showing score before/after each remediation item.</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Scheduling</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AWS EventBridge Scheduler</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Weekly threat intelligence refresh. Daily score recalculation for clients with recent changes.</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Concrete Use Case</w:t>
      </w:r>
    </w:p>
    <w:p>
      <w:pPr>
        <w:spacing w:before="80" w:after="80"/>
      </w:pPr>
      <w:r>
        <w:rPr>
          <w:rFonts w:ascii="Arial" w:cs="Arial" w:eastAsia="Arial" w:hAnsi="Arial"/>
          <w:color w:val="1A1A1A"/>
          <w:sz w:val="22"/>
          <w:szCs w:val="22"/>
        </w:rPr>
        <w:t xml:space="preserve">A 15-person urgent care clinic completes onboarding. The assessment surfaces 19 gaps. Standard output would list them alphabetically or by regulatory section. The risk engine processes them against breach data for urgent care clinics of similar size.</w:t>
      </w:r>
    </w:p>
    <w:p>
      <w:pPr>
        <w:spacing w:before="60" w:after="0"/>
      </w:pPr>
      <w:r>
        <w:t xml:space="preserve"/>
      </w:r>
    </w:p>
    <w:p>
      <w:pPr>
        <w:spacing w:before="80" w:after="80"/>
      </w:pPr>
      <w:r>
        <w:rPr>
          <w:rFonts w:ascii="Arial" w:cs="Arial" w:eastAsia="Arial" w:hAnsi="Arial"/>
          <w:color w:val="1A1A1A"/>
          <w:sz w:val="22"/>
          <w:szCs w:val="22"/>
        </w:rPr>
        <w:t xml:space="preserve">Output: The top 3 gaps — missing workforce phishing training, no documented sanction policy, and unencrypted mobile devices — account for 74% of their calculated breach probability based on 312 breach records from similar organizations. The clinic's office manager can act on all three within two weeks. The remaining 16 gaps represent the other 26% of risk and can be addressed in a structured 90-day plan.</w:t>
      </w:r>
    </w:p>
    <w:p>
      <w:pPr>
        <w:spacing w:before="60" w:after="0"/>
      </w:pPr>
      <w:r>
        <w:t xml:space="preserve"/>
      </w:r>
    </w:p>
    <w:p>
      <w:pPr>
        <w:spacing w:before="80" w:after="80"/>
      </w:pPr>
      <w:r>
        <w:rPr>
          <w:rFonts w:ascii="Arial" w:cs="Arial" w:eastAsia="Arial" w:hAnsi="Arial"/>
          <w:color w:val="1A1A1A"/>
          <w:sz w:val="22"/>
          <w:szCs w:val="22"/>
        </w:rPr>
        <w:t xml:space="preserve">Without the risk engine, this clinic would have seen a 19-item checklist and likely addressed the easiest items first, not the most impactful ones.</w:t>
      </w:r>
    </w:p>
    <w:p>
      <w:pPr>
        <w:pBdr>
          <w:bottom w:val="single" w:color="D6E9F8" w:sz="4" w:space="1"/>
        </w:pBdr>
        <w:spacing w:before="180" w:after="180"/>
      </w:pPr>
      <w:r>
        <w:t xml:space="preserve"/>
      </w:r>
    </w:p>
    <w:p>
      <w:r>
        <w:br w:type="page"/>
      </w:r>
    </w:p>
    <w:p>
      <w:pPr>
        <w:spacing w:before="0" w:after="140"/>
      </w:pPr>
      <w:r>
        <w:rPr>
          <w:rFonts w:ascii="Arial" w:cs="Arial" w:eastAsia="Arial" w:hAnsi="Arial"/>
          <w:b/>
          <w:bCs/>
          <w:color w:val="1A7F7F"/>
          <w:sz w:val="28"/>
          <w:szCs w:val="28"/>
        </w:rPr>
        <w:t xml:space="preserve">FEATURE 02  </w:t>
      </w:r>
      <w:r>
        <w:rPr>
          <w:rFonts w:ascii="Arial" w:cs="Arial" w:eastAsia="Arial" w:hAnsi="Arial"/>
          <w:b/>
          <w:bCs/>
          <w:color w:val="1F3864"/>
          <w:sz w:val="28"/>
          <w:szCs w:val="28"/>
        </w:rPr>
        <w:t xml:space="preserve">Breach Simulation &amp; Scenario Testing</w:t>
      </w:r>
    </w:p>
    <w:p>
      <w:pPr>
        <w:spacing w:before="60" w:after="60"/>
      </w:pPr>
      <w:r>
        <w:rPr>
          <w:rFonts w:ascii="Arial" w:cs="Arial" w:eastAsia="Arial" w:hAnsi="Arial"/>
          <w:i/>
          <w:iCs/>
          <w:color w:val="555555"/>
          <w:sz w:val="18"/>
          <w:szCs w:val="18"/>
        </w:rPr>
        <w:t xml:space="preserve">An interactive walkthrough that makes abstract compliance gaps viscerally real by showing exactly how a breach would unfold at the client's organization</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What Problem This Solves</w:t>
      </w:r>
    </w:p>
    <w:p>
      <w:pPr>
        <w:spacing w:before="80" w:after="80"/>
      </w:pPr>
      <w:r>
        <w:rPr>
          <w:rFonts w:ascii="Arial" w:cs="Arial" w:eastAsia="Arial" w:hAnsi="Arial"/>
          <w:color w:val="1A1A1A"/>
          <w:sz w:val="22"/>
          <w:szCs w:val="22"/>
        </w:rPr>
        <w:t xml:space="preserve">Compliance scores and gap lists are abstract. A business owner who has never experienced a breach has no emotional connection to the risk. Breach simulation creates that connection by walking them through a realistic, personalized scenario using their actual configuration. It answers: if a breach happened tomorrow, exactly what would go wrong, what would it cost, and which of my current gaps made it worse?</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How It Works — Technical Architecture</w:t>
      </w:r>
    </w:p>
    <w:p>
      <w:pPr>
        <w:pStyle w:val="Heading3"/>
        <w:spacing w:before="220" w:after="80"/>
      </w:pPr>
      <w:r>
        <w:rPr>
          <w:rFonts w:ascii="Arial" w:cs="Arial" w:eastAsia="Arial" w:hAnsi="Arial"/>
          <w:b/>
          <w:bCs/>
          <w:color w:val="1A7F7F"/>
          <w:sz w:val="24"/>
          <w:szCs w:val="24"/>
        </w:rPr>
        <w:t xml:space="preserve">Scenario Library</w:t>
      </w:r>
    </w:p>
    <w:p>
      <w:pPr>
        <w:spacing w:before="80" w:after="80"/>
      </w:pPr>
      <w:r>
        <w:rPr>
          <w:rFonts w:ascii="Arial" w:cs="Arial" w:eastAsia="Arial" w:hAnsi="Arial"/>
          <w:color w:val="1A1A1A"/>
          <w:sz w:val="22"/>
          <w:szCs w:val="22"/>
        </w:rPr>
        <w:t xml:space="preserve">The system maintains a library of breach scenario templates, each derived from real HHS enforcement actions and breach reports. Initial scenarios to implement:</w:t>
      </w:r>
    </w:p>
    <w:p>
      <w:pPr>
        <w:pStyle w:val="ListParagraph"/>
        <w:numPr>
          <w:ilvl w:val="0"/>
          <w:numId w:val="2"/>
        </w:numPr>
        <w:spacing w:before="55" w:after="55"/>
      </w:pPr>
      <w:r>
        <w:rPr>
          <w:rFonts w:ascii="Arial" w:cs="Arial" w:eastAsia="Arial" w:hAnsi="Arial"/>
          <w:color w:val="1A1A1A"/>
          <w:sz w:val="22"/>
          <w:szCs w:val="22"/>
        </w:rPr>
        <w:t xml:space="preserve">Phishing credential compromise: staff member clicks malicious link, credentials used to access EHR</w:t>
      </w:r>
    </w:p>
    <w:p>
      <w:pPr>
        <w:pStyle w:val="ListParagraph"/>
        <w:numPr>
          <w:ilvl w:val="0"/>
          <w:numId w:val="2"/>
        </w:numPr>
        <w:spacing w:before="55" w:after="55"/>
      </w:pPr>
      <w:r>
        <w:rPr>
          <w:rFonts w:ascii="Arial" w:cs="Arial" w:eastAsia="Arial" w:hAnsi="Arial"/>
          <w:color w:val="1A1A1A"/>
          <w:sz w:val="22"/>
          <w:szCs w:val="22"/>
        </w:rPr>
        <w:t xml:space="preserve">Ransomware via unpatched system: encrypted systems, operational shutdown, potential PHI exfiltration</w:t>
      </w:r>
    </w:p>
    <w:p>
      <w:pPr>
        <w:pStyle w:val="ListParagraph"/>
        <w:numPr>
          <w:ilvl w:val="0"/>
          <w:numId w:val="2"/>
        </w:numPr>
        <w:spacing w:before="55" w:after="55"/>
      </w:pPr>
      <w:r>
        <w:rPr>
          <w:rFonts w:ascii="Arial" w:cs="Arial" w:eastAsia="Arial" w:hAnsi="Arial"/>
          <w:color w:val="1A1A1A"/>
          <w:sz w:val="22"/>
          <w:szCs w:val="22"/>
        </w:rPr>
        <w:t xml:space="preserve">Insider access: workforce member inappropriately accesses patient records</w:t>
      </w:r>
    </w:p>
    <w:p>
      <w:pPr>
        <w:pStyle w:val="ListParagraph"/>
        <w:numPr>
          <w:ilvl w:val="0"/>
          <w:numId w:val="2"/>
        </w:numPr>
        <w:spacing w:before="55" w:after="55"/>
      </w:pPr>
      <w:r>
        <w:rPr>
          <w:rFonts w:ascii="Arial" w:cs="Arial" w:eastAsia="Arial" w:hAnsi="Arial"/>
          <w:color w:val="1A1A1A"/>
          <w:sz w:val="22"/>
          <w:szCs w:val="22"/>
        </w:rPr>
        <w:t xml:space="preserve">Lost/stolen device: unencrypted laptop or mobile device with cached PHI</w:t>
      </w:r>
    </w:p>
    <w:p>
      <w:pPr>
        <w:pStyle w:val="ListParagraph"/>
        <w:numPr>
          <w:ilvl w:val="0"/>
          <w:numId w:val="2"/>
        </w:numPr>
        <w:spacing w:before="55" w:after="55"/>
      </w:pPr>
      <w:r>
        <w:rPr>
          <w:rFonts w:ascii="Arial" w:cs="Arial" w:eastAsia="Arial" w:hAnsi="Arial"/>
          <w:color w:val="1A1A1A"/>
          <w:sz w:val="22"/>
          <w:szCs w:val="22"/>
        </w:rPr>
        <w:t xml:space="preserve">Vendor breach: business associate suffers breach exposing client's PHI</w:t>
      </w:r>
    </w:p>
    <w:p>
      <w:pPr>
        <w:spacing w:before="60" w:after="0"/>
      </w:pPr>
      <w:r>
        <w:t xml:space="preserve"/>
      </w:r>
    </w:p>
    <w:p>
      <w:pPr>
        <w:spacing w:before="80" w:after="80"/>
      </w:pPr>
      <w:r>
        <w:rPr>
          <w:rFonts w:ascii="Arial" w:cs="Arial" w:eastAsia="Arial" w:hAnsi="Arial"/>
          <w:color w:val="1A1A1A"/>
          <w:sz w:val="22"/>
          <w:szCs w:val="22"/>
        </w:rPr>
        <w:t xml:space="preserve">Each scenario template defines: the initial compromise vector, a decision tree of events that follow, the compliance controls that are tested at each decision point, and the regulatory and financial outcomes associated with each path.</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Client Configuration Mapping</w:t>
      </w:r>
    </w:p>
    <w:p>
      <w:pPr>
        <w:spacing w:before="80" w:after="80"/>
      </w:pPr>
      <w:r>
        <w:rPr>
          <w:rFonts w:ascii="Arial" w:cs="Arial" w:eastAsia="Arial" w:hAnsi="Arial"/>
          <w:color w:val="1A1A1A"/>
          <w:sz w:val="22"/>
          <w:szCs w:val="22"/>
        </w:rPr>
        <w:t xml:space="preserve">Before running a simulation, the scenario is personalized to the client's actual configuration. The system maps the scenario's decision tree against the client's current compliance state:</w:t>
      </w:r>
    </w:p>
    <w:p>
      <w:pPr>
        <w:pStyle w:val="ListParagraph"/>
        <w:numPr>
          <w:ilvl w:val="0"/>
          <w:numId w:val="2"/>
        </w:numPr>
        <w:spacing w:before="55" w:after="55"/>
      </w:pPr>
      <w:r>
        <w:rPr>
          <w:rFonts w:ascii="Arial" w:cs="Arial" w:eastAsia="Arial" w:hAnsi="Arial"/>
          <w:color w:val="1A1A1A"/>
          <w:sz w:val="22"/>
          <w:szCs w:val="22"/>
        </w:rPr>
        <w:t xml:space="preserve">Which controls do they have in place? (from their evidence collection profile)</w:t>
      </w:r>
    </w:p>
    <w:p>
      <w:pPr>
        <w:pStyle w:val="ListParagraph"/>
        <w:numPr>
          <w:ilvl w:val="0"/>
          <w:numId w:val="2"/>
        </w:numPr>
        <w:spacing w:before="55" w:after="55"/>
      </w:pPr>
      <w:r>
        <w:rPr>
          <w:rFonts w:ascii="Arial" w:cs="Arial" w:eastAsia="Arial" w:hAnsi="Arial"/>
          <w:color w:val="1A1A1A"/>
          <w:sz w:val="22"/>
          <w:szCs w:val="22"/>
        </w:rPr>
        <w:t xml:space="preserve">Which gaps exist that would affect this scenario? (from their gap assessment)</w:t>
      </w:r>
    </w:p>
    <w:p>
      <w:pPr>
        <w:pStyle w:val="ListParagraph"/>
        <w:numPr>
          <w:ilvl w:val="0"/>
          <w:numId w:val="2"/>
        </w:numPr>
        <w:spacing w:before="55" w:after="55"/>
      </w:pPr>
      <w:r>
        <w:rPr>
          <w:rFonts w:ascii="Arial" w:cs="Arial" w:eastAsia="Arial" w:hAnsi="Arial"/>
          <w:color w:val="1A1A1A"/>
          <w:sz w:val="22"/>
          <w:szCs w:val="22"/>
        </w:rPr>
        <w:t xml:space="preserve">What is their documented incident response procedure? (from uploaded policies)</w:t>
      </w:r>
    </w:p>
    <w:p>
      <w:pPr>
        <w:pStyle w:val="ListParagraph"/>
        <w:numPr>
          <w:ilvl w:val="0"/>
          <w:numId w:val="2"/>
        </w:numPr>
        <w:spacing w:before="55" w:after="55"/>
      </w:pPr>
      <w:r>
        <w:rPr>
          <w:rFonts w:ascii="Arial" w:cs="Arial" w:eastAsia="Arial" w:hAnsi="Arial"/>
          <w:color w:val="1A1A1A"/>
          <w:sz w:val="22"/>
          <w:szCs w:val="22"/>
        </w:rPr>
        <w:t xml:space="preserve">Do they have cyber liability insurance? What are the coverage limits? (from onboarding profile)</w:t>
      </w:r>
    </w:p>
    <w:p>
      <w:pPr>
        <w:spacing w:before="60" w:after="0"/>
      </w:pPr>
      <w:r>
        <w:t xml:space="preserve"/>
      </w:r>
    </w:p>
    <w:p>
      <w:pPr>
        <w:spacing w:before="80" w:after="80"/>
      </w:pPr>
      <w:r>
        <w:rPr>
          <w:rFonts w:ascii="Arial" w:cs="Arial" w:eastAsia="Arial" w:hAnsi="Arial"/>
          <w:color w:val="1A1A1A"/>
          <w:sz w:val="22"/>
          <w:szCs w:val="22"/>
        </w:rPr>
        <w:t xml:space="preserve">The simulation then runs the scenario through the client's specific state, not a generic template. If they have MFA enabled, the phishing scenario's credential compromise step becomes significantly harder. If they lack a documented incident response plan, the detection and containment timeline extends — measurably increasing their regulatory exposure window.</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The Simulation Engine</w:t>
      </w:r>
    </w:p>
    <w:p>
      <w:pPr>
        <w:spacing w:before="80" w:after="80"/>
      </w:pPr>
      <w:r>
        <w:rPr>
          <w:rFonts w:ascii="Arial" w:cs="Arial" w:eastAsia="Arial" w:hAnsi="Arial"/>
          <w:color w:val="1A1A1A"/>
          <w:sz w:val="22"/>
          <w:szCs w:val="22"/>
        </w:rPr>
        <w:t xml:space="preserve">The simulation is not a static report — it is an interactive session. The client or their administrator walks through each phase of the breach:</w:t>
      </w:r>
    </w:p>
    <w:p>
      <w:pPr>
        <w:pStyle w:val="ListParagraph"/>
        <w:numPr>
          <w:ilvl w:val="0"/>
          <w:numId w:val="2"/>
        </w:numPr>
        <w:spacing w:before="55" w:after="55"/>
      </w:pPr>
      <w:r>
        <w:rPr>
          <w:rFonts w:ascii="Arial" w:cs="Arial" w:eastAsia="Arial" w:hAnsi="Arial"/>
          <w:color w:val="1A1A1A"/>
          <w:sz w:val="22"/>
          <w:szCs w:val="22"/>
        </w:rPr>
        <w:t xml:space="preserve">Detection phase: given your current monitoring controls, how long before this breach is detected? The system calculates a realistic detection window based on whether audit logging is enabled, whether anomaly detection is active, and whether they have a documented monitoring procedure.</w:t>
      </w:r>
    </w:p>
    <w:p>
      <w:pPr>
        <w:pStyle w:val="ListParagraph"/>
        <w:numPr>
          <w:ilvl w:val="0"/>
          <w:numId w:val="2"/>
        </w:numPr>
        <w:spacing w:before="55" w:after="55"/>
      </w:pPr>
      <w:r>
        <w:rPr>
          <w:rFonts w:ascii="Arial" w:cs="Arial" w:eastAsia="Arial" w:hAnsi="Arial"/>
          <w:color w:val="1A1A1A"/>
          <w:sz w:val="22"/>
          <w:szCs w:val="22"/>
        </w:rPr>
        <w:t xml:space="preserve">Containment phase: given your incident response plan (or lack of one), what containment steps can you take and how long do they take?</w:t>
      </w:r>
    </w:p>
    <w:p>
      <w:pPr>
        <w:pStyle w:val="ListParagraph"/>
        <w:numPr>
          <w:ilvl w:val="0"/>
          <w:numId w:val="2"/>
        </w:numPr>
        <w:spacing w:before="55" w:after="55"/>
      </w:pPr>
      <w:r>
        <w:rPr>
          <w:rFonts w:ascii="Arial" w:cs="Arial" w:eastAsia="Arial" w:hAnsi="Arial"/>
          <w:color w:val="1A1A1A"/>
          <w:sz w:val="22"/>
          <w:szCs w:val="22"/>
        </w:rPr>
        <w:t xml:space="preserve">Assessment phase: can you determine the scope of PHI affected? Do you have the access logs to reconstruct what was accessed?</w:t>
      </w:r>
    </w:p>
    <w:p>
      <w:pPr>
        <w:pStyle w:val="ListParagraph"/>
        <w:numPr>
          <w:ilvl w:val="0"/>
          <w:numId w:val="2"/>
        </w:numPr>
        <w:spacing w:before="55" w:after="55"/>
      </w:pPr>
      <w:r>
        <w:rPr>
          <w:rFonts w:ascii="Arial" w:cs="Arial" w:eastAsia="Arial" w:hAnsi="Arial"/>
          <w:color w:val="1A1A1A"/>
          <w:sz w:val="22"/>
          <w:szCs w:val="22"/>
        </w:rPr>
        <w:t xml:space="preserve">Notification phase: HIPAA requires breach notification within 60 days. Do you have the documentation to complete the required risk assessment? Do you know who your covered patients are and how to contact them?</w:t>
      </w:r>
    </w:p>
    <w:p>
      <w:pPr>
        <w:spacing w:before="60" w:after="0"/>
      </w:pPr>
      <w:r>
        <w:t xml:space="preserve"/>
      </w:r>
    </w:p>
    <w:p>
      <w:pPr>
        <w:spacing w:before="80" w:after="80"/>
      </w:pPr>
      <w:r>
        <w:rPr>
          <w:rFonts w:ascii="Arial" w:cs="Arial" w:eastAsia="Arial" w:hAnsi="Arial"/>
          <w:color w:val="1A1A1A"/>
          <w:sz w:val="22"/>
          <w:szCs w:val="22"/>
        </w:rPr>
        <w:t xml:space="preserve">At each phase, the system evaluates the client's current state and shows: with your current controls, this is what happens. With this specific gap closed, this is what would be different.</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Output: The Breach Narrative Report</w:t>
      </w:r>
    </w:p>
    <w:p>
      <w:pPr>
        <w:spacing w:before="80" w:after="80"/>
      </w:pPr>
      <w:r>
        <w:rPr>
          <w:rFonts w:ascii="Arial" w:cs="Arial" w:eastAsia="Arial" w:hAnsi="Arial"/>
          <w:color w:val="1A1A1A"/>
          <w:sz w:val="22"/>
          <w:szCs w:val="22"/>
        </w:rPr>
        <w:t xml:space="preserve">The simulation produces a narrative report — not a checklist — that tells the story of the breach from initial compromise to regulatory resolution. It includes:</w:t>
      </w:r>
    </w:p>
    <w:p>
      <w:pPr>
        <w:pStyle w:val="ListParagraph"/>
        <w:numPr>
          <w:ilvl w:val="0"/>
          <w:numId w:val="2"/>
        </w:numPr>
        <w:spacing w:before="55" w:after="55"/>
      </w:pPr>
      <w:r>
        <w:rPr>
          <w:rFonts w:ascii="Arial" w:cs="Arial" w:eastAsia="Arial" w:hAnsi="Arial"/>
          <w:color w:val="1A1A1A"/>
          <w:sz w:val="22"/>
          <w:szCs w:val="22"/>
        </w:rPr>
        <w:t xml:space="preserve">Timeline: how long each phase takes given current controls</w:t>
      </w:r>
    </w:p>
    <w:p>
      <w:pPr>
        <w:pStyle w:val="ListParagraph"/>
        <w:numPr>
          <w:ilvl w:val="0"/>
          <w:numId w:val="2"/>
        </w:numPr>
        <w:spacing w:before="55" w:after="55"/>
      </w:pPr>
      <w:r>
        <w:rPr>
          <w:rFonts w:ascii="Arial" w:cs="Arial" w:eastAsia="Arial" w:hAnsi="Arial"/>
          <w:color w:val="1A1A1A"/>
          <w:sz w:val="22"/>
          <w:szCs w:val="22"/>
        </w:rPr>
        <w:t xml:space="preserve">PHI exposure window: the duration during which patient data was potentially accessible</w:t>
      </w:r>
    </w:p>
    <w:p>
      <w:pPr>
        <w:pStyle w:val="ListParagraph"/>
        <w:numPr>
          <w:ilvl w:val="0"/>
          <w:numId w:val="2"/>
        </w:numPr>
        <w:spacing w:before="55" w:after="55"/>
      </w:pPr>
      <w:r>
        <w:rPr>
          <w:rFonts w:ascii="Arial" w:cs="Arial" w:eastAsia="Arial" w:hAnsi="Arial"/>
          <w:color w:val="1A1A1A"/>
          <w:sz w:val="22"/>
          <w:szCs w:val="22"/>
        </w:rPr>
        <w:t xml:space="preserve">Notification obligation: does this breach require individual notification? Media notice? HHS reporting?</w:t>
      </w:r>
    </w:p>
    <w:p>
      <w:pPr>
        <w:pStyle w:val="ListParagraph"/>
        <w:numPr>
          <w:ilvl w:val="0"/>
          <w:numId w:val="2"/>
        </w:numPr>
        <w:spacing w:before="55" w:after="55"/>
      </w:pPr>
      <w:r>
        <w:rPr>
          <w:rFonts w:ascii="Arial" w:cs="Arial" w:eastAsia="Arial" w:hAnsi="Arial"/>
          <w:color w:val="1A1A1A"/>
          <w:sz w:val="22"/>
          <w:szCs w:val="22"/>
        </w:rPr>
        <w:t xml:space="preserve">Financial exposure: penalty range calculation (detailed in Feature 4), litigation risk, notification costs</w:t>
      </w:r>
    </w:p>
    <w:p>
      <w:pPr>
        <w:pStyle w:val="ListParagraph"/>
        <w:numPr>
          <w:ilvl w:val="0"/>
          <w:numId w:val="2"/>
        </w:numPr>
        <w:spacing w:before="55" w:after="55"/>
      </w:pPr>
      <w:r>
        <w:rPr>
          <w:rFonts w:ascii="Arial" w:cs="Arial" w:eastAsia="Arial" w:hAnsi="Arial"/>
          <w:color w:val="1A1A1A"/>
          <w:sz w:val="22"/>
          <w:szCs w:val="22"/>
        </w:rPr>
        <w:t xml:space="preserve">Gap contribution: for each gap that worsened the outcome, a specific before/after showing how closing that gap would have changed the scenario</w:t>
      </w:r>
    </w:p>
    <w:p>
      <w:pPr>
        <w:spacing w:before="60" w:after="0"/>
      </w:pPr>
      <w:r>
        <w:t xml:space="preserve"/>
      </w:r>
    </w:p>
    <w:p>
      <w:pPr>
        <w:spacing w:before="80" w:after="80"/>
      </w:pPr>
      <w:r>
        <w:rPr>
          <w:rFonts w:ascii="Arial" w:cs="Arial" w:eastAsia="Arial" w:hAnsi="Arial"/>
          <w:color w:val="1A1A1A"/>
          <w:sz w:val="22"/>
          <w:szCs w:val="22"/>
        </w:rPr>
        <w:t xml:space="preserve">This report is also a powerful sales tool. Running a prospect through their own breach scenario — before they are a paying customer — is the most compelling demo possible. The prospect sees, in concrete narrative form, exactly why they need your platform.</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 / Notes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Scenario Engine</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Python state machine (transitions library)</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Models breach progression as state machine. Each state has conditions and transitions based on client control presence.</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Scenario Templates</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JSON + PostgreSQL</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Templates stored as structured JSON with condition trees. Versioned as regulations evolve.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Interactive UI</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React (multi-step wizard)</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Step-by-step simulation walkthrough. Each phase shows current state, what controls are evaluated, and counterfactual outcomes.</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Narrative Generation</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Claude API (claude-sonnet-4-6)</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LLM generates the readable narrative from simulation output data. Grounded in structured scenario results, not free generation.</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Report Export</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PDF generation (Puppeteer)</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Branded PDF of breach narrative report. Client can share with leadership, board, or insurance broker.</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Scenario Analytics</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PostgreSQL + aggregation queries</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Tracks which scenarios run most, which gaps most commonly worsen outcomes, feeds back to risk engine.</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Concrete Use Case</w:t>
      </w:r>
    </w:p>
    <w:p>
      <w:pPr>
        <w:spacing w:before="80" w:after="80"/>
      </w:pPr>
      <w:r>
        <w:rPr>
          <w:rFonts w:ascii="Arial" w:cs="Arial" w:eastAsia="Arial" w:hAnsi="Arial"/>
          <w:color w:val="1A1A1A"/>
          <w:sz w:val="22"/>
          <w:szCs w:val="22"/>
        </w:rPr>
        <w:t xml:space="preserve">A prospect — a behavioral health practice — agrees to a free breach simulation demo before committing to the platform. They select the 'lost device' scenario. Their profile shows: no MDM solution, no device encryption policy, staff use personal phones to access the EHR.</w:t>
      </w:r>
    </w:p>
    <w:p>
      <w:pPr>
        <w:spacing w:before="60" w:after="0"/>
      </w:pPr>
      <w:r>
        <w:t xml:space="preserve"/>
      </w:r>
    </w:p>
    <w:p>
      <w:pPr>
        <w:spacing w:before="80" w:after="80"/>
      </w:pPr>
      <w:r>
        <w:rPr>
          <w:rFonts w:ascii="Arial" w:cs="Arial" w:eastAsia="Arial" w:hAnsi="Arial"/>
          <w:color w:val="1A1A1A"/>
          <w:sz w:val="22"/>
          <w:szCs w:val="22"/>
        </w:rPr>
        <w:t xml:space="preserve">The simulation shows: a staff member's personal phone is lost at a coffee shop. The phone had cached EHR credentials. Without device encryption, the finder has direct access to patient records for approximately 340 patients. Detection time with current controls: 8-14 days (no MDM means no remote wipe capability and no device inventory to flag the missing device). PHI exposure window: 8-14 days. Notification obligation: yes — individual notification to 340 patients, HHS report, potential media notice if over 500 affected patients in a state. Estimated regulatory exposure: $85,000–$210,000.</w:t>
      </w:r>
    </w:p>
    <w:p>
      <w:pPr>
        <w:spacing w:before="60" w:after="0"/>
      </w:pPr>
      <w:r>
        <w:t xml:space="preserve"/>
      </w:r>
    </w:p>
    <w:p>
      <w:pPr>
        <w:spacing w:before="80" w:after="80"/>
      </w:pPr>
      <w:r>
        <w:rPr>
          <w:rFonts w:ascii="Arial" w:cs="Arial" w:eastAsia="Arial" w:hAnsi="Arial"/>
          <w:color w:val="1A1A1A"/>
          <w:sz w:val="22"/>
          <w:szCs w:val="22"/>
        </w:rPr>
        <w:t xml:space="preserve">With MDM and device encryption in place — two controls with combined implementation cost under $2,000/year — the scenario changes entirely: remote wipe within 2 hours of report, PHI exposure window reduced to under 2 hours, breach may not meet reportable threshold under the HIPAA risk assessment standard.</w:t>
      </w:r>
    </w:p>
    <w:p>
      <w:pPr>
        <w:spacing w:before="60" w:after="0"/>
      </w:pPr>
      <w:r>
        <w:t xml:space="preserve"/>
      </w:r>
    </w:p>
    <w:p>
      <w:pPr>
        <w:spacing w:before="80" w:after="80"/>
      </w:pPr>
      <w:r>
        <w:rPr>
          <w:rFonts w:ascii="Arial" w:cs="Arial" w:eastAsia="Arial" w:hAnsi="Arial"/>
          <w:color w:val="1A1A1A"/>
          <w:sz w:val="22"/>
          <w:szCs w:val="22"/>
        </w:rPr>
        <w:t xml:space="preserve">The prospect signs up the same day.</w:t>
      </w:r>
    </w:p>
    <w:p>
      <w:pPr>
        <w:pBdr>
          <w:bottom w:val="single" w:color="D6E9F8" w:sz="4" w:space="1"/>
        </w:pBdr>
        <w:spacing w:before="180" w:after="180"/>
      </w:pPr>
      <w:r>
        <w:t xml:space="preserve"/>
      </w:r>
    </w:p>
    <w:p>
      <w:r>
        <w:br w:type="page"/>
      </w:r>
    </w:p>
    <w:p>
      <w:pPr>
        <w:spacing w:before="0" w:after="140"/>
      </w:pPr>
      <w:r>
        <w:rPr>
          <w:rFonts w:ascii="Arial" w:cs="Arial" w:eastAsia="Arial" w:hAnsi="Arial"/>
          <w:b/>
          <w:bCs/>
          <w:color w:val="1A7F7F"/>
          <w:sz w:val="28"/>
          <w:szCs w:val="28"/>
        </w:rPr>
        <w:t xml:space="preserve">FEATURE 03  </w:t>
      </w:r>
      <w:r>
        <w:rPr>
          <w:rFonts w:ascii="Arial" w:cs="Arial" w:eastAsia="Arial" w:hAnsi="Arial"/>
          <w:b/>
          <w:bCs/>
          <w:color w:val="1F3864"/>
          <w:sz w:val="28"/>
          <w:szCs w:val="28"/>
        </w:rPr>
        <w:t xml:space="preserve">Automated Evidence Collection</w:t>
      </w:r>
    </w:p>
    <w:p>
      <w:pPr>
        <w:spacing w:before="60" w:after="60"/>
      </w:pPr>
      <w:r>
        <w:rPr>
          <w:rFonts w:ascii="Arial" w:cs="Arial" w:eastAsia="Arial" w:hAnsi="Arial"/>
          <w:i/>
          <w:iCs/>
          <w:color w:val="555555"/>
          <w:sz w:val="18"/>
          <w:szCs w:val="18"/>
        </w:rPr>
        <w:t xml:space="preserve">Eliminates the manual burden of compliance documentation by automatically pulling evidence from systems clients already use</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What Problem This Solves</w:t>
      </w:r>
    </w:p>
    <w:p>
      <w:pPr>
        <w:spacing w:before="80" w:after="80"/>
      </w:pPr>
      <w:r>
        <w:rPr>
          <w:rFonts w:ascii="Arial" w:cs="Arial" w:eastAsia="Arial" w:hAnsi="Arial"/>
          <w:color w:val="1A1A1A"/>
          <w:sz w:val="22"/>
          <w:szCs w:val="22"/>
        </w:rPr>
        <w:t xml:space="preserve">Evidence collection is the most time-consuming and most resented part of compliance management. Clients are asked to upload screenshots, export reports, and document configurations manually — work that feels pointless and repetitive. Most clients do it poorly, inconsistently, or not at all until an audit is imminent. Automated evidence collection eliminates this friction entirely and as a side effect produces better, more continuous evidence than any manual process could.</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Integration Architecture</w:t>
      </w:r>
    </w:p>
    <w:p>
      <w:pPr>
        <w:spacing w:before="80" w:after="80"/>
      </w:pPr>
      <w:r>
        <w:rPr>
          <w:rFonts w:ascii="Arial" w:cs="Arial" w:eastAsia="Arial" w:hAnsi="Arial"/>
          <w:color w:val="1A1A1A"/>
          <w:sz w:val="22"/>
          <w:szCs w:val="22"/>
        </w:rPr>
        <w:t xml:space="preserve">The system connects to third-party platforms via OAuth 2.0 or API keys granted during onboarding. Each integration is scoped to read-only permissions — the system never writes to or modifies client systems. Permissions are requested incrementally: the client connects integrations as they become relevant to their compliance workflow.</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Integration Category 1: Identity &amp; Access Management</w:t>
      </w:r>
    </w:p>
    <w:p>
      <w:pPr>
        <w:spacing w:before="80" w:after="80"/>
      </w:pPr>
      <w:r>
        <w:rPr>
          <w:rFonts w:ascii="Arial" w:cs="Arial" w:eastAsia="Arial" w:hAnsi="Arial"/>
          <w:color w:val="1A1A1A"/>
          <w:sz w:val="22"/>
          <w:szCs w:val="22"/>
        </w:rPr>
        <w:t xml:space="preserve">These integrations provide the most direct compliance evidence for access control requirements:</w:t>
      </w:r>
    </w:p>
    <w:p>
      <w:pPr>
        <w:spacing w:before="60" w:after="0"/>
      </w:pPr>
      <w:r>
        <w:t xml:space="preserve"/>
      </w:r>
    </w:p>
    <w:p>
      <w:pPr>
        <w:pStyle w:val="ListParagraph"/>
        <w:numPr>
          <w:ilvl w:val="0"/>
          <w:numId w:val="2"/>
        </w:numPr>
        <w:spacing w:before="55" w:after="55"/>
      </w:pPr>
      <w:r>
        <w:rPr>
          <w:rFonts w:ascii="Arial" w:cs="Arial" w:eastAsia="Arial" w:hAnsi="Arial"/>
          <w:color w:val="1A1A1A"/>
          <w:sz w:val="22"/>
          <w:szCs w:val="22"/>
        </w:rPr>
        <w:t xml:space="preserve">Microsoft Entra ID (Azure AD): MFA enrollment per user, conditional access policies, privileged role assignments, inactive account detection, password policy configuration, sign-in logs for anomaly detection</w:t>
      </w:r>
    </w:p>
    <w:p>
      <w:pPr>
        <w:pStyle w:val="ListParagraph"/>
        <w:numPr>
          <w:ilvl w:val="0"/>
          <w:numId w:val="2"/>
        </w:numPr>
        <w:spacing w:before="55" w:after="55"/>
      </w:pPr>
      <w:r>
        <w:rPr>
          <w:rFonts w:ascii="Arial" w:cs="Arial" w:eastAsia="Arial" w:hAnsi="Arial"/>
          <w:color w:val="1A1A1A"/>
          <w:sz w:val="22"/>
          <w:szCs w:val="22"/>
        </w:rPr>
        <w:t xml:space="preserve">Google Workspace: 2-step verification status per user, admin role assignments, OAuth app authorizations, audit log access, data export controls</w:t>
      </w:r>
    </w:p>
    <w:p>
      <w:pPr>
        <w:pStyle w:val="ListParagraph"/>
        <w:numPr>
          <w:ilvl w:val="0"/>
          <w:numId w:val="2"/>
        </w:numPr>
        <w:spacing w:before="55" w:after="55"/>
      </w:pPr>
      <w:r>
        <w:rPr>
          <w:rFonts w:ascii="Arial" w:cs="Arial" w:eastAsia="Arial" w:hAnsi="Arial"/>
          <w:color w:val="1A1A1A"/>
          <w:sz w:val="22"/>
          <w:szCs w:val="22"/>
        </w:rPr>
        <w:t xml:space="preserve">Okta: MFA policy status, application access grants, lifecycle management events, authentication policy details</w:t>
      </w:r>
    </w:p>
    <w:p>
      <w:pPr>
        <w:spacing w:before="60" w:after="0"/>
      </w:pPr>
      <w:r>
        <w:t xml:space="preserve"/>
      </w:r>
    </w:p>
    <w:p>
      <w:pPr>
        <w:spacing w:before="80" w:after="80"/>
      </w:pPr>
      <w:r>
        <w:rPr>
          <w:rFonts w:ascii="Arial" w:cs="Arial" w:eastAsia="Arial" w:hAnsi="Arial"/>
          <w:color w:val="1A1A1A"/>
          <w:sz w:val="22"/>
          <w:szCs w:val="22"/>
        </w:rPr>
        <w:t xml:space="preserve">Evidence collected: for each user account, the system generates a timestamped evidence record confirming MFA status, access level, and last activity. This evidence is automatically linked to the relevant HIPAA access control and authentication requirements in the knowledge graph.</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Integration Category 2: Cloud Infrastructure</w:t>
      </w:r>
    </w:p>
    <w:p>
      <w:pPr>
        <w:pStyle w:val="ListParagraph"/>
        <w:numPr>
          <w:ilvl w:val="0"/>
          <w:numId w:val="2"/>
        </w:numPr>
        <w:spacing w:before="55" w:after="55"/>
      </w:pPr>
      <w:r>
        <w:rPr>
          <w:rFonts w:ascii="Arial" w:cs="Arial" w:eastAsia="Arial" w:hAnsi="Arial"/>
          <w:color w:val="1A1A1A"/>
          <w:sz w:val="22"/>
          <w:szCs w:val="22"/>
        </w:rPr>
        <w:t xml:space="preserve">AWS: S3 bucket encryption and public access settings, CloudTrail logging status, IAM policy analysis, RDS encryption, VPC security groups, GuardDuty findings</w:t>
      </w:r>
    </w:p>
    <w:p>
      <w:pPr>
        <w:pStyle w:val="ListParagraph"/>
        <w:numPr>
          <w:ilvl w:val="0"/>
          <w:numId w:val="2"/>
        </w:numPr>
        <w:spacing w:before="55" w:after="55"/>
      </w:pPr>
      <w:r>
        <w:rPr>
          <w:rFonts w:ascii="Arial" w:cs="Arial" w:eastAsia="Arial" w:hAnsi="Arial"/>
          <w:color w:val="1A1A1A"/>
          <w:sz w:val="22"/>
          <w:szCs w:val="22"/>
        </w:rPr>
        <w:t xml:space="preserve">Azure: Storage encryption, Defender for Cloud status, network security groups, key vault configuration, activity logs</w:t>
      </w:r>
    </w:p>
    <w:p>
      <w:pPr>
        <w:pStyle w:val="ListParagraph"/>
        <w:numPr>
          <w:ilvl w:val="0"/>
          <w:numId w:val="2"/>
        </w:numPr>
        <w:spacing w:before="55" w:after="55"/>
      </w:pPr>
      <w:r>
        <w:rPr>
          <w:rFonts w:ascii="Arial" w:cs="Arial" w:eastAsia="Arial" w:hAnsi="Arial"/>
          <w:color w:val="1A1A1A"/>
          <w:sz w:val="22"/>
          <w:szCs w:val="22"/>
        </w:rPr>
        <w:t xml:space="preserve">Google Cloud: Cloud Storage encryption, VPC firewall rules, Cloud Audit Logs, Security Command Center findings</w:t>
      </w:r>
    </w:p>
    <w:p>
      <w:pPr>
        <w:spacing w:before="60" w:after="0"/>
      </w:pPr>
      <w:r>
        <w:t xml:space="preserve"/>
      </w:r>
    </w:p>
    <w:p>
      <w:pPr>
        <w:spacing w:before="80" w:after="80"/>
      </w:pPr>
      <w:r>
        <w:rPr>
          <w:rFonts w:ascii="Arial" w:cs="Arial" w:eastAsia="Arial" w:hAnsi="Arial"/>
          <w:color w:val="1A1A1A"/>
          <w:sz w:val="22"/>
          <w:szCs w:val="22"/>
        </w:rPr>
        <w:t xml:space="preserve">Evidence collected: encryption at rest status, audit logging configuration, network access controls, and active security monitoring status — all timestamped and linked to HIPAA technical safeguard requirements.</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Integration Category 3: Endpoint &amp; Device Management</w:t>
      </w:r>
    </w:p>
    <w:p>
      <w:pPr>
        <w:pStyle w:val="ListParagraph"/>
        <w:numPr>
          <w:ilvl w:val="0"/>
          <w:numId w:val="2"/>
        </w:numPr>
        <w:spacing w:before="55" w:after="55"/>
      </w:pPr>
      <w:r>
        <w:rPr>
          <w:rFonts w:ascii="Arial" w:cs="Arial" w:eastAsia="Arial" w:hAnsi="Arial"/>
          <w:color w:val="1A1A1A"/>
          <w:sz w:val="22"/>
          <w:szCs w:val="22"/>
        </w:rPr>
        <w:t xml:space="preserve">Microsoft Intune: device encryption status, MDM enrollment, remote wipe capability, OS patch compliance, app inventory</w:t>
      </w:r>
    </w:p>
    <w:p>
      <w:pPr>
        <w:pStyle w:val="ListParagraph"/>
        <w:numPr>
          <w:ilvl w:val="0"/>
          <w:numId w:val="2"/>
        </w:numPr>
        <w:spacing w:before="55" w:after="55"/>
      </w:pPr>
      <w:r>
        <w:rPr>
          <w:rFonts w:ascii="Arial" w:cs="Arial" w:eastAsia="Arial" w:hAnsi="Arial"/>
          <w:color w:val="1A1A1A"/>
          <w:sz w:val="22"/>
          <w:szCs w:val="22"/>
        </w:rPr>
        <w:t xml:space="preserve">Jamf (macOS/iOS): FileVault encryption status, device compliance posture, MDM profile status</w:t>
      </w:r>
    </w:p>
    <w:p>
      <w:pPr>
        <w:pStyle w:val="ListParagraph"/>
        <w:numPr>
          <w:ilvl w:val="0"/>
          <w:numId w:val="2"/>
        </w:numPr>
        <w:spacing w:before="55" w:after="55"/>
      </w:pPr>
      <w:r>
        <w:rPr>
          <w:rFonts w:ascii="Arial" w:cs="Arial" w:eastAsia="Arial" w:hAnsi="Arial"/>
          <w:color w:val="1A1A1A"/>
          <w:sz w:val="22"/>
          <w:szCs w:val="22"/>
        </w:rPr>
        <w:t xml:space="preserve">CrowdStrike / SentinelOne: endpoint protection active status, patch compliance, threat detection events</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Integration Category 4: HR &amp; Training Platforms</w:t>
      </w:r>
    </w:p>
    <w:p>
      <w:pPr>
        <w:pStyle w:val="ListParagraph"/>
        <w:numPr>
          <w:ilvl w:val="0"/>
          <w:numId w:val="2"/>
        </w:numPr>
        <w:spacing w:before="55" w:after="55"/>
      </w:pPr>
      <w:r>
        <w:rPr>
          <w:rFonts w:ascii="Arial" w:cs="Arial" w:eastAsia="Arial" w:hAnsi="Arial"/>
          <w:color w:val="1A1A1A"/>
          <w:sz w:val="22"/>
          <w:szCs w:val="22"/>
        </w:rPr>
        <w:t xml:space="preserve">BambooHR / Workday / Rippling: employee roster for workforce training tracking, employment status changes (triggers access review workflow), role changes</w:t>
      </w:r>
    </w:p>
    <w:p>
      <w:pPr>
        <w:pStyle w:val="ListParagraph"/>
        <w:numPr>
          <w:ilvl w:val="0"/>
          <w:numId w:val="2"/>
        </w:numPr>
        <w:spacing w:before="55" w:after="55"/>
      </w:pPr>
      <w:r>
        <w:rPr>
          <w:rFonts w:ascii="Arial" w:cs="Arial" w:eastAsia="Arial" w:hAnsi="Arial"/>
          <w:color w:val="1A1A1A"/>
          <w:sz w:val="22"/>
          <w:szCs w:val="22"/>
        </w:rPr>
        <w:t xml:space="preserve">KnowBe4 / Proofpoint Security Awareness: phishing simulation completion rates, security training completion dates, training scores</w:t>
      </w:r>
    </w:p>
    <w:p>
      <w:pPr>
        <w:pStyle w:val="ListParagraph"/>
        <w:numPr>
          <w:ilvl w:val="0"/>
          <w:numId w:val="2"/>
        </w:numPr>
        <w:spacing w:before="55" w:after="55"/>
      </w:pPr>
      <w:r>
        <w:rPr>
          <w:rFonts w:ascii="Arial" w:cs="Arial" w:eastAsia="Arial" w:hAnsi="Arial"/>
          <w:color w:val="1A1A1A"/>
          <w:sz w:val="22"/>
          <w:szCs w:val="22"/>
        </w:rPr>
        <w:t xml:space="preserve">Custom LMS: SCORM/xAPI completion events for HIPAA-specific training modules</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Integration Category 5: Clinical Systems</w:t>
      </w:r>
    </w:p>
    <w:p>
      <w:pPr>
        <w:pStyle w:val="ListParagraph"/>
        <w:numPr>
          <w:ilvl w:val="0"/>
          <w:numId w:val="2"/>
        </w:numPr>
        <w:spacing w:before="55" w:after="55"/>
      </w:pPr>
      <w:r>
        <w:rPr>
          <w:rFonts w:ascii="Arial" w:cs="Arial" w:eastAsia="Arial" w:hAnsi="Arial"/>
          <w:color w:val="1A1A1A"/>
          <w:sz w:val="22"/>
          <w:szCs w:val="22"/>
        </w:rPr>
        <w:t xml:space="preserve">Epic / Athenahealth / eClinicalWorks (via FHIR APIs where available): audit log access, user access reviews, PHI access patterns — fed into Feature 7 behavior analytics</w:t>
      </w:r>
    </w:p>
    <w:p>
      <w:pPr>
        <w:pStyle w:val="ListParagraph"/>
        <w:numPr>
          <w:ilvl w:val="0"/>
          <w:numId w:val="2"/>
        </w:numPr>
        <w:spacing w:before="55" w:after="55"/>
      </w:pPr>
      <w:r>
        <w:rPr>
          <w:rFonts w:ascii="Arial" w:cs="Arial" w:eastAsia="Arial" w:hAnsi="Arial"/>
          <w:color w:val="1A1A1A"/>
          <w:sz w:val="22"/>
          <w:szCs w:val="22"/>
        </w:rPr>
        <w:t xml:space="preserve">Cloud fax services (Concord, eFax Corporate): BAA verification status, encryption in transit configuration</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Evidence Validation Pipeline</w:t>
      </w:r>
    </w:p>
    <w:p>
      <w:pPr>
        <w:spacing w:before="80" w:after="80"/>
      </w:pPr>
      <w:r>
        <w:rPr>
          <w:rFonts w:ascii="Arial" w:cs="Arial" w:eastAsia="Arial" w:hAnsi="Arial"/>
          <w:color w:val="1A1A1A"/>
          <w:sz w:val="22"/>
          <w:szCs w:val="22"/>
        </w:rPr>
        <w:t xml:space="preserve">Raw API responses are not stored as evidence — they are processed through a validation pipeline that:</w:t>
      </w:r>
    </w:p>
    <w:p>
      <w:pPr>
        <w:pStyle w:val="ListParagraph"/>
        <w:numPr>
          <w:ilvl w:val="0"/>
          <w:numId w:val="2"/>
        </w:numPr>
        <w:spacing w:before="55" w:after="55"/>
      </w:pPr>
      <w:r>
        <w:rPr>
          <w:rFonts w:ascii="Arial" w:cs="Arial" w:eastAsia="Arial" w:hAnsi="Arial"/>
          <w:color w:val="1A1A1A"/>
          <w:sz w:val="22"/>
          <w:szCs w:val="22"/>
        </w:rPr>
        <w:t xml:space="preserve">Normalizes responses into a standard evidence schema regardless of source system</w:t>
      </w:r>
    </w:p>
    <w:p>
      <w:pPr>
        <w:pStyle w:val="ListParagraph"/>
        <w:numPr>
          <w:ilvl w:val="0"/>
          <w:numId w:val="2"/>
        </w:numPr>
        <w:spacing w:before="55" w:after="55"/>
      </w:pPr>
      <w:r>
        <w:rPr>
          <w:rFonts w:ascii="Arial" w:cs="Arial" w:eastAsia="Arial" w:hAnsi="Arial"/>
          <w:color w:val="1A1A1A"/>
          <w:sz w:val="22"/>
          <w:szCs w:val="22"/>
        </w:rPr>
        <w:t xml:space="preserve">Evaluates each data point against the relevant compliance requirement (is this configuration compliant, non-compliant, or indeterminate?)</w:t>
      </w:r>
    </w:p>
    <w:p>
      <w:pPr>
        <w:pStyle w:val="ListParagraph"/>
        <w:numPr>
          <w:ilvl w:val="0"/>
          <w:numId w:val="2"/>
        </w:numPr>
        <w:spacing w:before="55" w:after="55"/>
      </w:pPr>
      <w:r>
        <w:rPr>
          <w:rFonts w:ascii="Arial" w:cs="Arial" w:eastAsia="Arial" w:hAnsi="Arial"/>
          <w:color w:val="1A1A1A"/>
          <w:sz w:val="22"/>
          <w:szCs w:val="22"/>
        </w:rPr>
        <w:t xml:space="preserve">Generates a human-readable evidence description alongside the raw data</w:t>
      </w:r>
    </w:p>
    <w:p>
      <w:pPr>
        <w:pStyle w:val="ListParagraph"/>
        <w:numPr>
          <w:ilvl w:val="0"/>
          <w:numId w:val="2"/>
        </w:numPr>
        <w:spacing w:before="55" w:after="55"/>
      </w:pPr>
      <w:r>
        <w:rPr>
          <w:rFonts w:ascii="Arial" w:cs="Arial" w:eastAsia="Arial" w:hAnsi="Arial"/>
          <w:color w:val="1A1A1A"/>
          <w:sz w:val="22"/>
          <w:szCs w:val="22"/>
        </w:rPr>
        <w:t xml:space="preserve">Assigns a confidence score based on data freshness and source reliability</w:t>
      </w:r>
    </w:p>
    <w:p>
      <w:pPr>
        <w:pStyle w:val="ListParagraph"/>
        <w:numPr>
          <w:ilvl w:val="0"/>
          <w:numId w:val="2"/>
        </w:numPr>
        <w:spacing w:before="55" w:after="55"/>
      </w:pPr>
      <w:r>
        <w:rPr>
          <w:rFonts w:ascii="Arial" w:cs="Arial" w:eastAsia="Arial" w:hAnsi="Arial"/>
          <w:color w:val="1A1A1A"/>
          <w:sz w:val="22"/>
          <w:szCs w:val="22"/>
        </w:rPr>
        <w:t xml:space="preserve">Flags contradictions when manual evidence and automated evidence disagree</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Data Model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integrations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integration_id, client_id, provider, auth_type, scope_granted[], connected_at, last_sync, status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evidence_records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evidence_id, client_id, integration_id, control_ref, collected_at, raw_payload (encrypted), normalized_value, compliant (bool), confidence, expires_at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evidence_gaps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client_id, control_ref, last_evidence_at, evidence_age_days, gap_type (missing | stale | contradicted)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sync_log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sync_id, integration_id, started_at, completed_at, records_collected, errors[], controls_updated[]</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 / Notes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OAuth Flow</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Auth0 or AWS Cognito</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Manages OAuth 2.0 flows for all third-party integrations. Secure token storage with refresh handling.</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Integration Connectors</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Python (httpx async)</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Individual connector per integration. Standardized interface: authenticate(), collect(), normalize(). Runs on Lambda.</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Sync Orchestration</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AWS Step Functions</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Coordinates multi-step sync workflows. Handles retries, partial failures, and parallel collection across integrations.</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Evidence Storage</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PostgreSQL (encrypted JSONB)</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Evidence records with full audit trail. Raw payloads encrypted at rest with per-client KMS keys.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Change Detection</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Hash comparison + DynamoDB</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Stores hash of last sync result. Only processes and stores records when configuration has changed.</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Credential Vault</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AWS Secrets Manager</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API keys and OAuth tokens stored encrypted. Automatic rotation where supported.</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Concrete Use Case</w:t>
      </w:r>
    </w:p>
    <w:p>
      <w:pPr>
        <w:spacing w:before="80" w:after="80"/>
      </w:pPr>
      <w:r>
        <w:rPr>
          <w:rFonts w:ascii="Arial" w:cs="Arial" w:eastAsia="Arial" w:hAnsi="Arial"/>
          <w:color w:val="1A1A1A"/>
          <w:sz w:val="22"/>
          <w:szCs w:val="22"/>
        </w:rPr>
        <w:t xml:space="preserve">A dental group practice completes onboarding on a Monday morning. By Tuesday, they have connected Microsoft 365, Intune, and their EHR. The automated collection runs and surfaces the following without any manual input from the client:</w:t>
      </w:r>
    </w:p>
    <w:p>
      <w:pPr>
        <w:pStyle w:val="ListParagraph"/>
        <w:numPr>
          <w:ilvl w:val="0"/>
          <w:numId w:val="2"/>
        </w:numPr>
        <w:spacing w:before="55" w:after="55"/>
      </w:pPr>
      <w:r>
        <w:rPr>
          <w:rFonts w:ascii="Arial" w:cs="Arial" w:eastAsia="Arial" w:hAnsi="Arial"/>
          <w:color w:val="1A1A1A"/>
          <w:sz w:val="22"/>
          <w:szCs w:val="22"/>
        </w:rPr>
        <w:t xml:space="preserve">3 of 12 staff accounts do not have MFA enrolled (specific accounts identified by name)</w:t>
      </w:r>
    </w:p>
    <w:p>
      <w:pPr>
        <w:pStyle w:val="ListParagraph"/>
        <w:numPr>
          <w:ilvl w:val="0"/>
          <w:numId w:val="2"/>
        </w:numPr>
        <w:spacing w:before="55" w:after="55"/>
      </w:pPr>
      <w:r>
        <w:rPr>
          <w:rFonts w:ascii="Arial" w:cs="Arial" w:eastAsia="Arial" w:hAnsi="Arial"/>
          <w:color w:val="1A1A1A"/>
          <w:sz w:val="22"/>
          <w:szCs w:val="22"/>
        </w:rPr>
        <w:t xml:space="preserve">2 Windows laptops are not enrolled in Intune and therefore have unverified encryption status</w:t>
      </w:r>
    </w:p>
    <w:p>
      <w:pPr>
        <w:pStyle w:val="ListParagraph"/>
        <w:numPr>
          <w:ilvl w:val="0"/>
          <w:numId w:val="2"/>
        </w:numPr>
        <w:spacing w:before="55" w:after="55"/>
      </w:pPr>
      <w:r>
        <w:rPr>
          <w:rFonts w:ascii="Arial" w:cs="Arial" w:eastAsia="Arial" w:hAnsi="Arial"/>
          <w:color w:val="1A1A1A"/>
          <w:sz w:val="22"/>
          <w:szCs w:val="22"/>
        </w:rPr>
        <w:t xml:space="preserve">Security awareness training completion: 9 of 12 staff completed HIPAA training, 3 have not (specific staff identified)</w:t>
      </w:r>
    </w:p>
    <w:p>
      <w:pPr>
        <w:pStyle w:val="ListParagraph"/>
        <w:numPr>
          <w:ilvl w:val="0"/>
          <w:numId w:val="2"/>
        </w:numPr>
        <w:spacing w:before="55" w:after="55"/>
      </w:pPr>
      <w:r>
        <w:rPr>
          <w:rFonts w:ascii="Arial" w:cs="Arial" w:eastAsia="Arial" w:hAnsi="Arial"/>
          <w:color w:val="1A1A1A"/>
          <w:sz w:val="22"/>
          <w:szCs w:val="22"/>
        </w:rPr>
        <w:t xml:space="preserve">Azure AD shows one account with Global Administrator privileges that has not been used in 94 days — potential orphaned privileged account</w:t>
      </w:r>
    </w:p>
    <w:p>
      <w:pPr>
        <w:spacing w:before="60" w:after="0"/>
      </w:pPr>
      <w:r>
        <w:t xml:space="preserve"/>
      </w:r>
    </w:p>
    <w:p>
      <w:pPr>
        <w:spacing w:before="80" w:after="80"/>
      </w:pPr>
      <w:r>
        <w:rPr>
          <w:rFonts w:ascii="Arial" w:cs="Arial" w:eastAsia="Arial" w:hAnsi="Arial"/>
          <w:color w:val="1A1A1A"/>
          <w:sz w:val="22"/>
          <w:szCs w:val="22"/>
        </w:rPr>
        <w:t xml:space="preserve">All four findings are generated automatically, linked to specific HIPAA requirements, and presented with enough specificity that the office manager can act immediately — no manual audit, no consultant visit required. The evidence collection continues running weekly, updating the compliance state as configurations change.</w:t>
      </w:r>
    </w:p>
    <w:p>
      <w:pPr>
        <w:pBdr>
          <w:bottom w:val="single" w:color="D6E9F8" w:sz="4" w:space="1"/>
        </w:pBdr>
        <w:spacing w:before="180" w:after="180"/>
      </w:pPr>
      <w:r>
        <w:t xml:space="preserve"/>
      </w:r>
    </w:p>
    <w:p>
      <w:r>
        <w:br w:type="page"/>
      </w:r>
    </w:p>
    <w:p>
      <w:pPr>
        <w:spacing w:before="0" w:after="140"/>
      </w:pPr>
      <w:r>
        <w:rPr>
          <w:rFonts w:ascii="Arial" w:cs="Arial" w:eastAsia="Arial" w:hAnsi="Arial"/>
          <w:b/>
          <w:bCs/>
          <w:color w:val="1A7F7F"/>
          <w:sz w:val="28"/>
          <w:szCs w:val="28"/>
        </w:rPr>
        <w:t xml:space="preserve">FEATURE 04  </w:t>
      </w:r>
      <w:r>
        <w:rPr>
          <w:rFonts w:ascii="Arial" w:cs="Arial" w:eastAsia="Arial" w:hAnsi="Arial"/>
          <w:b/>
          <w:bCs/>
          <w:color w:val="1F3864"/>
          <w:sz w:val="28"/>
          <w:szCs w:val="28"/>
        </w:rPr>
        <w:t xml:space="preserve">Regulatory Penalty Exposure Calculator</w:t>
      </w:r>
    </w:p>
    <w:p>
      <w:pPr>
        <w:spacing w:before="60" w:after="60"/>
      </w:pPr>
      <w:r>
        <w:rPr>
          <w:rFonts w:ascii="Arial" w:cs="Arial" w:eastAsia="Arial" w:hAnsi="Arial"/>
          <w:i/>
          <w:iCs/>
          <w:color w:val="555555"/>
          <w:sz w:val="18"/>
          <w:szCs w:val="18"/>
        </w:rPr>
        <w:t xml:space="preserve">Translates abstract compliance gaps into concrete dollar figures that make resource allocation decisions straightforward</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What Problem This Solves</w:t>
      </w:r>
    </w:p>
    <w:p>
      <w:pPr>
        <w:spacing w:before="80" w:after="80"/>
      </w:pPr>
      <w:r>
        <w:rPr>
          <w:rFonts w:ascii="Arial" w:cs="Arial" w:eastAsia="Arial" w:hAnsi="Arial"/>
          <w:color w:val="1A1A1A"/>
          <w:sz w:val="22"/>
          <w:szCs w:val="22"/>
        </w:rPr>
        <w:t xml:space="preserve">Compliance arguments fail in board rooms because they are abstract. 'We have gaps in our HIPAA posture' does not move budgets. '$340,000 to $1.2 million in potential penalty exposure based on our current state' does. This feature gives business owners and executives the financial language they need to justify compliance investment internally and make rational resource allocation decisions.</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How It Works — Technical Architecture</w:t>
      </w:r>
    </w:p>
    <w:p>
      <w:pPr>
        <w:pStyle w:val="Heading3"/>
        <w:spacing w:before="220" w:after="80"/>
      </w:pPr>
      <w:r>
        <w:rPr>
          <w:rFonts w:ascii="Arial" w:cs="Arial" w:eastAsia="Arial" w:hAnsi="Arial"/>
          <w:b/>
          <w:bCs/>
          <w:color w:val="1A7F7F"/>
          <w:sz w:val="24"/>
          <w:szCs w:val="24"/>
        </w:rPr>
        <w:t xml:space="preserve">HIPAA Penalty Tier Model</w:t>
      </w:r>
    </w:p>
    <w:p>
      <w:pPr>
        <w:spacing w:before="80" w:after="80"/>
      </w:pPr>
      <w:r>
        <w:rPr>
          <w:rFonts w:ascii="Arial" w:cs="Arial" w:eastAsia="Arial" w:hAnsi="Arial"/>
          <w:color w:val="1A1A1A"/>
          <w:sz w:val="22"/>
          <w:szCs w:val="22"/>
        </w:rPr>
        <w:t xml:space="preserve">HIPAA civil monetary penalties are structured in four tiers defined by culpability level. The calculator maps each gap to its most likely tier based on the nature of the violation and the client's history: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Tier 1 — Unknowing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$100–$50,000 per violation. Client did not know and with reasonable diligence could not have known. Annual cap: $25,000.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Tier 2 — Reasonable Cause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$1,000–$50,000 per violation. Client knew or should have known but not willful neglect. Annual cap: $100,000.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Tier 3 — Willful Neglect Corrected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$10,000–$50,000 per violation. Willful neglect but violation corrected within 30 days. Annual cap: $250,000.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Tier 4 — Willful Neglect Uncorrected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$50,000 per violation. Willful neglect not corrected. Annual cap: $1,900,000.</w:t>
            </w:r>
          </w:p>
        </w:tc>
      </w:tr>
    </w:tbl>
    <w:p>
      <w:pPr>
        <w:spacing w:before="60" w:after="0"/>
      </w:pPr>
      <w:r>
        <w:t xml:space="preserve"/>
      </w:r>
    </w:p>
    <w:p>
      <w:pPr>
        <w:spacing w:before="80" w:after="80"/>
      </w:pPr>
      <w:r>
        <w:rPr>
          <w:rFonts w:ascii="Arial" w:cs="Arial" w:eastAsia="Arial" w:hAnsi="Arial"/>
          <w:color w:val="1A1A1A"/>
          <w:sz w:val="22"/>
          <w:szCs w:val="22"/>
        </w:rPr>
        <w:t xml:space="preserve">For a client who has been notified of a gap via your platform and has not remediated it within 30 days, their tier classification moves from Tier 1 toward Tier 3 — because documented awareness of a gap that is not corrected is difficult to characterize as unknowing. This creates a concrete urgency model: the longer a gap remains open after notification, the higher the potential penalty exposure.</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Per-Violation Counting Model</w:t>
      </w:r>
    </w:p>
    <w:p>
      <w:pPr>
        <w:spacing w:before="80" w:after="80"/>
      </w:pPr>
      <w:r>
        <w:rPr>
          <w:rFonts w:ascii="Arial" w:cs="Arial" w:eastAsia="Arial" w:hAnsi="Arial"/>
          <w:color w:val="1A1A1A"/>
          <w:sz w:val="22"/>
          <w:szCs w:val="22"/>
        </w:rPr>
        <w:t xml:space="preserve">HIPAA penalties can be assessed per violation — and a single misconfiguration affecting hundreds of patients can be counted as hundreds of violations. The calculator models this using the client's PHI volume:</w:t>
      </w:r>
    </w:p>
    <w:p>
      <w:pPr>
        <w:pStyle w:val="ListParagraph"/>
        <w:numPr>
          <w:ilvl w:val="0"/>
          <w:numId w:val="2"/>
        </w:numPr>
        <w:spacing w:before="55" w:after="55"/>
      </w:pPr>
      <w:r>
        <w:rPr>
          <w:rFonts w:ascii="Arial" w:cs="Arial" w:eastAsia="Arial" w:hAnsi="Arial"/>
          <w:color w:val="1A1A1A"/>
          <w:sz w:val="22"/>
          <w:szCs w:val="22"/>
        </w:rPr>
        <w:t xml:space="preserve">Patient record count (from onboarding or EHR integration where available)</w:t>
      </w:r>
    </w:p>
    <w:p>
      <w:pPr>
        <w:pStyle w:val="ListParagraph"/>
        <w:numPr>
          <w:ilvl w:val="0"/>
          <w:numId w:val="2"/>
        </w:numPr>
        <w:spacing w:before="55" w:after="55"/>
      </w:pPr>
      <w:r>
        <w:rPr>
          <w:rFonts w:ascii="Arial" w:cs="Arial" w:eastAsia="Arial" w:hAnsi="Arial"/>
          <w:color w:val="1A1A1A"/>
          <w:sz w:val="22"/>
          <w:szCs w:val="22"/>
        </w:rPr>
        <w:t xml:space="preserve">Affected population estimate: for a given gap type, what percentage of total PHI is potentially exposed?</w:t>
      </w:r>
    </w:p>
    <w:p>
      <w:pPr>
        <w:pStyle w:val="ListParagraph"/>
        <w:numPr>
          <w:ilvl w:val="0"/>
          <w:numId w:val="2"/>
        </w:numPr>
        <w:spacing w:before="55" w:after="55"/>
      </w:pPr>
      <w:r>
        <w:rPr>
          <w:rFonts w:ascii="Arial" w:cs="Arial" w:eastAsia="Arial" w:hAnsi="Arial"/>
          <w:color w:val="1A1A1A"/>
          <w:sz w:val="22"/>
          <w:szCs w:val="22"/>
        </w:rPr>
        <w:t xml:space="preserve">Violation count model: conservative, moderate, and aggressive penalty scenarios based on how OCR has counted violations in similar enforcement actions</w:t>
      </w:r>
    </w:p>
    <w:p>
      <w:pPr>
        <w:spacing w:before="60" w:after="0"/>
      </w:pPr>
      <w:r>
        <w:t xml:space="preserve"/>
      </w:r>
    </w:p>
    <w:p>
      <w:pPr>
        <w:spacing w:before="80" w:after="80"/>
      </w:pPr>
      <w:r>
        <w:rPr>
          <w:rFonts w:ascii="Arial" w:cs="Arial" w:eastAsia="Arial" w:hAnsi="Arial"/>
          <w:color w:val="1A1A1A"/>
          <w:sz w:val="22"/>
          <w:szCs w:val="22"/>
        </w:rPr>
        <w:t xml:space="preserve">The output is a range — low, mid, and high exposure scenarios — rather than a single number. This is important for credibility: presenting a range based on documented precedent is more trustworthy than a single alarming figure.</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Additional Exposure Categories</w:t>
      </w:r>
    </w:p>
    <w:p>
      <w:pPr>
        <w:spacing w:before="80" w:after="80"/>
      </w:pPr>
      <w:r>
        <w:rPr>
          <w:rFonts w:ascii="Arial" w:cs="Arial" w:eastAsia="Arial" w:hAnsi="Arial"/>
          <w:color w:val="1A1A1A"/>
          <w:sz w:val="22"/>
          <w:szCs w:val="22"/>
        </w:rPr>
        <w:t xml:space="preserve">The calculator goes beyond regulatory fines to include the full cost of a breach scenario:</w:t>
      </w:r>
    </w:p>
    <w:p>
      <w:pPr>
        <w:pStyle w:val="ListParagraph"/>
        <w:numPr>
          <w:ilvl w:val="0"/>
          <w:numId w:val="2"/>
        </w:numPr>
        <w:spacing w:before="55" w:after="55"/>
      </w:pPr>
      <w:r>
        <w:rPr>
          <w:rFonts w:ascii="Arial" w:cs="Arial" w:eastAsia="Arial" w:hAnsi="Arial"/>
          <w:color w:val="1A1A1A"/>
          <w:sz w:val="22"/>
          <w:szCs w:val="22"/>
        </w:rPr>
        <w:t xml:space="preserve">Individual notification costs: $5–15 per patient for postal notification, identity monitoring services; scales with affected population</w:t>
      </w:r>
    </w:p>
    <w:p>
      <w:pPr>
        <w:pStyle w:val="ListParagraph"/>
        <w:numPr>
          <w:ilvl w:val="0"/>
          <w:numId w:val="2"/>
        </w:numPr>
        <w:spacing w:before="55" w:after="55"/>
      </w:pPr>
      <w:r>
        <w:rPr>
          <w:rFonts w:ascii="Arial" w:cs="Arial" w:eastAsia="Arial" w:hAnsi="Arial"/>
          <w:color w:val="1A1A1A"/>
          <w:sz w:val="22"/>
          <w:szCs w:val="22"/>
        </w:rPr>
        <w:t xml:space="preserve">Media notification: required when over 500 residents of a state are affected; PR/communications costs</w:t>
      </w:r>
    </w:p>
    <w:p>
      <w:pPr>
        <w:pStyle w:val="ListParagraph"/>
        <w:numPr>
          <w:ilvl w:val="0"/>
          <w:numId w:val="2"/>
        </w:numPr>
        <w:spacing w:before="55" w:after="55"/>
      </w:pPr>
      <w:r>
        <w:rPr>
          <w:rFonts w:ascii="Arial" w:cs="Arial" w:eastAsia="Arial" w:hAnsi="Arial"/>
          <w:color w:val="1A1A1A"/>
          <w:sz w:val="22"/>
          <w:szCs w:val="22"/>
        </w:rPr>
        <w:t xml:space="preserve">OCR investigation costs: legal fees, staff time for investigation response; industry average $50,000–$200,000 for SMBs</w:t>
      </w:r>
    </w:p>
    <w:p>
      <w:pPr>
        <w:pStyle w:val="ListParagraph"/>
        <w:numPr>
          <w:ilvl w:val="0"/>
          <w:numId w:val="2"/>
        </w:numPr>
        <w:spacing w:before="55" w:after="55"/>
      </w:pPr>
      <w:r>
        <w:rPr>
          <w:rFonts w:ascii="Arial" w:cs="Arial" w:eastAsia="Arial" w:hAnsi="Arial"/>
          <w:color w:val="1A1A1A"/>
          <w:sz w:val="22"/>
          <w:szCs w:val="22"/>
        </w:rPr>
        <w:t xml:space="preserve">State attorney general penalties: 46 states have independent breach notification laws with separate penalty structures</w:t>
      </w:r>
    </w:p>
    <w:p>
      <w:pPr>
        <w:pStyle w:val="ListParagraph"/>
        <w:numPr>
          <w:ilvl w:val="0"/>
          <w:numId w:val="2"/>
        </w:numPr>
        <w:spacing w:before="55" w:after="55"/>
      </w:pPr>
      <w:r>
        <w:rPr>
          <w:rFonts w:ascii="Arial" w:cs="Arial" w:eastAsia="Arial" w:hAnsi="Arial"/>
          <w:color w:val="1A1A1A"/>
          <w:sz w:val="22"/>
          <w:szCs w:val="22"/>
        </w:rPr>
        <w:t xml:space="preserve">Class action litigation exposure: aggregated patient claims in high-profile breaches</w:t>
      </w:r>
    </w:p>
    <w:p>
      <w:pPr>
        <w:pStyle w:val="ListParagraph"/>
        <w:numPr>
          <w:ilvl w:val="0"/>
          <w:numId w:val="2"/>
        </w:numPr>
        <w:spacing w:before="55" w:after="55"/>
      </w:pPr>
      <w:r>
        <w:rPr>
          <w:rFonts w:ascii="Arial" w:cs="Arial" w:eastAsia="Arial" w:hAnsi="Arial"/>
          <w:color w:val="1A1A1A"/>
          <w:sz w:val="22"/>
          <w:szCs w:val="22"/>
        </w:rPr>
        <w:t xml:space="preserve">Reputational cost model: estimated patient attrition based on breach size and public disclosure</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Gap Contribution Attribution</w:t>
      </w:r>
    </w:p>
    <w:p>
      <w:pPr>
        <w:spacing w:before="80" w:after="80"/>
      </w:pPr>
      <w:r>
        <w:rPr>
          <w:rFonts w:ascii="Arial" w:cs="Arial" w:eastAsia="Arial" w:hAnsi="Arial"/>
          <w:color w:val="1A1A1A"/>
          <w:sz w:val="22"/>
          <w:szCs w:val="22"/>
        </w:rPr>
        <w:t xml:space="preserve">Each open gap is assigned a penalty contribution percentage based on its role in the breach probability model from Feature 1. The total exposure is then allocated across gaps so the client can see: 'This specific gap contributes $87,000 of your total $340,000 exposure.' This bridges Features 1 and 4 — the risk prioritization and the financial quantification reinforce each other.</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 / Notes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Penalty Model</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Python actuarial model</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Weighted penalty calculation with scenario ranges. Parameters updated quarterly from new HHS enforcement actions.</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Enforcement Database</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PostgreSQL</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All public HHS resolution agreements normalized: violation types, organization size, penalty amounts, corrective actions. Powers the precedent matching.</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State Law Database</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PostgreSQL + legal content pipeline</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50-state breach notification laws with penalty structures. Updated when state laws change — monitored by the regulatory event stream.</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Exposure Dashboard</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React + D3.js</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Visual breakdown: stacked bar showing total exposure by category (regulatory, notification, legal, reputational). Scenario slider for low/mid/high.</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Report Generation</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PDF via Puppeteer</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Boardroom-ready exposure report. Includes penalty precedent citations from similar enforcement actions.</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Actuarial Refresh</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Quarterly Lambda job</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Recalculates penalty model parameters as new enforcement actions are published. Recalculates all client scores.</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Concrete Use Case</w:t>
      </w:r>
    </w:p>
    <w:p>
      <w:pPr>
        <w:spacing w:before="80" w:after="80"/>
      </w:pPr>
      <w:r>
        <w:rPr>
          <w:rFonts w:ascii="Arial" w:cs="Arial" w:eastAsia="Arial" w:hAnsi="Arial"/>
          <w:color w:val="1A1A1A"/>
          <w:sz w:val="22"/>
          <w:szCs w:val="22"/>
        </w:rPr>
        <w:t xml:space="preserve">A 3-physician family practice has 8 open gaps. Their patient panel is approximately 2,400 active patients. The exposure calculator runs:</w:t>
      </w:r>
    </w:p>
    <w:p>
      <w:pPr>
        <w:spacing w:before="60" w:after="0"/>
      </w:pPr>
      <w:r>
        <w:t xml:space="preserve"/>
      </w:r>
    </w:p>
    <w:p>
      <w:pPr>
        <w:pStyle w:val="ListParagraph"/>
        <w:numPr>
          <w:ilvl w:val="0"/>
          <w:numId w:val="2"/>
        </w:numPr>
        <w:spacing w:before="55" w:after="55"/>
      </w:pPr>
      <w:r>
        <w:rPr>
          <w:rFonts w:ascii="Arial" w:cs="Arial" w:eastAsia="Arial" w:hAnsi="Arial"/>
          <w:color w:val="1A1A1A"/>
          <w:sz w:val="22"/>
          <w:szCs w:val="22"/>
        </w:rPr>
        <w:t xml:space="preserve">Total low scenario (all Tier 1, narrow violation counting): $127,000</w:t>
      </w:r>
    </w:p>
    <w:p>
      <w:pPr>
        <w:pStyle w:val="ListParagraph"/>
        <w:numPr>
          <w:ilvl w:val="0"/>
          <w:numId w:val="2"/>
        </w:numPr>
        <w:spacing w:before="55" w:after="55"/>
      </w:pPr>
      <w:r>
        <w:rPr>
          <w:rFonts w:ascii="Arial" w:cs="Arial" w:eastAsia="Arial" w:hAnsi="Arial"/>
          <w:color w:val="1A1A1A"/>
          <w:sz w:val="22"/>
          <w:szCs w:val="22"/>
        </w:rPr>
        <w:t xml:space="preserve">Total mid scenario (mixed tiers, moderate violation counting based on precedent): $389,000</w:t>
      </w:r>
    </w:p>
    <w:p>
      <w:pPr>
        <w:pStyle w:val="ListParagraph"/>
        <w:numPr>
          <w:ilvl w:val="0"/>
          <w:numId w:val="2"/>
        </w:numPr>
        <w:spacing w:before="55" w:after="55"/>
      </w:pPr>
      <w:r>
        <w:rPr>
          <w:rFonts w:ascii="Arial" w:cs="Arial" w:eastAsia="Arial" w:hAnsi="Arial"/>
          <w:color w:val="1A1A1A"/>
          <w:sz w:val="22"/>
          <w:szCs w:val="22"/>
        </w:rPr>
        <w:t xml:space="preserve">Total high scenario (Tier 3-4 applicable given platform notification of gaps, broad counting): $1,140,000</w:t>
      </w:r>
    </w:p>
    <w:p>
      <w:pPr>
        <w:spacing w:before="60" w:after="0"/>
      </w:pPr>
      <w:r>
        <w:t xml:space="preserve"/>
      </w:r>
    </w:p>
    <w:p>
      <w:pPr>
        <w:spacing w:before="80" w:after="80"/>
      </w:pPr>
      <w:r>
        <w:rPr>
          <w:rFonts w:ascii="Arial" w:cs="Arial" w:eastAsia="Arial" w:hAnsi="Arial"/>
          <w:color w:val="1A1A1A"/>
          <w:sz w:val="22"/>
          <w:szCs w:val="22"/>
        </w:rPr>
        <w:t xml:space="preserve">The top contributing gap — no documented risk analysis — accounts for $180,000 of mid-scenario exposure on its own because OCR consistently treats the absence of a risk analysis as a foundational violation that inflates all other penalties. The platform shows this attribution clearly. The practice owner's decision to invest $400/month in compliance management becomes a straightforward expected value calculation.</w:t>
      </w:r>
    </w:p>
    <w:p>
      <w:pPr>
        <w:pBdr>
          <w:bottom w:val="single" w:color="D6E9F8" w:sz="4" w:space="1"/>
        </w:pBdr>
        <w:spacing w:before="180" w:after="180"/>
      </w:pPr>
      <w:r>
        <w:t xml:space="preserve"/>
      </w:r>
    </w:p>
    <w:p>
      <w:r>
        <w:br w:type="page"/>
      </w:r>
    </w:p>
    <w:p>
      <w:pPr>
        <w:spacing w:before="0" w:after="140"/>
      </w:pPr>
      <w:r>
        <w:rPr>
          <w:rFonts w:ascii="Arial" w:cs="Arial" w:eastAsia="Arial" w:hAnsi="Arial"/>
          <w:b/>
          <w:bCs/>
          <w:color w:val="1A7F7F"/>
          <w:sz w:val="28"/>
          <w:szCs w:val="28"/>
        </w:rPr>
        <w:t xml:space="preserve">FEATURE 05  </w:t>
      </w:r>
      <w:r>
        <w:rPr>
          <w:rFonts w:ascii="Arial" w:cs="Arial" w:eastAsia="Arial" w:hAnsi="Arial"/>
          <w:b/>
          <w:bCs/>
          <w:color w:val="1F3864"/>
          <w:sz w:val="28"/>
          <w:szCs w:val="28"/>
        </w:rPr>
        <w:t xml:space="preserve">Vendor &amp; Supply Chain Compliance Intelligence</w:t>
      </w:r>
    </w:p>
    <w:p>
      <w:pPr>
        <w:spacing w:before="60" w:after="60"/>
      </w:pPr>
      <w:r>
        <w:rPr>
          <w:rFonts w:ascii="Arial" w:cs="Arial" w:eastAsia="Arial" w:hAnsi="Arial"/>
          <w:i/>
          <w:iCs/>
          <w:color w:val="555555"/>
          <w:sz w:val="18"/>
          <w:szCs w:val="18"/>
        </w:rPr>
        <w:t xml:space="preserve">Continuously monitors the compliance posture of a client's business associates and third-party vendors — where most breaches actually originate</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What Problem This Solves</w:t>
      </w:r>
    </w:p>
    <w:p>
      <w:pPr>
        <w:spacing w:before="80" w:after="80"/>
      </w:pPr>
      <w:r>
        <w:rPr>
          <w:rFonts w:ascii="Arial" w:cs="Arial" w:eastAsia="Arial" w:hAnsi="Arial"/>
          <w:color w:val="1A1A1A"/>
          <w:sz w:val="22"/>
          <w:szCs w:val="22"/>
        </w:rPr>
        <w:t xml:space="preserve">Under HIPAA, covered entities are liable for breaches caused by their business associates. Yet most SMBs sign a BAA with each vendor and never think about them again. They have no visibility into whether their billing service, answering service, or cloud fax provider has been breached, investigated, or cited. This feature closes that blind spot.</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How It Works — Technical Architecture</w:t>
      </w:r>
    </w:p>
    <w:p>
      <w:pPr>
        <w:pStyle w:val="Heading3"/>
        <w:spacing w:before="220" w:after="80"/>
      </w:pPr>
      <w:r>
        <w:rPr>
          <w:rFonts w:ascii="Arial" w:cs="Arial" w:eastAsia="Arial" w:hAnsi="Arial"/>
          <w:b/>
          <w:bCs/>
          <w:color w:val="1A7F7F"/>
          <w:sz w:val="24"/>
          <w:szCs w:val="24"/>
        </w:rPr>
        <w:t xml:space="preserve">Vendor Registry</w:t>
      </w:r>
    </w:p>
    <w:p>
      <w:pPr>
        <w:spacing w:before="80" w:after="80"/>
      </w:pPr>
      <w:r>
        <w:rPr>
          <w:rFonts w:ascii="Arial" w:cs="Arial" w:eastAsia="Arial" w:hAnsi="Arial"/>
          <w:color w:val="1A1A1A"/>
          <w:sz w:val="22"/>
          <w:szCs w:val="22"/>
        </w:rPr>
        <w:t xml:space="preserve">During onboarding, clients complete a vendor inventory identifying all third parties who access, process, or store PHI on their behalf. Each vendor entry captures:</w:t>
      </w:r>
    </w:p>
    <w:p>
      <w:pPr>
        <w:pStyle w:val="ListParagraph"/>
        <w:numPr>
          <w:ilvl w:val="0"/>
          <w:numId w:val="2"/>
        </w:numPr>
        <w:spacing w:before="55" w:after="55"/>
      </w:pPr>
      <w:r>
        <w:rPr>
          <w:rFonts w:ascii="Arial" w:cs="Arial" w:eastAsia="Arial" w:hAnsi="Arial"/>
          <w:color w:val="1A1A1A"/>
          <w:sz w:val="22"/>
          <w:szCs w:val="22"/>
        </w:rPr>
        <w:t xml:space="preserve">Vendor name, website, category (billing, EHR hosting, answering service, etc.)</w:t>
      </w:r>
    </w:p>
    <w:p>
      <w:pPr>
        <w:pStyle w:val="ListParagraph"/>
        <w:numPr>
          <w:ilvl w:val="0"/>
          <w:numId w:val="2"/>
        </w:numPr>
        <w:spacing w:before="55" w:after="55"/>
      </w:pPr>
      <w:r>
        <w:rPr>
          <w:rFonts w:ascii="Arial" w:cs="Arial" w:eastAsia="Arial" w:hAnsi="Arial"/>
          <w:color w:val="1A1A1A"/>
          <w:sz w:val="22"/>
          <w:szCs w:val="22"/>
        </w:rPr>
        <w:t xml:space="preserve">BAA status: signed, pending, not applicable, or not obtained</w:t>
      </w:r>
    </w:p>
    <w:p>
      <w:pPr>
        <w:pStyle w:val="ListParagraph"/>
        <w:numPr>
          <w:ilvl w:val="0"/>
          <w:numId w:val="2"/>
        </w:numPr>
        <w:spacing w:before="55" w:after="55"/>
      </w:pPr>
      <w:r>
        <w:rPr>
          <w:rFonts w:ascii="Arial" w:cs="Arial" w:eastAsia="Arial" w:hAnsi="Arial"/>
          <w:color w:val="1A1A1A"/>
          <w:sz w:val="22"/>
          <w:szCs w:val="22"/>
        </w:rPr>
        <w:t xml:space="preserve">PHI access level: incidental vs. direct access, PHI categories accessible</w:t>
      </w:r>
    </w:p>
    <w:p>
      <w:pPr>
        <w:pStyle w:val="ListParagraph"/>
        <w:numPr>
          <w:ilvl w:val="0"/>
          <w:numId w:val="2"/>
        </w:numPr>
        <w:spacing w:before="55" w:after="55"/>
      </w:pPr>
      <w:r>
        <w:rPr>
          <w:rFonts w:ascii="Arial" w:cs="Arial" w:eastAsia="Arial" w:hAnsi="Arial"/>
          <w:color w:val="1A1A1A"/>
          <w:sz w:val="22"/>
          <w:szCs w:val="22"/>
        </w:rPr>
        <w:t xml:space="preserve">Integration type: API, file transfer, direct system access, physical access</w:t>
      </w:r>
    </w:p>
    <w:p>
      <w:pPr>
        <w:pStyle w:val="ListParagraph"/>
        <w:numPr>
          <w:ilvl w:val="0"/>
          <w:numId w:val="2"/>
        </w:numPr>
        <w:spacing w:before="55" w:after="55"/>
      </w:pPr>
      <w:r>
        <w:rPr>
          <w:rFonts w:ascii="Arial" w:cs="Arial" w:eastAsia="Arial" w:hAnsi="Arial"/>
          <w:color w:val="1A1A1A"/>
          <w:sz w:val="22"/>
          <w:szCs w:val="22"/>
        </w:rPr>
        <w:t xml:space="preserve">BAA document upload: the actual BAA for AI-powered review (Feature 6)</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Vendor Intelligence Data Sources</w:t>
      </w:r>
    </w:p>
    <w:p>
      <w:pPr>
        <w:spacing w:before="80" w:after="80"/>
      </w:pPr>
      <w:r>
        <w:rPr>
          <w:rFonts w:ascii="Arial" w:cs="Arial" w:eastAsia="Arial" w:hAnsi="Arial"/>
          <w:color w:val="1A1A1A"/>
          <w:sz w:val="22"/>
          <w:szCs w:val="22"/>
        </w:rPr>
        <w:t xml:space="preserve">For each vendor in the registry, the system monitors multiple intelligence sources:</w:t>
      </w:r>
    </w:p>
    <w:p>
      <w:pPr>
        <w:spacing w:before="60" w:after="0"/>
      </w:pPr>
      <w:r>
        <w:t xml:space="preserve"/>
      </w:r>
    </w:p>
    <w:p>
      <w:pPr>
        <w:pStyle w:val="ListParagraph"/>
        <w:numPr>
          <w:ilvl w:val="0"/>
          <w:numId w:val="2"/>
        </w:numPr>
        <w:spacing w:before="55" w:after="55"/>
      </w:pPr>
      <w:r>
        <w:rPr>
          <w:rFonts w:ascii="Arial" w:cs="Arial" w:eastAsia="Arial" w:hAnsi="Arial"/>
          <w:color w:val="1A1A1A"/>
          <w:sz w:val="22"/>
          <w:szCs w:val="22"/>
        </w:rPr>
        <w:t xml:space="preserve">HHS Breach Portal: any breach report where this vendor appears as a business associate or covered entity</w:t>
      </w:r>
    </w:p>
    <w:p>
      <w:pPr>
        <w:pStyle w:val="ListParagraph"/>
        <w:numPr>
          <w:ilvl w:val="0"/>
          <w:numId w:val="2"/>
        </w:numPr>
        <w:spacing w:before="55" w:after="55"/>
      </w:pPr>
      <w:r>
        <w:rPr>
          <w:rFonts w:ascii="Arial" w:cs="Arial" w:eastAsia="Arial" w:hAnsi="Arial"/>
          <w:color w:val="1A1A1A"/>
          <w:sz w:val="22"/>
          <w:szCs w:val="22"/>
        </w:rPr>
        <w:t xml:space="preserve">HHS Resolution Agreements: enforcement actions naming this vendor</w:t>
      </w:r>
    </w:p>
    <w:p>
      <w:pPr>
        <w:pStyle w:val="ListParagraph"/>
        <w:numPr>
          <w:ilvl w:val="0"/>
          <w:numId w:val="2"/>
        </w:numPr>
        <w:spacing w:before="55" w:after="55"/>
      </w:pPr>
      <w:r>
        <w:rPr>
          <w:rFonts w:ascii="Arial" w:cs="Arial" w:eastAsia="Arial" w:hAnsi="Arial"/>
          <w:color w:val="1A1A1A"/>
          <w:sz w:val="22"/>
          <w:szCs w:val="22"/>
        </w:rPr>
        <w:t xml:space="preserve">State AG breach notifications: state-level actions not always visible in HHS data</w:t>
      </w:r>
    </w:p>
    <w:p>
      <w:pPr>
        <w:pStyle w:val="ListParagraph"/>
        <w:numPr>
          <w:ilvl w:val="0"/>
          <w:numId w:val="2"/>
        </w:numPr>
        <w:spacing w:before="55" w:after="55"/>
      </w:pPr>
      <w:r>
        <w:rPr>
          <w:rFonts w:ascii="Arial" w:cs="Arial" w:eastAsia="Arial" w:hAnsi="Arial"/>
          <w:color w:val="1A1A1A"/>
          <w:sz w:val="22"/>
          <w:szCs w:val="22"/>
        </w:rPr>
        <w:t xml:space="preserve">SEC filings: public companies must disclose material cybersecurity incidents in 8-K filings within 4 business days — often the fastest disclosure for large vendors</w:t>
      </w:r>
    </w:p>
    <w:p>
      <w:pPr>
        <w:pStyle w:val="ListParagraph"/>
        <w:numPr>
          <w:ilvl w:val="0"/>
          <w:numId w:val="2"/>
        </w:numPr>
        <w:spacing w:before="55" w:after="55"/>
      </w:pPr>
      <w:r>
        <w:rPr>
          <w:rFonts w:ascii="Arial" w:cs="Arial" w:eastAsia="Arial" w:hAnsi="Arial"/>
          <w:color w:val="1A1A1A"/>
          <w:sz w:val="22"/>
          <w:szCs w:val="22"/>
        </w:rPr>
        <w:t xml:space="preserve">CISA Known Exploited Vulnerabilities: if a vendor's disclosed products appear in the KEV catalog, their clients face elevated supply chain risk</w:t>
      </w:r>
    </w:p>
    <w:p>
      <w:pPr>
        <w:pStyle w:val="ListParagraph"/>
        <w:numPr>
          <w:ilvl w:val="0"/>
          <w:numId w:val="2"/>
        </w:numPr>
        <w:spacing w:before="55" w:after="55"/>
      </w:pPr>
      <w:r>
        <w:rPr>
          <w:rFonts w:ascii="Arial" w:cs="Arial" w:eastAsia="Arial" w:hAnsi="Arial"/>
          <w:color w:val="1A1A1A"/>
          <w:sz w:val="22"/>
          <w:szCs w:val="22"/>
        </w:rPr>
        <w:t xml:space="preserve">Vendor's own disclosure pages: monitored for voluntary breach notifications</w:t>
      </w:r>
    </w:p>
    <w:p>
      <w:pPr>
        <w:spacing w:before="60" w:after="0"/>
      </w:pPr>
      <w:r>
        <w:t xml:space="preserve"/>
      </w:r>
    </w:p>
    <w:p>
      <w:pPr>
        <w:spacing w:before="80" w:after="80"/>
      </w:pPr>
      <w:r>
        <w:rPr>
          <w:rFonts w:ascii="Arial" w:cs="Arial" w:eastAsia="Arial" w:hAnsi="Arial"/>
          <w:color w:val="1A1A1A"/>
          <w:sz w:val="22"/>
          <w:szCs w:val="22"/>
        </w:rPr>
        <w:t xml:space="preserve">Monitoring uses the same event stream architecture from the core compliance engine. Each vendor has a monitored profile in the system. When a new entry appears in any data source matching the vendor, an event is published and propagated to all clients who have that vendor in their registry.</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BAA Coverage Analysis</w:t>
      </w:r>
    </w:p>
    <w:p>
      <w:pPr>
        <w:spacing w:before="80" w:after="80"/>
      </w:pPr>
      <w:r>
        <w:rPr>
          <w:rFonts w:ascii="Arial" w:cs="Arial" w:eastAsia="Arial" w:hAnsi="Arial"/>
          <w:color w:val="1A1A1A"/>
          <w:sz w:val="22"/>
          <w:szCs w:val="22"/>
        </w:rPr>
        <w:t xml:space="preserve">The vendor registry feeds directly into an automated BAA coverage analysis:</w:t>
      </w:r>
    </w:p>
    <w:p>
      <w:pPr>
        <w:pStyle w:val="ListParagraph"/>
        <w:numPr>
          <w:ilvl w:val="0"/>
          <w:numId w:val="2"/>
        </w:numPr>
        <w:spacing w:before="55" w:after="55"/>
      </w:pPr>
      <w:r>
        <w:rPr>
          <w:rFonts w:ascii="Arial" w:cs="Arial" w:eastAsia="Arial" w:hAnsi="Arial"/>
          <w:color w:val="1A1A1A"/>
          <w:sz w:val="22"/>
          <w:szCs w:val="22"/>
        </w:rPr>
        <w:t xml:space="preserve">Which vendors have no BAA on file? (Regulatory gap — business associate without a BAA is a direct HIPAA violation)</w:t>
      </w:r>
    </w:p>
    <w:p>
      <w:pPr>
        <w:pStyle w:val="ListParagraph"/>
        <w:numPr>
          <w:ilvl w:val="0"/>
          <w:numId w:val="2"/>
        </w:numPr>
        <w:spacing w:before="55" w:after="55"/>
      </w:pPr>
      <w:r>
        <w:rPr>
          <w:rFonts w:ascii="Arial" w:cs="Arial" w:eastAsia="Arial" w:hAnsi="Arial"/>
          <w:color w:val="1A1A1A"/>
          <w:sz w:val="22"/>
          <w:szCs w:val="22"/>
        </w:rPr>
        <w:t xml:space="preserve">Which BAAs are expired or contain provisions that no longer meet HIPAA requirements?</w:t>
      </w:r>
    </w:p>
    <w:p>
      <w:pPr>
        <w:pStyle w:val="ListParagraph"/>
        <w:numPr>
          <w:ilvl w:val="0"/>
          <w:numId w:val="2"/>
        </w:numPr>
        <w:spacing w:before="55" w:after="55"/>
      </w:pPr>
      <w:r>
        <w:rPr>
          <w:rFonts w:ascii="Arial" w:cs="Arial" w:eastAsia="Arial" w:hAnsi="Arial"/>
          <w:color w:val="1A1A1A"/>
          <w:sz w:val="22"/>
          <w:szCs w:val="22"/>
        </w:rPr>
        <w:t xml:space="preserve">Which vendors have expanded their services since the BAA was signed, potentially accessing PHI categories not covered?</w:t>
      </w:r>
    </w:p>
    <w:p>
      <w:pPr>
        <w:pStyle w:val="ListParagraph"/>
        <w:numPr>
          <w:ilvl w:val="0"/>
          <w:numId w:val="2"/>
        </w:numPr>
        <w:spacing w:before="55" w:after="55"/>
      </w:pPr>
      <w:r>
        <w:rPr>
          <w:rFonts w:ascii="Arial" w:cs="Arial" w:eastAsia="Arial" w:hAnsi="Arial"/>
          <w:color w:val="1A1A1A"/>
          <w:sz w:val="22"/>
          <w:szCs w:val="22"/>
        </w:rPr>
        <w:t xml:space="preserve">Which vendors have been breached since your BAA was signed? (May trigger notification obligations or contract review)</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Vendor Risk Scoring</w:t>
      </w:r>
    </w:p>
    <w:p>
      <w:pPr>
        <w:spacing w:before="80" w:after="80"/>
      </w:pPr>
      <w:r>
        <w:rPr>
          <w:rFonts w:ascii="Arial" w:cs="Arial" w:eastAsia="Arial" w:hAnsi="Arial"/>
          <w:color w:val="1A1A1A"/>
          <w:sz w:val="22"/>
          <w:szCs w:val="22"/>
        </w:rPr>
        <w:t xml:space="preserve">Each vendor receives a risk score based on their intelligence profile and the client's relationship depth:</w:t>
      </w:r>
    </w:p>
    <w:p>
      <w:pPr>
        <w:spacing w:before="60" w:after="0"/>
      </w:pPr>
      <w:r>
        <w:t xml:space="preserve"/>
      </w:r>
    </w:p>
    <w:p>
      <w:pPr>
        <w:spacing w:before="50" w:after="50"/>
        <w:ind w:left="720"/>
      </w:pPr>
      <w:r>
        <w:rPr>
          <w:rFonts w:ascii="Courier New" w:cs="Courier New" w:eastAsia="Courier New" w:hAnsi="Courier New"/>
          <w:color w:val="2C3E6B"/>
          <w:sz w:val="16"/>
          <w:szCs w:val="16"/>
        </w:rPr>
        <w:t xml:space="preserve">vendor_risk = phi_access_depth × breach_history_weight</w:t>
      </w:r>
    </w:p>
    <w:p>
      <w:pPr>
        <w:spacing w:before="50" w:after="50"/>
        <w:ind w:left="720"/>
      </w:pPr>
      <w:r>
        <w:rPr>
          <w:rFonts w:ascii="Courier New" w:cs="Courier New" w:eastAsia="Courier New" w:hAnsi="Courier New"/>
          <w:color w:val="2C3E6B"/>
          <w:sz w:val="16"/>
          <w:szCs w:val="16"/>
        </w:rPr>
        <w:t xml:space="preserve">            × enforcement_history_weight × contract_adequacy_score</w:t>
      </w:r>
    </w:p>
    <w:p>
      <w:pPr>
        <w:spacing w:before="60" w:after="0"/>
      </w:pPr>
      <w:r>
        <w:t xml:space="preserve"/>
      </w:r>
    </w:p>
    <w:p>
      <w:pPr>
        <w:spacing w:before="80" w:after="80"/>
      </w:pPr>
      <w:r>
        <w:rPr>
          <w:rFonts w:ascii="Arial" w:cs="Arial" w:eastAsia="Arial" w:hAnsi="Arial"/>
          <w:color w:val="1A1A1A"/>
          <w:sz w:val="22"/>
          <w:szCs w:val="22"/>
        </w:rPr>
        <w:t xml:space="preserve">This score is relative to the client relationship — a vendor with a moderate breach history but only incidental PHI access poses less risk than a vendor with clean history but direct EHR access. The aggregate vendor risk score contributes to the client's overall compliance risk posture in Feature 1.</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Network Effect — Vendor Intelligence Library</w:t>
      </w:r>
    </w:p>
    <w:p>
      <w:pPr>
        <w:spacing w:before="80" w:after="80"/>
      </w:pPr>
      <w:r>
        <w:rPr>
          <w:rFonts w:ascii="Arial" w:cs="Arial" w:eastAsia="Arial" w:hAnsi="Arial"/>
          <w:color w:val="1A1A1A"/>
          <w:sz w:val="22"/>
          <w:szCs w:val="22"/>
        </w:rPr>
        <w:t xml:space="preserve">As your client base grows, your vendor intelligence library becomes a strategic asset. When 50 clients all use the same billing vendor and one client reports a compliance issue with that vendor, the system can proactively alert the other 49 clients. When 200 clients have collectively uploaded 400 BAAs with a given vendor, your system has more intelligence about that vendor's standard contract terms than any single client or even any compliance consultant.</w:t>
      </w:r>
    </w:p>
    <w:p>
      <w:pPr>
        <w:spacing w:before="60" w:after="0"/>
      </w:pPr>
      <w:r>
        <w:t xml:space="preserve"/>
      </w:r>
    </w:p>
    <w:p>
      <w:pPr>
        <w:spacing w:before="80" w:after="80"/>
      </w:pPr>
      <w:r>
        <w:rPr>
          <w:rFonts w:ascii="Arial" w:cs="Arial" w:eastAsia="Arial" w:hAnsi="Arial"/>
          <w:color w:val="1A1A1A"/>
          <w:sz w:val="22"/>
          <w:szCs w:val="22"/>
        </w:rPr>
        <w:t xml:space="preserve">This network effect is a genuine moat. It cannot be replicated by a competitor who starts later, because the data accumulates only with client volume and time.</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 / Notes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Vendor Registry</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PostgreSQL</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Structured vendor profiles with relationship metadata. Many-to-many: one vendor can appear across many clients.</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Intelligence Monitoring</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EventBridge + Lambda scrapers</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Same event stream architecture as regulatory monitoring. Vendor-specific scrapers for HHS, SEC EDGAR, CISA KEV.</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SEC EDGAR Integration</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SEC EDGAR full-text search API</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Free API. Searches 8-K filings for cybersecurity disclosures mentioning specific vendor names. Near-real-time.</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Vendor Deduplication</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Fuzzy matching (RapidFuzz)</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Same vendor may appear with slight name variations across clients. Deduplication ensures one vendor profile per entity.</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Alert Fan-out</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SQS + Lambda fan-out pattern</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When a vendor event occurs, a single message fans out to alert all affected clients. Scales to thousands of clients per vendor.</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Vendor Dashboard</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React data table + filtering</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Client-facing view of all vendors, risk scores, BAA status, recent intelligence events. Sortable and filterable.</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Concrete Use Case</w:t>
      </w:r>
    </w:p>
    <w:p>
      <w:pPr>
        <w:spacing w:before="80" w:after="80"/>
      </w:pPr>
      <w:r>
        <w:rPr>
          <w:rFonts w:ascii="Arial" w:cs="Arial" w:eastAsia="Arial" w:hAnsi="Arial"/>
          <w:color w:val="1A1A1A"/>
          <w:sz w:val="22"/>
          <w:szCs w:val="22"/>
        </w:rPr>
        <w:t xml:space="preserve">A medical billing service used by 34 of your clients suffers a ransomware attack and files an 8-K disclosure on a Thursday afternoon. Your SEC EDGAR monitor detects the filing within 2 hours. The event fan-out runs: 34 clients receive a personalized alert by 5pm the same day.</w:t>
      </w:r>
    </w:p>
    <w:p>
      <w:pPr>
        <w:spacing w:before="60" w:after="0"/>
      </w:pPr>
      <w:r>
        <w:t xml:space="preserve"/>
      </w:r>
    </w:p>
    <w:p>
      <w:pPr>
        <w:spacing w:before="80" w:after="80"/>
      </w:pPr>
      <w:r>
        <w:rPr>
          <w:rFonts w:ascii="Arial" w:cs="Arial" w:eastAsia="Arial" w:hAnsi="Arial"/>
          <w:color w:val="1A1A1A"/>
          <w:sz w:val="22"/>
          <w:szCs w:val="22"/>
        </w:rPr>
        <w:t xml:space="preserve">The alert includes: what happened (based on the 8-K disclosure), what PHI each client has shared with this vendor (from their vendor registry profile), what their HIPAA obligations are now (notification assessment based on the incident details), and what immediate actions to take (suspend data transfers, request incident report from vendor, begin 60-day notification clock assessment).</w:t>
      </w:r>
    </w:p>
    <w:p>
      <w:pPr>
        <w:spacing w:before="60" w:after="0"/>
      </w:pPr>
      <w:r>
        <w:t xml:space="preserve"/>
      </w:r>
    </w:p>
    <w:p>
      <w:pPr>
        <w:spacing w:before="80" w:after="80"/>
      </w:pPr>
      <w:r>
        <w:rPr>
          <w:rFonts w:ascii="Arial" w:cs="Arial" w:eastAsia="Arial" w:hAnsi="Arial"/>
          <w:color w:val="1A1A1A"/>
          <w:sz w:val="22"/>
          <w:szCs w:val="22"/>
        </w:rPr>
        <w:t xml:space="preserve">Without this system, those 34 clients would likely learn about the breach when they receive the vendor's required HIPAA notification — potentially 45-60 days later. By then, the 60-day notification window is nearly closed, response options are limited, and OCR expects prompt action.</w:t>
      </w:r>
    </w:p>
    <w:p>
      <w:pPr>
        <w:pBdr>
          <w:bottom w:val="single" w:color="D6E9F8" w:sz="4" w:space="1"/>
        </w:pBdr>
        <w:spacing w:before="180" w:after="180"/>
      </w:pPr>
      <w:r>
        <w:t xml:space="preserve"/>
      </w:r>
    </w:p>
    <w:p>
      <w:r>
        <w:br w:type="page"/>
      </w:r>
    </w:p>
    <w:p>
      <w:pPr>
        <w:spacing w:before="0" w:after="140"/>
      </w:pPr>
      <w:r>
        <w:rPr>
          <w:rFonts w:ascii="Arial" w:cs="Arial" w:eastAsia="Arial" w:hAnsi="Arial"/>
          <w:b/>
          <w:bCs/>
          <w:color w:val="1A7F7F"/>
          <w:sz w:val="28"/>
          <w:szCs w:val="28"/>
        </w:rPr>
        <w:t xml:space="preserve">FEATURE 06  </w:t>
      </w:r>
      <w:r>
        <w:rPr>
          <w:rFonts w:ascii="Arial" w:cs="Arial" w:eastAsia="Arial" w:hAnsi="Arial"/>
          <w:b/>
          <w:bCs/>
          <w:color w:val="1F3864"/>
          <w:sz w:val="28"/>
          <w:szCs w:val="28"/>
        </w:rPr>
        <w:t xml:space="preserve">Compliance-Native Contract Intelligence</w:t>
      </w:r>
    </w:p>
    <w:p>
      <w:pPr>
        <w:spacing w:before="60" w:after="60"/>
      </w:pPr>
      <w:r>
        <w:rPr>
          <w:rFonts w:ascii="Arial" w:cs="Arial" w:eastAsia="Arial" w:hAnsi="Arial"/>
          <w:i/>
          <w:iCs/>
          <w:color w:val="555555"/>
          <w:sz w:val="18"/>
          <w:szCs w:val="18"/>
        </w:rPr>
        <w:t xml:space="preserve">AI-powered review of BAAs and vendor contracts against HIPAA requirements, with gap identification and compliant template language generation</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What Problem This Solves</w:t>
      </w:r>
    </w:p>
    <w:p>
      <w:pPr>
        <w:spacing w:before="80" w:after="80"/>
      </w:pPr>
      <w:r>
        <w:rPr>
          <w:rFonts w:ascii="Arial" w:cs="Arial" w:eastAsia="Arial" w:hAnsi="Arial"/>
          <w:color w:val="1A1A1A"/>
          <w:sz w:val="22"/>
          <w:szCs w:val="22"/>
        </w:rPr>
        <w:t xml:space="preserve">Small healthcare businesses sign whatever their vendors send them. Most BAAs in the SMB market contain gaps — missing breach notification provisions, inadequate security requirement clauses, incorrect PHI use limitations. These gaps create real legal exposure that nobody discovers until something goes wrong. This feature reviews every contract before it becomes a liability.</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How It Works — Technical Architecture</w:t>
      </w:r>
    </w:p>
    <w:p>
      <w:pPr>
        <w:pStyle w:val="Heading3"/>
        <w:spacing w:before="220" w:after="80"/>
      </w:pPr>
      <w:r>
        <w:rPr>
          <w:rFonts w:ascii="Arial" w:cs="Arial" w:eastAsia="Arial" w:hAnsi="Arial"/>
          <w:b/>
          <w:bCs/>
          <w:color w:val="1A7F7F"/>
          <w:sz w:val="24"/>
          <w:szCs w:val="24"/>
        </w:rPr>
        <w:t xml:space="preserve">BAA Requirements Knowledge Base</w:t>
      </w:r>
    </w:p>
    <w:p>
      <w:pPr>
        <w:spacing w:before="80" w:after="80"/>
      </w:pPr>
      <w:r>
        <w:rPr>
          <w:rFonts w:ascii="Arial" w:cs="Arial" w:eastAsia="Arial" w:hAnsi="Arial"/>
          <w:color w:val="1A1A1A"/>
          <w:sz w:val="22"/>
          <w:szCs w:val="22"/>
        </w:rPr>
        <w:t xml:space="preserve">HIPAA's Privacy and Security Rules define specific provisions that must appear in a valid Business Associate Agreement under 45 CFR §164.504(e). The knowledge graph contains each required provision as a node with:</w:t>
      </w:r>
    </w:p>
    <w:p>
      <w:pPr>
        <w:pStyle w:val="ListParagraph"/>
        <w:numPr>
          <w:ilvl w:val="0"/>
          <w:numId w:val="2"/>
        </w:numPr>
        <w:spacing w:before="55" w:after="55"/>
      </w:pPr>
      <w:r>
        <w:rPr>
          <w:rFonts w:ascii="Arial" w:cs="Arial" w:eastAsia="Arial" w:hAnsi="Arial"/>
          <w:color w:val="1A1A1A"/>
          <w:sz w:val="22"/>
          <w:szCs w:val="22"/>
        </w:rPr>
        <w:t xml:space="preserve">The regulatory citation and exact requirement text</w:t>
      </w:r>
    </w:p>
    <w:p>
      <w:pPr>
        <w:pStyle w:val="ListParagraph"/>
        <w:numPr>
          <w:ilvl w:val="0"/>
          <w:numId w:val="2"/>
        </w:numPr>
        <w:spacing w:before="55" w:after="55"/>
      </w:pPr>
      <w:r>
        <w:rPr>
          <w:rFonts w:ascii="Arial" w:cs="Arial" w:eastAsia="Arial" w:hAnsi="Arial"/>
          <w:color w:val="1A1A1A"/>
          <w:sz w:val="22"/>
          <w:szCs w:val="22"/>
        </w:rPr>
        <w:t xml:space="preserve">Acceptable and unacceptable variations in contract language (learned from reviewed contracts over time)</w:t>
      </w:r>
    </w:p>
    <w:p>
      <w:pPr>
        <w:pStyle w:val="ListParagraph"/>
        <w:numPr>
          <w:ilvl w:val="0"/>
          <w:numId w:val="2"/>
        </w:numPr>
        <w:spacing w:before="55" w:after="55"/>
      </w:pPr>
      <w:r>
        <w:rPr>
          <w:rFonts w:ascii="Arial" w:cs="Arial" w:eastAsia="Arial" w:hAnsi="Arial"/>
          <w:color w:val="1A1A1A"/>
          <w:sz w:val="22"/>
          <w:szCs w:val="22"/>
        </w:rPr>
        <w:t xml:space="preserve">Common gap patterns seen in vendor-generated BAAs</w:t>
      </w:r>
    </w:p>
    <w:p>
      <w:pPr>
        <w:pStyle w:val="ListParagraph"/>
        <w:numPr>
          <w:ilvl w:val="0"/>
          <w:numId w:val="2"/>
        </w:numPr>
        <w:spacing w:before="55" w:after="55"/>
      </w:pPr>
      <w:r>
        <w:rPr>
          <w:rFonts w:ascii="Arial" w:cs="Arial" w:eastAsia="Arial" w:hAnsi="Arial"/>
          <w:color w:val="1A1A1A"/>
          <w:sz w:val="22"/>
          <w:szCs w:val="22"/>
        </w:rPr>
        <w:t xml:space="preserve">Template language that satisfies the requirement</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Contract Ingestion &amp; Extraction</w:t>
      </w:r>
    </w:p>
    <w:p>
      <w:pPr>
        <w:spacing w:before="80" w:after="80"/>
      </w:pPr>
      <w:r>
        <w:rPr>
          <w:rFonts w:ascii="Arial" w:cs="Arial" w:eastAsia="Arial" w:hAnsi="Arial"/>
          <w:color w:val="1A1A1A"/>
          <w:sz w:val="22"/>
          <w:szCs w:val="22"/>
        </w:rPr>
        <w:t xml:space="preserve">Uploaded contracts (PDF or DOCX) are processed through a structured extraction pipeline:</w:t>
      </w:r>
    </w:p>
    <w:p>
      <w:pPr>
        <w:pStyle w:val="ListParagraph"/>
        <w:numPr>
          <w:ilvl w:val="0"/>
          <w:numId w:val="2"/>
        </w:numPr>
        <w:spacing w:before="55" w:after="55"/>
      </w:pPr>
      <w:r>
        <w:rPr>
          <w:rFonts w:ascii="Arial" w:cs="Arial" w:eastAsia="Arial" w:hAnsi="Arial"/>
          <w:color w:val="1A1A1A"/>
          <w:sz w:val="22"/>
          <w:szCs w:val="22"/>
        </w:rPr>
        <w:t xml:space="preserve">Document parsing: text extraction with section boundary detection</w:t>
      </w:r>
    </w:p>
    <w:p>
      <w:pPr>
        <w:pStyle w:val="ListParagraph"/>
        <w:numPr>
          <w:ilvl w:val="0"/>
          <w:numId w:val="2"/>
        </w:numPr>
        <w:spacing w:before="55" w:after="55"/>
      </w:pPr>
      <w:r>
        <w:rPr>
          <w:rFonts w:ascii="Arial" w:cs="Arial" w:eastAsia="Arial" w:hAnsi="Arial"/>
          <w:color w:val="1A1A1A"/>
          <w:sz w:val="22"/>
          <w:szCs w:val="22"/>
        </w:rPr>
        <w:t xml:space="preserve">Clause classification: LLM classifies each clause by type (permitted uses, security obligations, breach notification, subcontractor obligations, etc.)</w:t>
      </w:r>
    </w:p>
    <w:p>
      <w:pPr>
        <w:pStyle w:val="ListParagraph"/>
        <w:numPr>
          <w:ilvl w:val="0"/>
          <w:numId w:val="2"/>
        </w:numPr>
        <w:spacing w:before="55" w:after="55"/>
      </w:pPr>
      <w:r>
        <w:rPr>
          <w:rFonts w:ascii="Arial" w:cs="Arial" w:eastAsia="Arial" w:hAnsi="Arial"/>
          <w:color w:val="1A1A1A"/>
          <w:sz w:val="22"/>
          <w:szCs w:val="22"/>
        </w:rPr>
        <w:t xml:space="preserve">Provision mapping: each classified clause is mapped to the relevant regulatory requirement in the knowledge graph</w:t>
      </w:r>
    </w:p>
    <w:p>
      <w:pPr>
        <w:pStyle w:val="ListParagraph"/>
        <w:numPr>
          <w:ilvl w:val="0"/>
          <w:numId w:val="2"/>
        </w:numPr>
        <w:spacing w:before="55" w:after="55"/>
      </w:pPr>
      <w:r>
        <w:rPr>
          <w:rFonts w:ascii="Arial" w:cs="Arial" w:eastAsia="Arial" w:hAnsi="Arial"/>
          <w:color w:val="1A1A1A"/>
          <w:sz w:val="22"/>
          <w:szCs w:val="22"/>
        </w:rPr>
        <w:t xml:space="preserve">Gap identification: requirements with no matching clause are flagged as missing provisions</w:t>
      </w:r>
    </w:p>
    <w:p>
      <w:pPr>
        <w:pStyle w:val="ListParagraph"/>
        <w:numPr>
          <w:ilvl w:val="0"/>
          <w:numId w:val="2"/>
        </w:numPr>
        <w:spacing w:before="55" w:after="55"/>
      </w:pPr>
      <w:r>
        <w:rPr>
          <w:rFonts w:ascii="Arial" w:cs="Arial" w:eastAsia="Arial" w:hAnsi="Arial"/>
          <w:color w:val="1A1A1A"/>
          <w:sz w:val="22"/>
          <w:szCs w:val="22"/>
        </w:rPr>
        <w:t xml:space="preserve">Adequacy scoring: clauses that are present but potentially inadequate are scored against the requirement's adequacy criteria</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Analysis Output Structure</w:t>
      </w:r>
    </w:p>
    <w:p>
      <w:pPr>
        <w:spacing w:before="80" w:after="80"/>
      </w:pPr>
      <w:r>
        <w:rPr>
          <w:rFonts w:ascii="Arial" w:cs="Arial" w:eastAsia="Arial" w:hAnsi="Arial"/>
          <w:color w:val="1A1A1A"/>
          <w:sz w:val="22"/>
          <w:szCs w:val="22"/>
        </w:rPr>
        <w:t xml:space="preserve">The analysis produces a structured report with three sections:</w:t>
      </w:r>
    </w:p>
    <w:p>
      <w:pPr>
        <w:pStyle w:val="ListParagraph"/>
        <w:numPr>
          <w:ilvl w:val="0"/>
          <w:numId w:val="2"/>
        </w:numPr>
        <w:spacing w:before="55" w:after="55"/>
      </w:pPr>
      <w:r>
        <w:rPr>
          <w:rFonts w:ascii="Arial" w:cs="Arial" w:eastAsia="Arial" w:hAnsi="Arial"/>
          <w:color w:val="1A1A1A"/>
          <w:sz w:val="22"/>
          <w:szCs w:val="22"/>
        </w:rPr>
        <w:t xml:space="preserve">Missing provisions: required clauses with no corresponding language found anywhere in the document. Each missing provision includes the regulatory citation and template language to propose to the vendor.</w:t>
      </w:r>
    </w:p>
    <w:p>
      <w:pPr>
        <w:pStyle w:val="ListParagraph"/>
        <w:numPr>
          <w:ilvl w:val="0"/>
          <w:numId w:val="2"/>
        </w:numPr>
        <w:spacing w:before="55" w:after="55"/>
      </w:pPr>
      <w:r>
        <w:rPr>
          <w:rFonts w:ascii="Arial" w:cs="Arial" w:eastAsia="Arial" w:hAnsi="Arial"/>
          <w:color w:val="1A1A1A"/>
          <w:sz w:val="22"/>
          <w:szCs w:val="22"/>
        </w:rPr>
        <w:t xml:space="preserve">Potentially inadequate provisions: clauses present but possibly non-compliant (e.g., a breach notification clause that specifies 72 hours rather than the required 60 days). Flagged for human review with specific concern noted.</w:t>
      </w:r>
    </w:p>
    <w:p>
      <w:pPr>
        <w:pStyle w:val="ListParagraph"/>
        <w:numPr>
          <w:ilvl w:val="0"/>
          <w:numId w:val="2"/>
        </w:numPr>
        <w:spacing w:before="55" w:after="55"/>
      </w:pPr>
      <w:r>
        <w:rPr>
          <w:rFonts w:ascii="Arial" w:cs="Arial" w:eastAsia="Arial" w:hAnsi="Arial"/>
          <w:color w:val="1A1A1A"/>
          <w:sz w:val="22"/>
          <w:szCs w:val="22"/>
        </w:rPr>
        <w:t xml:space="preserve">Confirmed provisions: requirements that are clearly and adequately addressed. Provides legal defensibility documentation.</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Template Generation</w:t>
      </w:r>
    </w:p>
    <w:p>
      <w:pPr>
        <w:spacing w:before="80" w:after="80"/>
      </w:pPr>
      <w:r>
        <w:rPr>
          <w:rFonts w:ascii="Arial" w:cs="Arial" w:eastAsia="Arial" w:hAnsi="Arial"/>
          <w:color w:val="1A1A1A"/>
          <w:sz w:val="22"/>
          <w:szCs w:val="22"/>
        </w:rPr>
        <w:t xml:space="preserve">For each identified gap, the system generates ready-to-use contract language that the client can propose to the vendor. Language is:</w:t>
      </w:r>
    </w:p>
    <w:p>
      <w:pPr>
        <w:pStyle w:val="ListParagraph"/>
        <w:numPr>
          <w:ilvl w:val="0"/>
          <w:numId w:val="2"/>
        </w:numPr>
        <w:spacing w:before="55" w:after="55"/>
      </w:pPr>
      <w:r>
        <w:rPr>
          <w:rFonts w:ascii="Arial" w:cs="Arial" w:eastAsia="Arial" w:hAnsi="Arial"/>
          <w:color w:val="1A1A1A"/>
          <w:sz w:val="22"/>
          <w:szCs w:val="22"/>
        </w:rPr>
        <w:t xml:space="preserve">Based on HHS model BAA language and commonly accepted industry standards</w:t>
      </w:r>
    </w:p>
    <w:p>
      <w:pPr>
        <w:pStyle w:val="ListParagraph"/>
        <w:numPr>
          <w:ilvl w:val="0"/>
          <w:numId w:val="2"/>
        </w:numPr>
        <w:spacing w:before="55" w:after="55"/>
      </w:pPr>
      <w:r>
        <w:rPr>
          <w:rFonts w:ascii="Arial" w:cs="Arial" w:eastAsia="Arial" w:hAnsi="Arial"/>
          <w:color w:val="1A1A1A"/>
          <w:sz w:val="22"/>
          <w:szCs w:val="22"/>
        </w:rPr>
        <w:t xml:space="preserve">Parameterized for the specific relationship type (billing service vs. EHR host vs. answering service)</w:t>
      </w:r>
    </w:p>
    <w:p>
      <w:pPr>
        <w:pStyle w:val="ListParagraph"/>
        <w:numPr>
          <w:ilvl w:val="0"/>
          <w:numId w:val="2"/>
        </w:numPr>
        <w:spacing w:before="55" w:after="55"/>
      </w:pPr>
      <w:r>
        <w:rPr>
          <w:rFonts w:ascii="Arial" w:cs="Arial" w:eastAsia="Arial" w:hAnsi="Arial"/>
          <w:color w:val="1A1A1A"/>
          <w:sz w:val="22"/>
          <w:szCs w:val="22"/>
        </w:rPr>
        <w:t xml:space="preserve">Versioned and updated when HHS publishes new guidance or model language</w:t>
      </w:r>
    </w:p>
    <w:p>
      <w:pPr>
        <w:spacing w:before="60" w:after="0"/>
      </w:pPr>
      <w:r>
        <w:t xml:space="preserve"/>
      </w:r>
    </w:p>
    <w:p>
      <w:pPr>
        <w:spacing w:before="80" w:after="80"/>
      </w:pPr>
      <w:r>
        <w:rPr>
          <w:rFonts w:ascii="Arial" w:cs="Arial" w:eastAsia="Arial" w:hAnsi="Arial"/>
          <w:color w:val="1A1A1A"/>
          <w:sz w:val="22"/>
          <w:szCs w:val="22"/>
        </w:rPr>
        <w:t xml:space="preserve">The client receives a redlined version of the vendor's contract with proposed additions, ready to send back. This work previously required an attorney. For the vast majority of standard BAA gaps, the AI-generated language is sufficient.</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Learning From Reviewed Contracts</w:t>
      </w:r>
    </w:p>
    <w:p>
      <w:pPr>
        <w:spacing w:before="80" w:after="80"/>
      </w:pPr>
      <w:r>
        <w:rPr>
          <w:rFonts w:ascii="Arial" w:cs="Arial" w:eastAsia="Arial" w:hAnsi="Arial"/>
          <w:color w:val="1A1A1A"/>
          <w:sz w:val="22"/>
          <w:szCs w:val="22"/>
        </w:rPr>
        <w:t xml:space="preserve">Every reviewed contract and every expert correction of the analysis feeds back into the system. Over time, the system builds a library of vendor-specific contract patterns — it knows that Vendor X typically uses non-standard language for subcontractor obligations that is actually adequate despite looking unusual, and stops flagging it as a gap. This is the feedback loop of Feature 3 from the core architecture applied to contract intelligence.</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 / Notes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Document Parsing</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Apache Tika + PyPDF2</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Extracts text from PDF and DOCX with layout preservation. Section detection via heading patterns.</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Clause Classification</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Claude API with structured output</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LLM classifies clause types. Structured JSON output with clause type, regulatory relevance, and quoted text.</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Provision Mapping</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Knowledge graph traversal (Neo4j)</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Maps extracted clauses to requirement nodes. Returns gap analysis based on unmatched requirement nodes.</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Adequacy Scoring</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Hybrid: rule-based + LLM</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Rule-based checks for objective requirements (notification timelines, specific obligations). LLM for nuanced adequacy assessment.</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Template Library</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PostgreSQL + versioned content</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Parameterized templates per provision type and relationship category. Version-controlled with regulatory update history.</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Document Generation</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python-docx</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Generates redlined DOCX with proposed additions highlighted. Ready for client to send to vendor.</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Concrete Use Case</w:t>
      </w:r>
    </w:p>
    <w:p>
      <w:pPr>
        <w:spacing w:before="80" w:after="80"/>
      </w:pPr>
      <w:r>
        <w:rPr>
          <w:rFonts w:ascii="Arial" w:cs="Arial" w:eastAsia="Arial" w:hAnsi="Arial"/>
          <w:color w:val="1A1A1A"/>
          <w:sz w:val="22"/>
          <w:szCs w:val="22"/>
        </w:rPr>
        <w:t xml:space="preserve">A client uploads a 6-page BAA provided by their new cloud storage vendor. The analysis runs in under 90 seconds and returns:</w:t>
      </w:r>
    </w:p>
    <w:p>
      <w:pPr>
        <w:spacing w:before="60" w:after="0"/>
      </w:pPr>
      <w:r>
        <w:t xml:space="preserve"/>
      </w:r>
    </w:p>
    <w:p>
      <w:pPr>
        <w:pStyle w:val="ListParagraph"/>
        <w:numPr>
          <w:ilvl w:val="0"/>
          <w:numId w:val="2"/>
        </w:numPr>
        <w:spacing w:before="55" w:after="55"/>
      </w:pPr>
      <w:r>
        <w:rPr>
          <w:rFonts w:ascii="Arial" w:cs="Arial" w:eastAsia="Arial" w:hAnsi="Arial"/>
          <w:color w:val="1A1A1A"/>
          <w:sz w:val="22"/>
          <w:szCs w:val="22"/>
        </w:rPr>
        <w:t xml:space="preserve">Missing: subcontractor (sub-BA) obligation clause — the BAA does not require the vendor to flow down HIPAA obligations to their own subcontractors. This is a required provision under 45 CFR §164.504(e)(2)(ii)(D).</w:t>
      </w:r>
    </w:p>
    <w:p>
      <w:pPr>
        <w:pStyle w:val="ListParagraph"/>
        <w:numPr>
          <w:ilvl w:val="0"/>
          <w:numId w:val="2"/>
        </w:numPr>
        <w:spacing w:before="55" w:after="55"/>
      </w:pPr>
      <w:r>
        <w:rPr>
          <w:rFonts w:ascii="Arial" w:cs="Arial" w:eastAsia="Arial" w:hAnsi="Arial"/>
          <w:color w:val="1A1A1A"/>
          <w:sz w:val="22"/>
          <w:szCs w:val="22"/>
        </w:rPr>
        <w:t xml:space="preserve">Missing: termination provision — the BAA must specify what happens to PHI upon contract termination. No such clause present.</w:t>
      </w:r>
    </w:p>
    <w:p>
      <w:pPr>
        <w:pStyle w:val="ListParagraph"/>
        <w:numPr>
          <w:ilvl w:val="0"/>
          <w:numId w:val="2"/>
        </w:numPr>
        <w:spacing w:before="55" w:after="55"/>
      </w:pPr>
      <w:r>
        <w:rPr>
          <w:rFonts w:ascii="Arial" w:cs="Arial" w:eastAsia="Arial" w:hAnsi="Arial"/>
          <w:color w:val="1A1A1A"/>
          <w:sz w:val="22"/>
          <w:szCs w:val="22"/>
        </w:rPr>
        <w:t xml:space="preserve">Potentially inadequate: breach notification timeline specified as 'within 72 hours' — HIPAA requires notification 'without unreasonable delay' and no later than 60 days. 72 hours is more restrictive than required and creates operational issues, but more importantly the phrasing does not align with the regulatory standard and could create confusion.</w:t>
      </w:r>
    </w:p>
    <w:p>
      <w:pPr>
        <w:pStyle w:val="ListParagraph"/>
        <w:numPr>
          <w:ilvl w:val="0"/>
          <w:numId w:val="2"/>
        </w:numPr>
        <w:spacing w:before="55" w:after="55"/>
      </w:pPr>
      <w:r>
        <w:rPr>
          <w:rFonts w:ascii="Arial" w:cs="Arial" w:eastAsia="Arial" w:hAnsi="Arial"/>
          <w:color w:val="1A1A1A"/>
          <w:sz w:val="22"/>
          <w:szCs w:val="22"/>
        </w:rPr>
        <w:t xml:space="preserve">Confirmed: 8 of 11 required provisions are clearly and adequately addressed.</w:t>
      </w:r>
    </w:p>
    <w:p>
      <w:pPr>
        <w:spacing w:before="60" w:after="0"/>
      </w:pPr>
      <w:r>
        <w:t xml:space="preserve"/>
      </w:r>
    </w:p>
    <w:p>
      <w:pPr>
        <w:spacing w:before="80" w:after="80"/>
      </w:pPr>
      <w:r>
        <w:rPr>
          <w:rFonts w:ascii="Arial" w:cs="Arial" w:eastAsia="Arial" w:hAnsi="Arial"/>
          <w:color w:val="1A1A1A"/>
          <w:sz w:val="22"/>
          <w:szCs w:val="22"/>
        </w:rPr>
        <w:t xml:space="preserve">The output includes ready-to-use replacement language for each gap, formatted as a redlined document the client can return to the vendor. Total time investment for the client: 5 minutes to review the output. Without this feature: either the BAA goes unreviewed (creating legal exposure) or the client pays $400–800 for an attorney review.</w:t>
      </w:r>
    </w:p>
    <w:p>
      <w:pPr>
        <w:pBdr>
          <w:bottom w:val="single" w:color="D6E9F8" w:sz="4" w:space="1"/>
        </w:pBdr>
        <w:spacing w:before="180" w:after="180"/>
      </w:pPr>
      <w:r>
        <w:t xml:space="preserve"/>
      </w:r>
    </w:p>
    <w:p>
      <w:r>
        <w:br w:type="page"/>
      </w:r>
    </w:p>
    <w:p>
      <w:pPr>
        <w:spacing w:before="0" w:after="140"/>
      </w:pPr>
      <w:r>
        <w:rPr>
          <w:rFonts w:ascii="Arial" w:cs="Arial" w:eastAsia="Arial" w:hAnsi="Arial"/>
          <w:b/>
          <w:bCs/>
          <w:color w:val="1A7F7F"/>
          <w:sz w:val="28"/>
          <w:szCs w:val="28"/>
        </w:rPr>
        <w:t xml:space="preserve">FEATURE 07  </w:t>
      </w:r>
      <w:r>
        <w:rPr>
          <w:rFonts w:ascii="Arial" w:cs="Arial" w:eastAsia="Arial" w:hAnsi="Arial"/>
          <w:b/>
          <w:bCs/>
          <w:color w:val="1F3864"/>
          <w:sz w:val="28"/>
          <w:szCs w:val="28"/>
        </w:rPr>
        <w:t xml:space="preserve">Staff Behavior Analytics</w:t>
      </w:r>
    </w:p>
    <w:p>
      <w:pPr>
        <w:spacing w:before="60" w:after="60"/>
      </w:pPr>
      <w:r>
        <w:rPr>
          <w:rFonts w:ascii="Arial" w:cs="Arial" w:eastAsia="Arial" w:hAnsi="Arial"/>
          <w:i/>
          <w:iCs/>
          <w:color w:val="555555"/>
          <w:sz w:val="18"/>
          <w:szCs w:val="18"/>
        </w:rPr>
        <w:t xml:space="preserve">Continuous monitoring of EHR and system access patterns to detect workforce compliance violations and breach precursors before they become reportable incidents</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What Problem This Solves</w:t>
      </w:r>
    </w:p>
    <w:p>
      <w:pPr>
        <w:spacing w:before="80" w:after="80"/>
      </w:pPr>
      <w:r>
        <w:rPr>
          <w:rFonts w:ascii="Arial" w:cs="Arial" w:eastAsia="Arial" w:hAnsi="Arial"/>
          <w:color w:val="1A1A1A"/>
          <w:sz w:val="22"/>
          <w:szCs w:val="22"/>
        </w:rPr>
        <w:t xml:space="preserve">The HIPAA Security Rule requires covered entities to implement audit controls and review activity in information systems containing PHI. Most small practices technically have audit logs enabled in their EHR but nobody ever reviews them. Violations incubate invisibly — a staff member snooping in records, a compromised credential used for unusual access, bulk PHI exports — until they become reportable incidents. This feature does the monitoring automatically and surfaces only the anomalies worth investigating.</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Regulatory Basis</w:t>
      </w:r>
    </w:p>
    <w:p>
      <w:pPr>
        <w:spacing w:before="80" w:after="80"/>
      </w:pPr>
      <w:r>
        <w:rPr>
          <w:rFonts w:ascii="Arial" w:cs="Arial" w:eastAsia="Arial" w:hAnsi="Arial"/>
          <w:color w:val="1A1A1A"/>
          <w:sz w:val="22"/>
          <w:szCs w:val="22"/>
        </w:rPr>
        <w:t xml:space="preserve">This feature directly fulfills three HIPAA requirements simultaneously:</w:t>
      </w:r>
    </w:p>
    <w:p>
      <w:pPr>
        <w:pStyle w:val="ListParagraph"/>
        <w:numPr>
          <w:ilvl w:val="0"/>
          <w:numId w:val="2"/>
        </w:numPr>
        <w:spacing w:before="55" w:after="55"/>
      </w:pPr>
      <w:r>
        <w:rPr>
          <w:rFonts w:ascii="Arial" w:cs="Arial" w:eastAsia="Arial" w:hAnsi="Arial"/>
          <w:color w:val="1A1A1A"/>
          <w:sz w:val="22"/>
          <w:szCs w:val="22"/>
        </w:rPr>
        <w:t xml:space="preserve">45 CFR §164.312(b) — Audit Controls: implement hardware, software, and procedural mechanisms to record and examine activity in information systems that contain or use ePHI</w:t>
      </w:r>
    </w:p>
    <w:p>
      <w:pPr>
        <w:pStyle w:val="ListParagraph"/>
        <w:numPr>
          <w:ilvl w:val="0"/>
          <w:numId w:val="2"/>
        </w:numPr>
        <w:spacing w:before="55" w:after="55"/>
      </w:pPr>
      <w:r>
        <w:rPr>
          <w:rFonts w:ascii="Arial" w:cs="Arial" w:eastAsia="Arial" w:hAnsi="Arial"/>
          <w:color w:val="1A1A1A"/>
          <w:sz w:val="22"/>
          <w:szCs w:val="22"/>
        </w:rPr>
        <w:t xml:space="preserve">45 CFR §164.308(a)(1)(ii)(D) — Information System Activity Review: implement procedures to regularly review records of information system activity</w:t>
      </w:r>
    </w:p>
    <w:p>
      <w:pPr>
        <w:pStyle w:val="ListParagraph"/>
        <w:numPr>
          <w:ilvl w:val="0"/>
          <w:numId w:val="2"/>
        </w:numPr>
        <w:spacing w:before="55" w:after="55"/>
      </w:pPr>
      <w:r>
        <w:rPr>
          <w:rFonts w:ascii="Arial" w:cs="Arial" w:eastAsia="Arial" w:hAnsi="Arial"/>
          <w:color w:val="1A1A1A"/>
          <w:sz w:val="22"/>
          <w:szCs w:val="22"/>
        </w:rPr>
        <w:t xml:space="preserve">45 CFR §164.308(a)(5)(ii)(C) — Log-in Monitoring: implement procedures for monitoring log-in attempts and reporting discrepancies</w:t>
      </w:r>
    </w:p>
    <w:p>
      <w:pPr>
        <w:spacing w:before="60" w:after="0"/>
      </w:pPr>
      <w:r>
        <w:t xml:space="preserve"/>
      </w:r>
    </w:p>
    <w:p>
      <w:pPr>
        <w:spacing w:before="80" w:after="80"/>
      </w:pPr>
      <w:r>
        <w:rPr>
          <w:rFonts w:ascii="Arial" w:cs="Arial" w:eastAsia="Arial" w:hAnsi="Arial"/>
          <w:color w:val="1A1A1A"/>
          <w:sz w:val="22"/>
          <w:szCs w:val="22"/>
        </w:rPr>
        <w:t xml:space="preserve">Most platforms help clients document that they have audit controls in place. This feature actually performs the review that the regulation requires, providing both compliance fulfillment and genuine risk reduction.</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How It Works — Technical Architecture</w:t>
      </w:r>
    </w:p>
    <w:p>
      <w:pPr>
        <w:pStyle w:val="Heading3"/>
        <w:spacing w:before="220" w:after="80"/>
      </w:pPr>
      <w:r>
        <w:rPr>
          <w:rFonts w:ascii="Arial" w:cs="Arial" w:eastAsia="Arial" w:hAnsi="Arial"/>
          <w:b/>
          <w:bCs/>
          <w:color w:val="1A7F7F"/>
          <w:sz w:val="24"/>
          <w:szCs w:val="24"/>
        </w:rPr>
        <w:t xml:space="preserve">Access Log Ingestion</w:t>
      </w:r>
    </w:p>
    <w:p>
      <w:pPr>
        <w:spacing w:before="80" w:after="80"/>
      </w:pPr>
      <w:r>
        <w:rPr>
          <w:rFonts w:ascii="Arial" w:cs="Arial" w:eastAsia="Arial" w:hAnsi="Arial"/>
          <w:color w:val="1A1A1A"/>
          <w:sz w:val="22"/>
          <w:szCs w:val="22"/>
        </w:rPr>
        <w:t xml:space="preserve">EHR systems and other clinical applications generate access logs that record every user interaction with patient records. Log ingestion connects to these sources via:</w:t>
      </w:r>
    </w:p>
    <w:p>
      <w:pPr>
        <w:pStyle w:val="ListParagraph"/>
        <w:numPr>
          <w:ilvl w:val="0"/>
          <w:numId w:val="2"/>
        </w:numPr>
        <w:spacing w:before="55" w:after="55"/>
      </w:pPr>
      <w:r>
        <w:rPr>
          <w:rFonts w:ascii="Arial" w:cs="Arial" w:eastAsia="Arial" w:hAnsi="Arial"/>
          <w:color w:val="1A1A1A"/>
          <w:sz w:val="22"/>
          <w:szCs w:val="22"/>
        </w:rPr>
        <w:t xml:space="preserve">Direct API integration where EHR vendors provide audit log APIs (Epic, Athenahealth, eClinicalWorks have varying API access for audit data)</w:t>
      </w:r>
    </w:p>
    <w:p>
      <w:pPr>
        <w:pStyle w:val="ListParagraph"/>
        <w:numPr>
          <w:ilvl w:val="0"/>
          <w:numId w:val="2"/>
        </w:numPr>
        <w:spacing w:before="55" w:after="55"/>
      </w:pPr>
      <w:r>
        <w:rPr>
          <w:rFonts w:ascii="Arial" w:cs="Arial" w:eastAsia="Arial" w:hAnsi="Arial"/>
          <w:color w:val="1A1A1A"/>
          <w:sz w:val="22"/>
          <w:szCs w:val="22"/>
        </w:rPr>
        <w:t xml:space="preserve">SIEM-style log forwarding: many EHRs can export logs to a SIEM endpoint — the system accepts syslog or structured log formats</w:t>
      </w:r>
    </w:p>
    <w:p>
      <w:pPr>
        <w:pStyle w:val="ListParagraph"/>
        <w:numPr>
          <w:ilvl w:val="0"/>
          <w:numId w:val="2"/>
        </w:numPr>
        <w:spacing w:before="55" w:after="55"/>
      </w:pPr>
      <w:r>
        <w:rPr>
          <w:rFonts w:ascii="Arial" w:cs="Arial" w:eastAsia="Arial" w:hAnsi="Arial"/>
          <w:color w:val="1A1A1A"/>
          <w:sz w:val="22"/>
          <w:szCs w:val="22"/>
        </w:rPr>
        <w:t xml:space="preserve">Scheduled log file exports: for systems without real-time APIs, daily encrypted export files</w:t>
      </w:r>
    </w:p>
    <w:p>
      <w:pPr>
        <w:spacing w:before="60" w:after="0"/>
      </w:pPr>
      <w:r>
        <w:t xml:space="preserve"/>
      </w:r>
    </w:p>
    <w:p>
      <w:pPr>
        <w:spacing w:before="80" w:after="80"/>
      </w:pPr>
      <w:r>
        <w:rPr>
          <w:rFonts w:ascii="Arial" w:cs="Arial" w:eastAsia="Arial" w:hAnsi="Arial"/>
          <w:color w:val="1A1A1A"/>
          <w:sz w:val="22"/>
          <w:szCs w:val="22"/>
        </w:rPr>
        <w:t xml:space="preserve">Logs are normalized into a standard access event schema regardless of source: user_id, patient_id, record_type, action, timestamp, workstation, application, session_id.</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Baseline Modeling</w:t>
      </w:r>
    </w:p>
    <w:p>
      <w:pPr>
        <w:spacing w:before="80" w:after="80"/>
      </w:pPr>
      <w:r>
        <w:rPr>
          <w:rFonts w:ascii="Arial" w:cs="Arial" w:eastAsia="Arial" w:hAnsi="Arial"/>
          <w:color w:val="1A1A1A"/>
          <w:sz w:val="22"/>
          <w:szCs w:val="22"/>
        </w:rPr>
        <w:t xml:space="preserve">Before anomaly detection is meaningful, the system establishes a behavioral baseline for each user over a 30-day learning period:</w:t>
      </w:r>
    </w:p>
    <w:p>
      <w:pPr>
        <w:pStyle w:val="ListParagraph"/>
        <w:numPr>
          <w:ilvl w:val="0"/>
          <w:numId w:val="2"/>
        </w:numPr>
        <w:spacing w:before="55" w:after="55"/>
      </w:pPr>
      <w:r>
        <w:rPr>
          <w:rFonts w:ascii="Arial" w:cs="Arial" w:eastAsia="Arial" w:hAnsi="Arial"/>
          <w:color w:val="1A1A1A"/>
          <w:sz w:val="22"/>
          <w:szCs w:val="22"/>
        </w:rPr>
        <w:t xml:space="preserve">Normal access volume: average and standard deviation of records accessed per shift/day</w:t>
      </w:r>
    </w:p>
    <w:p>
      <w:pPr>
        <w:pStyle w:val="ListParagraph"/>
        <w:numPr>
          <w:ilvl w:val="0"/>
          <w:numId w:val="2"/>
        </w:numPr>
        <w:spacing w:before="55" w:after="55"/>
      </w:pPr>
      <w:r>
        <w:rPr>
          <w:rFonts w:ascii="Arial" w:cs="Arial" w:eastAsia="Arial" w:hAnsi="Arial"/>
          <w:color w:val="1A1A1A"/>
          <w:sz w:val="22"/>
          <w:szCs w:val="22"/>
        </w:rPr>
        <w:t xml:space="preserve">Normal access hours: typical working hours with session start/end distribution</w:t>
      </w:r>
    </w:p>
    <w:p>
      <w:pPr>
        <w:pStyle w:val="ListParagraph"/>
        <w:numPr>
          <w:ilvl w:val="0"/>
          <w:numId w:val="2"/>
        </w:numPr>
        <w:spacing w:before="55" w:after="55"/>
      </w:pPr>
      <w:r>
        <w:rPr>
          <w:rFonts w:ascii="Arial" w:cs="Arial" w:eastAsia="Arial" w:hAnsi="Arial"/>
          <w:color w:val="1A1A1A"/>
          <w:sz w:val="22"/>
          <w:szCs w:val="22"/>
        </w:rPr>
        <w:t xml:space="preserve">Normal patient population: which patients does this user typically access? (treating provider vs. front desk vs. billing have very different expected access patterns)</w:t>
      </w:r>
    </w:p>
    <w:p>
      <w:pPr>
        <w:pStyle w:val="ListParagraph"/>
        <w:numPr>
          <w:ilvl w:val="0"/>
          <w:numId w:val="2"/>
        </w:numPr>
        <w:spacing w:before="55" w:after="55"/>
      </w:pPr>
      <w:r>
        <w:rPr>
          <w:rFonts w:ascii="Arial" w:cs="Arial" w:eastAsia="Arial" w:hAnsi="Arial"/>
          <w:color w:val="1A1A1A"/>
          <w:sz w:val="22"/>
          <w:szCs w:val="22"/>
        </w:rPr>
        <w:t xml:space="preserve">Normal record types: which record categories does this role typically access?</w:t>
      </w:r>
    </w:p>
    <w:p>
      <w:pPr>
        <w:pStyle w:val="ListParagraph"/>
        <w:numPr>
          <w:ilvl w:val="0"/>
          <w:numId w:val="2"/>
        </w:numPr>
        <w:spacing w:before="55" w:after="55"/>
      </w:pPr>
      <w:r>
        <w:rPr>
          <w:rFonts w:ascii="Arial" w:cs="Arial" w:eastAsia="Arial" w:hAnsi="Arial"/>
          <w:color w:val="1A1A1A"/>
          <w:sz w:val="22"/>
          <w:szCs w:val="22"/>
        </w:rPr>
        <w:t xml:space="preserve">Normal workstation/location patterns: where do sessions typically originate?</w:t>
      </w:r>
    </w:p>
    <w:p>
      <w:pPr>
        <w:spacing w:before="60" w:after="0"/>
      </w:pPr>
      <w:r>
        <w:t xml:space="preserve"/>
      </w:r>
    </w:p>
    <w:p>
      <w:pPr>
        <w:spacing w:before="80" w:after="80"/>
      </w:pPr>
      <w:r>
        <w:rPr>
          <w:rFonts w:ascii="Arial" w:cs="Arial" w:eastAsia="Arial" w:hAnsi="Arial"/>
          <w:color w:val="1A1A1A"/>
          <w:sz w:val="22"/>
          <w:szCs w:val="22"/>
        </w:rPr>
        <w:t xml:space="preserve">Baselines are role-aware and continuously updated. A new employee's baseline builds over their first month. A provider covering a colleague's patients temporarily will show elevated access volume — the system must distinguish this from a potential violation.</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Anomaly Detection Model</w:t>
      </w:r>
    </w:p>
    <w:p>
      <w:pPr>
        <w:spacing w:before="80" w:after="80"/>
      </w:pPr>
      <w:r>
        <w:rPr>
          <w:rFonts w:ascii="Arial" w:cs="Arial" w:eastAsia="Arial" w:hAnsi="Arial"/>
          <w:color w:val="1A1A1A"/>
          <w:sz w:val="22"/>
          <w:szCs w:val="22"/>
        </w:rPr>
        <w:t xml:space="preserve">Anomaly detection runs continuously against the established baselines using a multi-signal approach: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Volume anomaly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User accesses significantly more records than baseline in a session. High sensitivity: a provider accessing 3x their normal volume in one shift is a meaningful signal.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Off-hours access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Authentication and record access outside the user's established working hour pattern. Especially significant combined with other anomalies.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Celebrity patient access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Access to records of local public figures, employees, or other high-profile individuals. Many EHR breaches involve snooping on notable patients.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Relationship anomaly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Provider accessing records of patients they have no documented treating relationship with. Strongest single predictor of inappropriate access.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Bulk export pattern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Sequential access to many patient records in short time windows — consistent with data exfiltration rather than normal care delivery.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Credential sharing signal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Same account accessed from multiple workstations in overlapping time windows, or from geographically impossible locations.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Failed access attempts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Repeated failed attempts to access specific records or restricted areas — potential privilege escalation attempts.</w:t>
            </w:r>
          </w:p>
        </w:tc>
      </w:tr>
    </w:tbl>
    <w:p>
      <w:pPr>
        <w:spacing w:before="120" w:after="0"/>
      </w:pPr>
      <w:r>
        <w:t xml:space="preserve"/>
      </w:r>
    </w:p>
    <w:p>
      <w:pPr>
        <w:pStyle w:val="Heading3"/>
        <w:spacing w:before="220" w:after="80"/>
      </w:pPr>
      <w:r>
        <w:rPr>
          <w:rFonts w:ascii="Arial" w:cs="Arial" w:eastAsia="Arial" w:hAnsi="Arial"/>
          <w:b/>
          <w:bCs/>
          <w:color w:val="1A7F7F"/>
          <w:sz w:val="24"/>
          <w:szCs w:val="24"/>
        </w:rPr>
        <w:t xml:space="preserve">Alert Triage &amp; Workflow</w:t>
      </w:r>
    </w:p>
    <w:p>
      <w:pPr>
        <w:spacing w:before="80" w:after="80"/>
      </w:pPr>
      <w:r>
        <w:rPr>
          <w:rFonts w:ascii="Arial" w:cs="Arial" w:eastAsia="Arial" w:hAnsi="Arial"/>
          <w:color w:val="1A1A1A"/>
          <w:sz w:val="22"/>
          <w:szCs w:val="22"/>
        </w:rPr>
        <w:t xml:space="preserve">Not every anomaly is a violation. The triage workflow distinguishes severity levels:</w:t>
      </w:r>
    </w:p>
    <w:p>
      <w:pPr>
        <w:pStyle w:val="ListParagraph"/>
        <w:numPr>
          <w:ilvl w:val="0"/>
          <w:numId w:val="2"/>
        </w:numPr>
        <w:spacing w:before="55" w:after="55"/>
      </w:pPr>
      <w:r>
        <w:rPr>
          <w:rFonts w:ascii="Arial" w:cs="Arial" w:eastAsia="Arial" w:hAnsi="Arial"/>
          <w:color w:val="1A1A1A"/>
          <w:sz w:val="22"/>
          <w:szCs w:val="22"/>
        </w:rPr>
        <w:t xml:space="preserve">Informational: slight deviations from baseline during unusual operational periods (flu season, covering an absent provider). Logged but no immediate alert.</w:t>
      </w:r>
    </w:p>
    <w:p>
      <w:pPr>
        <w:pStyle w:val="ListParagraph"/>
        <w:numPr>
          <w:ilvl w:val="0"/>
          <w:numId w:val="2"/>
        </w:numPr>
        <w:spacing w:before="55" w:after="55"/>
      </w:pPr>
      <w:r>
        <w:rPr>
          <w:rFonts w:ascii="Arial" w:cs="Arial" w:eastAsia="Arial" w:hAnsi="Arial"/>
          <w:color w:val="1A1A1A"/>
          <w:sz w:val="22"/>
          <w:szCs w:val="22"/>
        </w:rPr>
        <w:t xml:space="preserve">Review recommended: meaningful anomaly without strong violation indicators. Presented in a weekly review digest for the compliance officer or practice manager.</w:t>
      </w:r>
    </w:p>
    <w:p>
      <w:pPr>
        <w:pStyle w:val="ListParagraph"/>
        <w:numPr>
          <w:ilvl w:val="0"/>
          <w:numId w:val="2"/>
        </w:numPr>
        <w:spacing w:before="55" w:after="55"/>
      </w:pPr>
      <w:r>
        <w:rPr>
          <w:rFonts w:ascii="Arial" w:cs="Arial" w:eastAsia="Arial" w:hAnsi="Arial"/>
          <w:color w:val="1A1A1A"/>
          <w:sz w:val="22"/>
          <w:szCs w:val="22"/>
        </w:rPr>
        <w:t xml:space="preserve">Immediate review: strong anomaly signal requiring prompt investigation. Alert sent within 24 hours with specific records and sessions identified.</w:t>
      </w:r>
    </w:p>
    <w:p>
      <w:pPr>
        <w:pStyle w:val="ListParagraph"/>
        <w:numPr>
          <w:ilvl w:val="0"/>
          <w:numId w:val="2"/>
        </w:numPr>
        <w:spacing w:before="55" w:after="55"/>
      </w:pPr>
      <w:r>
        <w:rPr>
          <w:rFonts w:ascii="Arial" w:cs="Arial" w:eastAsia="Arial" w:hAnsi="Arial"/>
          <w:color w:val="1A1A1A"/>
          <w:sz w:val="22"/>
          <w:szCs w:val="22"/>
        </w:rPr>
        <w:t xml:space="preserve">Potential breach: pattern consistent with active data exfiltration or systematic inappropriate access. Immediate notification with breach assessment workflow triggered.</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 / Notes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Log Ingestion</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AWS Kinesis Data Streams</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High-throughput real-time log ingestion. Handles burst access patterns during peak clinical hours.</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Log Storage</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AWS S3 + Glue Catalog</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Raw logs stored in S3 (required for HIPAA audit log retention). Glue catalog enables SQL queries via Athena.</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Baseline Engine</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Python (pandas + statsmodels)</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Statistical baseline calculation per user. Runs nightly. Exponentially weighted moving average for gradual baseline drift.</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Anomaly Detection</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Isolation Forest + rule-based layer</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Isolation Forest for multivariate anomalies. Rule-based layer for high-confidence signals (bulk export, impossible geography).</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Alert Pipeline</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Lambda + SQS + SES</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Anomaly events trigger Lambda scoring. High-severity alerts routed immediately via SES. Review items batched to weekly digest.</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Investigation UI</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React timeline visualization</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For flagged sessions: visual timeline of all access events, patient relationship data, comparison to baseline. Enables rapid manual review.</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Concrete Use Case</w:t>
      </w:r>
    </w:p>
    <w:p>
      <w:pPr>
        <w:spacing w:before="80" w:after="80"/>
      </w:pPr>
      <w:r>
        <w:rPr>
          <w:rFonts w:ascii="Arial" w:cs="Arial" w:eastAsia="Arial" w:hAnsi="Arial"/>
          <w:color w:val="1A1A1A"/>
          <w:sz w:val="22"/>
          <w:szCs w:val="22"/>
        </w:rPr>
        <w:t xml:space="preserve">A front desk coordinator at a multi-provider practice begins accessing clinical notes — a record type outside her normal role scope. Over three weeks, the access volume escalates from occasional to daily. The anomaly detection system flags this in week two as a 'review recommended' alert: specific user, 34 record accesses outside normal role scope, times correlating with end-of-shift periods.</w:t>
      </w:r>
    </w:p>
    <w:p>
      <w:pPr>
        <w:spacing w:before="60" w:after="0"/>
      </w:pPr>
      <w:r>
        <w:t xml:space="preserve"/>
      </w:r>
    </w:p>
    <w:p>
      <w:pPr>
        <w:spacing w:before="80" w:after="80"/>
      </w:pPr>
      <w:r>
        <w:rPr>
          <w:rFonts w:ascii="Arial" w:cs="Arial" w:eastAsia="Arial" w:hAnsi="Arial"/>
          <w:color w:val="1A1A1A"/>
          <w:sz w:val="22"/>
          <w:szCs w:val="22"/>
        </w:rPr>
        <w:t xml:space="preserve">The practice manager reviews the flagged sessions and discovers the coordinator has been accessing records of her neighbor — a patient at the practice — without clinical justification. This is a clear HIPAA Privacy Rule violation. Because it was detected at 34 record accesses, the scope of the breach is contained. Without the monitoring, this likely would have continued for months and been discovered only through a patient complaint, by which point the scope could have involved hundreds of records and created significant notification obligations.</w:t>
      </w:r>
    </w:p>
    <w:p>
      <w:pPr>
        <w:spacing w:before="60" w:after="0"/>
      </w:pPr>
      <w:r>
        <w:t xml:space="preserve"/>
      </w:r>
    </w:p>
    <w:p>
      <w:pPr>
        <w:spacing w:before="80" w:after="80"/>
      </w:pPr>
      <w:r>
        <w:rPr>
          <w:rFonts w:ascii="Arial" w:cs="Arial" w:eastAsia="Arial" w:hAnsi="Arial"/>
          <w:color w:val="1A1A1A"/>
          <w:sz w:val="22"/>
          <w:szCs w:val="22"/>
        </w:rPr>
        <w:t xml:space="preserve">The practice takes corrective action, documents the investigation, implements additional access controls, and — because the scope was limited and promptly addressed — the incident does not require HHS reporting. The monitoring system directly prevented a reportable breach.</w:t>
      </w:r>
    </w:p>
    <w:p>
      <w:pPr>
        <w:pBdr>
          <w:bottom w:val="single" w:color="D6E9F8" w:sz="4" w:space="1"/>
        </w:pBdr>
        <w:spacing w:before="180" w:after="180"/>
      </w:pPr>
      <w:r>
        <w:t xml:space="preserve"/>
      </w:r>
    </w:p>
    <w:p>
      <w:r>
        <w:br w:type="page"/>
      </w:r>
    </w:p>
    <w:p>
      <w:pPr>
        <w:spacing w:before="0" w:after="140"/>
      </w:pPr>
      <w:r>
        <w:rPr>
          <w:rFonts w:ascii="Arial" w:cs="Arial" w:eastAsia="Arial" w:hAnsi="Arial"/>
          <w:b/>
          <w:bCs/>
          <w:color w:val="1A7F7F"/>
          <w:sz w:val="28"/>
          <w:szCs w:val="28"/>
        </w:rPr>
        <w:t xml:space="preserve">FEATURE 08  </w:t>
      </w:r>
      <w:r>
        <w:rPr>
          <w:rFonts w:ascii="Arial" w:cs="Arial" w:eastAsia="Arial" w:hAnsi="Arial"/>
          <w:b/>
          <w:bCs/>
          <w:color w:val="1F3864"/>
          <w:sz w:val="28"/>
          <w:szCs w:val="28"/>
        </w:rPr>
        <w:t xml:space="preserve">M&amp;A and Onboarding Due Diligence</w:t>
      </w:r>
    </w:p>
    <w:p>
      <w:pPr>
        <w:spacing w:before="60" w:after="60"/>
      </w:pPr>
      <w:r>
        <w:rPr>
          <w:rFonts w:ascii="Arial" w:cs="Arial" w:eastAsia="Arial" w:hAnsi="Arial"/>
          <w:i/>
          <w:iCs/>
          <w:color w:val="555555"/>
          <w:sz w:val="18"/>
          <w:szCs w:val="18"/>
        </w:rPr>
        <w:t xml:space="preserve">Structured compliance due diligence workflow for healthcare acquisitions, mergers, and new physician group onboarding — a high-value, premium-priced use case</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What Problem This Solves</w:t>
      </w:r>
    </w:p>
    <w:p>
      <w:pPr>
        <w:spacing w:before="80" w:after="80"/>
      </w:pPr>
      <w:r>
        <w:rPr>
          <w:rFonts w:ascii="Arial" w:cs="Arial" w:eastAsia="Arial" w:hAnsi="Arial"/>
          <w:color w:val="1A1A1A"/>
          <w:sz w:val="22"/>
          <w:szCs w:val="22"/>
        </w:rPr>
        <w:t xml:space="preserve">Healthcare M&amp;A is active and growing. When a hospital system acquires a physician practice, when two practices merge, or when a health system brings on an employed physician group, compliance due diligence is critical and currently expensive. A compliance consultant performing HIPAA due diligence on an acquisition target charges $15,000–50,000 and takes 4–8 weeks. Your platform can do it in days for a fraction of the cost, with more systematic coverage and a defensible documented output.</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The Business Model Opportunity</w:t>
      </w:r>
    </w:p>
    <w:p>
      <w:pPr>
        <w:spacing w:before="80" w:after="80"/>
      </w:pPr>
      <w:r>
        <w:rPr>
          <w:rFonts w:ascii="Arial" w:cs="Arial" w:eastAsia="Arial" w:hAnsi="Arial"/>
          <w:color w:val="1A1A1A"/>
          <w:sz w:val="22"/>
          <w:szCs w:val="22"/>
        </w:rPr>
        <w:t xml:space="preserve">This feature operates differently from your standard subscription model. M&amp;A due diligence is a transaction-based, high-value service:</w:t>
      </w:r>
    </w:p>
    <w:p>
      <w:pPr>
        <w:pStyle w:val="ListParagraph"/>
        <w:numPr>
          <w:ilvl w:val="0"/>
          <w:numId w:val="2"/>
        </w:numPr>
        <w:spacing w:before="55" w:after="55"/>
      </w:pPr>
      <w:r>
        <w:rPr>
          <w:rFonts w:ascii="Arial" w:cs="Arial" w:eastAsia="Arial" w:hAnsi="Arial"/>
          <w:color w:val="1A1A1A"/>
          <w:sz w:val="22"/>
          <w:szCs w:val="22"/>
        </w:rPr>
        <w:t xml:space="preserve">Standard SaaS: $300–600/month ongoing subscription</w:t>
      </w:r>
    </w:p>
    <w:p>
      <w:pPr>
        <w:pStyle w:val="ListParagraph"/>
        <w:numPr>
          <w:ilvl w:val="0"/>
          <w:numId w:val="2"/>
        </w:numPr>
        <w:spacing w:before="55" w:after="55"/>
      </w:pPr>
      <w:r>
        <w:rPr>
          <w:rFonts w:ascii="Arial" w:cs="Arial" w:eastAsia="Arial" w:hAnsi="Arial"/>
          <w:color w:val="1A1A1A"/>
          <w:sz w:val="22"/>
          <w:szCs w:val="22"/>
        </w:rPr>
        <w:t xml:space="preserve">M&amp;A due diligence report: $2,500–8,000 per transaction</w:t>
      </w:r>
    </w:p>
    <w:p>
      <w:pPr>
        <w:pStyle w:val="ListParagraph"/>
        <w:numPr>
          <w:ilvl w:val="0"/>
          <w:numId w:val="2"/>
        </w:numPr>
        <w:spacing w:before="55" w:after="55"/>
      </w:pPr>
      <w:r>
        <w:rPr>
          <w:rFonts w:ascii="Arial" w:cs="Arial" w:eastAsia="Arial" w:hAnsi="Arial"/>
          <w:color w:val="1A1A1A"/>
          <w:sz w:val="22"/>
          <w:szCs w:val="22"/>
        </w:rPr>
        <w:t xml:space="preserve">Referral channel: healthcare M&amp;A attorneys, practice brokers, and private equity firms become a steady referral pipeline — they encounter this need on every deal</w:t>
      </w:r>
    </w:p>
    <w:p>
      <w:pPr>
        <w:spacing w:before="60" w:after="0"/>
      </w:pPr>
      <w:r>
        <w:t xml:space="preserve"/>
      </w:r>
    </w:p>
    <w:p>
      <w:pPr>
        <w:spacing w:before="80" w:after="80"/>
      </w:pPr>
      <w:r>
        <w:rPr>
          <w:rFonts w:ascii="Arial" w:cs="Arial" w:eastAsia="Arial" w:hAnsi="Arial"/>
          <w:color w:val="1A1A1A"/>
          <w:sz w:val="22"/>
          <w:szCs w:val="22"/>
        </w:rPr>
        <w:t xml:space="preserve">A firm doing 10 healthcare acquisitions per year that uses your platform for due diligence on each one represents $25,000–80,000 in annual revenue from a single referral relationship. More importantly, the acquisition target typically becomes your ongoing compliance client post-transaction.</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How It Works — Technical Architecture</w:t>
      </w:r>
    </w:p>
    <w:p>
      <w:pPr>
        <w:pStyle w:val="Heading3"/>
        <w:spacing w:before="220" w:after="80"/>
      </w:pPr>
      <w:r>
        <w:rPr>
          <w:rFonts w:ascii="Arial" w:cs="Arial" w:eastAsia="Arial" w:hAnsi="Arial"/>
          <w:b/>
          <w:bCs/>
          <w:color w:val="1A7F7F"/>
          <w:sz w:val="24"/>
          <w:szCs w:val="24"/>
        </w:rPr>
        <w:t xml:space="preserve">Two-Party Workflow</w:t>
      </w:r>
    </w:p>
    <w:p>
      <w:pPr>
        <w:spacing w:before="80" w:after="80"/>
      </w:pPr>
      <w:r>
        <w:rPr>
          <w:rFonts w:ascii="Arial" w:cs="Arial" w:eastAsia="Arial" w:hAnsi="Arial"/>
          <w:color w:val="1A1A1A"/>
          <w:sz w:val="22"/>
          <w:szCs w:val="22"/>
        </w:rPr>
        <w:t xml:space="preserve">M&amp;A due diligence involves two parties: the acquirer (your existing client or the deal sponsor) and the target (the organization being acquired). The workflow must accommodate both:</w:t>
      </w:r>
    </w:p>
    <w:p>
      <w:pPr>
        <w:pStyle w:val="ListParagraph"/>
        <w:numPr>
          <w:ilvl w:val="0"/>
          <w:numId w:val="2"/>
        </w:numPr>
        <w:spacing w:before="55" w:after="55"/>
      </w:pPr>
      <w:r>
        <w:rPr>
          <w:rFonts w:ascii="Arial" w:cs="Arial" w:eastAsia="Arial" w:hAnsi="Arial"/>
          <w:color w:val="1A1A1A"/>
          <w:sz w:val="22"/>
          <w:szCs w:val="22"/>
        </w:rPr>
        <w:t xml:space="preserve">Acquirer initiates: creates a due diligence project, sets scope and timeline, invites the target</w:t>
      </w:r>
    </w:p>
    <w:p>
      <w:pPr>
        <w:pStyle w:val="ListParagraph"/>
        <w:numPr>
          <w:ilvl w:val="0"/>
          <w:numId w:val="2"/>
        </w:numPr>
        <w:spacing w:before="55" w:after="55"/>
      </w:pPr>
      <w:r>
        <w:rPr>
          <w:rFonts w:ascii="Arial" w:cs="Arial" w:eastAsia="Arial" w:hAnsi="Arial"/>
          <w:color w:val="1A1A1A"/>
          <w:sz w:val="22"/>
          <w:szCs w:val="22"/>
        </w:rPr>
        <w:t xml:space="preserve">Target completes: receives a secure, time-limited assessment link. Completes structured questionnaire and uploads documentation. Does not require full platform onboarding.</w:t>
      </w:r>
    </w:p>
    <w:p>
      <w:pPr>
        <w:pStyle w:val="ListParagraph"/>
        <w:numPr>
          <w:ilvl w:val="0"/>
          <w:numId w:val="2"/>
        </w:numPr>
        <w:spacing w:before="55" w:after="55"/>
      </w:pPr>
      <w:r>
        <w:rPr>
          <w:rFonts w:ascii="Arial" w:cs="Arial" w:eastAsia="Arial" w:hAnsi="Arial"/>
          <w:color w:val="1A1A1A"/>
          <w:sz w:val="22"/>
          <w:szCs w:val="22"/>
        </w:rPr>
        <w:t xml:space="preserve">Platform analyzes: automated assessment runs against all uploaded documentation and questionnaire responses</w:t>
      </w:r>
    </w:p>
    <w:p>
      <w:pPr>
        <w:pStyle w:val="ListParagraph"/>
        <w:numPr>
          <w:ilvl w:val="0"/>
          <w:numId w:val="2"/>
        </w:numPr>
        <w:spacing w:before="55" w:after="55"/>
      </w:pPr>
      <w:r>
        <w:rPr>
          <w:rFonts w:ascii="Arial" w:cs="Arial" w:eastAsia="Arial" w:hAnsi="Arial"/>
          <w:color w:val="1A1A1A"/>
          <w:sz w:val="22"/>
          <w:szCs w:val="22"/>
        </w:rPr>
        <w:t xml:space="preserve">Report delivered: structured due diligence report delivered to acquirer within defined SLA (24–72 hours depending on target complexity)</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Due Diligence Assessment Scope</w:t>
      </w:r>
    </w:p>
    <w:p>
      <w:pPr>
        <w:spacing w:before="80" w:after="80"/>
      </w:pPr>
      <w:r>
        <w:rPr>
          <w:rFonts w:ascii="Arial" w:cs="Arial" w:eastAsia="Arial" w:hAnsi="Arial"/>
          <w:color w:val="1A1A1A"/>
          <w:sz w:val="22"/>
          <w:szCs w:val="22"/>
        </w:rPr>
        <w:t xml:space="preserve">The due diligence assessment is more extensive than a standard onboarding assessment. It covers:</w:t>
      </w:r>
    </w:p>
    <w:p>
      <w:pPr>
        <w:pStyle w:val="ListParagraph"/>
        <w:numPr>
          <w:ilvl w:val="0"/>
          <w:numId w:val="2"/>
        </w:numPr>
        <w:spacing w:before="55" w:after="55"/>
      </w:pPr>
      <w:r>
        <w:rPr>
          <w:rFonts w:ascii="Arial" w:cs="Arial" w:eastAsia="Arial" w:hAnsi="Arial"/>
          <w:color w:val="1A1A1A"/>
          <w:sz w:val="22"/>
          <w:szCs w:val="22"/>
        </w:rPr>
        <w:t xml:space="preserve">Current compliance posture: full HIPAA Security and Privacy Rule gap assessment</w:t>
      </w:r>
    </w:p>
    <w:p>
      <w:pPr>
        <w:pStyle w:val="ListParagraph"/>
        <w:numPr>
          <w:ilvl w:val="0"/>
          <w:numId w:val="2"/>
        </w:numPr>
        <w:spacing w:before="55" w:after="55"/>
      </w:pPr>
      <w:r>
        <w:rPr>
          <w:rFonts w:ascii="Arial" w:cs="Arial" w:eastAsia="Arial" w:hAnsi="Arial"/>
          <w:color w:val="1A1A1A"/>
          <w:sz w:val="22"/>
          <w:szCs w:val="22"/>
        </w:rPr>
        <w:t xml:space="preserve">Historical breach review: has the target had any reportable breaches in the past 6 years? Any HHS investigations?</w:t>
      </w:r>
    </w:p>
    <w:p>
      <w:pPr>
        <w:pStyle w:val="ListParagraph"/>
        <w:numPr>
          <w:ilvl w:val="0"/>
          <w:numId w:val="2"/>
        </w:numPr>
        <w:spacing w:before="55" w:after="55"/>
      </w:pPr>
      <w:r>
        <w:rPr>
          <w:rFonts w:ascii="Arial" w:cs="Arial" w:eastAsia="Arial" w:hAnsi="Arial"/>
          <w:color w:val="1A1A1A"/>
          <w:sz w:val="22"/>
          <w:szCs w:val="22"/>
        </w:rPr>
        <w:t xml:space="preserve">Pending exposure: open OCR complaints or investigations, known unresolved violations</w:t>
      </w:r>
    </w:p>
    <w:p>
      <w:pPr>
        <w:pStyle w:val="ListParagraph"/>
        <w:numPr>
          <w:ilvl w:val="0"/>
          <w:numId w:val="2"/>
        </w:numPr>
        <w:spacing w:before="55" w:after="55"/>
      </w:pPr>
      <w:r>
        <w:rPr>
          <w:rFonts w:ascii="Arial" w:cs="Arial" w:eastAsia="Arial" w:hAnsi="Arial"/>
          <w:color w:val="1A1A1A"/>
          <w:sz w:val="22"/>
          <w:szCs w:val="22"/>
        </w:rPr>
        <w:t xml:space="preserve">Policy documentation adequacy: are required policies documented, current, and properly approved?</w:t>
      </w:r>
    </w:p>
    <w:p>
      <w:pPr>
        <w:pStyle w:val="ListParagraph"/>
        <w:numPr>
          <w:ilvl w:val="0"/>
          <w:numId w:val="2"/>
        </w:numPr>
        <w:spacing w:before="55" w:after="55"/>
      </w:pPr>
      <w:r>
        <w:rPr>
          <w:rFonts w:ascii="Arial" w:cs="Arial" w:eastAsia="Arial" w:hAnsi="Arial"/>
          <w:color w:val="1A1A1A"/>
          <w:sz w:val="22"/>
          <w:szCs w:val="22"/>
        </w:rPr>
        <w:t xml:space="preserve">Workforce training history: documented training for all current workforce members?</w:t>
      </w:r>
    </w:p>
    <w:p>
      <w:pPr>
        <w:pStyle w:val="ListParagraph"/>
        <w:numPr>
          <w:ilvl w:val="0"/>
          <w:numId w:val="2"/>
        </w:numPr>
        <w:spacing w:before="55" w:after="55"/>
      </w:pPr>
      <w:r>
        <w:rPr>
          <w:rFonts w:ascii="Arial" w:cs="Arial" w:eastAsia="Arial" w:hAnsi="Arial"/>
          <w:color w:val="1A1A1A"/>
          <w:sz w:val="22"/>
          <w:szCs w:val="22"/>
        </w:rPr>
        <w:t xml:space="preserve">BAA coverage: complete vendor inventory with BAA status for each business associate</w:t>
      </w:r>
    </w:p>
    <w:p>
      <w:pPr>
        <w:pStyle w:val="ListParagraph"/>
        <w:numPr>
          <w:ilvl w:val="0"/>
          <w:numId w:val="2"/>
        </w:numPr>
        <w:spacing w:before="55" w:after="55"/>
      </w:pPr>
      <w:r>
        <w:rPr>
          <w:rFonts w:ascii="Arial" w:cs="Arial" w:eastAsia="Arial" w:hAnsi="Arial"/>
          <w:color w:val="1A1A1A"/>
          <w:sz w:val="22"/>
          <w:szCs w:val="22"/>
        </w:rPr>
        <w:t xml:space="preserve">Technical safeguard inventory: access controls, encryption, audit logging, disaster recovery</w:t>
      </w:r>
    </w:p>
    <w:p>
      <w:pPr>
        <w:pStyle w:val="ListParagraph"/>
        <w:numPr>
          <w:ilvl w:val="0"/>
          <w:numId w:val="2"/>
        </w:numPr>
        <w:spacing w:before="55" w:after="55"/>
      </w:pPr>
      <w:r>
        <w:rPr>
          <w:rFonts w:ascii="Arial" w:cs="Arial" w:eastAsia="Arial" w:hAnsi="Arial"/>
          <w:color w:val="1A1A1A"/>
          <w:sz w:val="22"/>
          <w:szCs w:val="22"/>
        </w:rPr>
        <w:t xml:space="preserve">Incident response capability: documented and tested IRP, breach notification procedures</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Liability Quantification</w:t>
      </w:r>
    </w:p>
    <w:p>
      <w:pPr>
        <w:spacing w:before="80" w:after="80"/>
      </w:pPr>
      <w:r>
        <w:rPr>
          <w:rFonts w:ascii="Arial" w:cs="Arial" w:eastAsia="Arial" w:hAnsi="Arial"/>
          <w:color w:val="1A1A1A"/>
          <w:sz w:val="22"/>
          <w:szCs w:val="22"/>
        </w:rPr>
        <w:t xml:space="preserve">The due diligence report includes a compliance liability section that is specifically designed for transaction context:</w:t>
      </w:r>
    </w:p>
    <w:p>
      <w:pPr>
        <w:pStyle w:val="ListParagraph"/>
        <w:numPr>
          <w:ilvl w:val="0"/>
          <w:numId w:val="2"/>
        </w:numPr>
        <w:spacing w:before="55" w:after="55"/>
      </w:pPr>
      <w:r>
        <w:rPr>
          <w:rFonts w:ascii="Arial" w:cs="Arial" w:eastAsia="Arial" w:hAnsi="Arial"/>
          <w:color w:val="1A1A1A"/>
          <w:sz w:val="22"/>
          <w:szCs w:val="22"/>
        </w:rPr>
        <w:t xml:space="preserve">Estimated remediation cost: how much will it cost to bring the target to compliant status? (Derived from remediation history data in the learning layer — average cost and effort for each gap type)</w:t>
      </w:r>
    </w:p>
    <w:p>
      <w:pPr>
        <w:pStyle w:val="ListParagraph"/>
        <w:numPr>
          <w:ilvl w:val="0"/>
          <w:numId w:val="2"/>
        </w:numPr>
        <w:spacing w:before="55" w:after="55"/>
      </w:pPr>
      <w:r>
        <w:rPr>
          <w:rFonts w:ascii="Arial" w:cs="Arial" w:eastAsia="Arial" w:hAnsi="Arial"/>
          <w:color w:val="1A1A1A"/>
          <w:sz w:val="22"/>
          <w:szCs w:val="22"/>
        </w:rPr>
        <w:t xml:space="preserve">Inherited breach risk: based on current gaps, what is the probability of a reportable breach in the 24 months post-acquisition?</w:t>
      </w:r>
    </w:p>
    <w:p>
      <w:pPr>
        <w:pStyle w:val="ListParagraph"/>
        <w:numPr>
          <w:ilvl w:val="0"/>
          <w:numId w:val="2"/>
        </w:numPr>
        <w:spacing w:before="55" w:after="55"/>
      </w:pPr>
      <w:r>
        <w:rPr>
          <w:rFonts w:ascii="Arial" w:cs="Arial" w:eastAsia="Arial" w:hAnsi="Arial"/>
          <w:color w:val="1A1A1A"/>
          <w:sz w:val="22"/>
          <w:szCs w:val="22"/>
        </w:rPr>
        <w:t xml:space="preserve">Pending exposure: if any open violations exist, what is the potential penalty range?</w:t>
      </w:r>
    </w:p>
    <w:p>
      <w:pPr>
        <w:pStyle w:val="ListParagraph"/>
        <w:numPr>
          <w:ilvl w:val="0"/>
          <w:numId w:val="2"/>
        </w:numPr>
        <w:spacing w:before="55" w:after="55"/>
      </w:pPr>
      <w:r>
        <w:rPr>
          <w:rFonts w:ascii="Arial" w:cs="Arial" w:eastAsia="Arial" w:hAnsi="Arial"/>
          <w:color w:val="1A1A1A"/>
          <w:sz w:val="22"/>
          <w:szCs w:val="22"/>
        </w:rPr>
        <w:t xml:space="preserve">Representations and warranties: which standard compliance-related reps and warranties in the purchase agreement are supportable based on the assessment?</w:t>
      </w:r>
    </w:p>
    <w:p>
      <w:pPr>
        <w:spacing w:before="60" w:after="0"/>
      </w:pPr>
      <w:r>
        <w:t xml:space="preserve"/>
      </w:r>
    </w:p>
    <w:p>
      <w:pPr>
        <w:spacing w:before="80" w:after="80"/>
      </w:pPr>
      <w:r>
        <w:rPr>
          <w:rFonts w:ascii="Arial" w:cs="Arial" w:eastAsia="Arial" w:hAnsi="Arial"/>
          <w:color w:val="1A1A1A"/>
          <w:sz w:val="22"/>
          <w:szCs w:val="22"/>
        </w:rPr>
        <w:t xml:space="preserve">This financial liability section is what makes the report valuable to deal teams. It translates compliance findings into deal terms — escrow amounts, purchase price adjustments, or indemnification clauses that can be negotiated based on the identified liability.</w:t>
      </w:r>
    </w:p>
    <w:p>
      <w:pPr>
        <w:spacing w:before="120" w:after="0"/>
      </w:pPr>
      <w:r>
        <w:t xml:space="preserve"/>
      </w:r>
    </w:p>
    <w:p>
      <w:pPr>
        <w:pStyle w:val="Heading3"/>
        <w:spacing w:before="220" w:after="80"/>
      </w:pPr>
      <w:r>
        <w:rPr>
          <w:rFonts w:ascii="Arial" w:cs="Arial" w:eastAsia="Arial" w:hAnsi="Arial"/>
          <w:b/>
          <w:bCs/>
          <w:color w:val="1A7F7F"/>
          <w:sz w:val="24"/>
          <w:szCs w:val="24"/>
        </w:rPr>
        <w:t xml:space="preserve">Post-Transaction Onboarding</w:t>
      </w:r>
    </w:p>
    <w:p>
      <w:pPr>
        <w:spacing w:before="80" w:after="80"/>
      </w:pPr>
      <w:r>
        <w:rPr>
          <w:rFonts w:ascii="Arial" w:cs="Arial" w:eastAsia="Arial" w:hAnsi="Arial"/>
          <w:color w:val="1A1A1A"/>
          <w:sz w:val="22"/>
          <w:szCs w:val="22"/>
        </w:rPr>
        <w:t xml:space="preserve">Upon deal close, the due diligence assessment automatically converts to a full compliance program baseline. The target becomes an active client with:</w:t>
      </w:r>
    </w:p>
    <w:p>
      <w:pPr>
        <w:pStyle w:val="ListParagraph"/>
        <w:numPr>
          <w:ilvl w:val="0"/>
          <w:numId w:val="2"/>
        </w:numPr>
        <w:spacing w:before="55" w:after="55"/>
      </w:pPr>
      <w:r>
        <w:rPr>
          <w:rFonts w:ascii="Arial" w:cs="Arial" w:eastAsia="Arial" w:hAnsi="Arial"/>
          <w:color w:val="1A1A1A"/>
          <w:sz w:val="22"/>
          <w:szCs w:val="22"/>
        </w:rPr>
        <w:t xml:space="preserve">All identified gaps already loaded as remediation tasks with priority scoring from Feature 1</w:t>
      </w:r>
    </w:p>
    <w:p>
      <w:pPr>
        <w:pStyle w:val="ListParagraph"/>
        <w:numPr>
          <w:ilvl w:val="0"/>
          <w:numId w:val="2"/>
        </w:numPr>
        <w:spacing w:before="55" w:after="55"/>
      </w:pPr>
      <w:r>
        <w:rPr>
          <w:rFonts w:ascii="Arial" w:cs="Arial" w:eastAsia="Arial" w:hAnsi="Arial"/>
          <w:color w:val="1A1A1A"/>
          <w:sz w:val="22"/>
          <w:szCs w:val="22"/>
        </w:rPr>
        <w:t xml:space="preserve">Acquirer's compliance policies loaded as templates for harmonization</w:t>
      </w:r>
    </w:p>
    <w:p>
      <w:pPr>
        <w:pStyle w:val="ListParagraph"/>
        <w:numPr>
          <w:ilvl w:val="0"/>
          <w:numId w:val="2"/>
        </w:numPr>
        <w:spacing w:before="55" w:after="55"/>
      </w:pPr>
      <w:r>
        <w:rPr>
          <w:rFonts w:ascii="Arial" w:cs="Arial" w:eastAsia="Arial" w:hAnsi="Arial"/>
          <w:color w:val="1A1A1A"/>
          <w:sz w:val="22"/>
          <w:szCs w:val="22"/>
        </w:rPr>
        <w:t xml:space="preserve">Integration timeline for consolidating the target's systems into the acquirer's compliance program</w:t>
      </w:r>
    </w:p>
    <w:p>
      <w:pPr>
        <w:pStyle w:val="ListParagraph"/>
        <w:numPr>
          <w:ilvl w:val="0"/>
          <w:numId w:val="2"/>
        </w:numPr>
        <w:spacing w:before="55" w:after="55"/>
      </w:pPr>
      <w:r>
        <w:rPr>
          <w:rFonts w:ascii="Arial" w:cs="Arial" w:eastAsia="Arial" w:hAnsi="Arial"/>
          <w:color w:val="1A1A1A"/>
          <w:sz w:val="22"/>
          <w:szCs w:val="22"/>
        </w:rPr>
        <w:t xml:space="preserve">60/90/180-day remediation milestones with automated tracking</w:t>
      </w:r>
    </w:p>
    <w:p>
      <w:pPr>
        <w:spacing w:before="60" w:after="0"/>
      </w:pPr>
      <w:r>
        <w:t xml:space="preserve"/>
      </w:r>
    </w:p>
    <w:p>
      <w:pPr>
        <w:spacing w:before="80" w:after="80"/>
      </w:pPr>
      <w:r>
        <w:rPr>
          <w:rFonts w:ascii="Arial" w:cs="Arial" w:eastAsia="Arial" w:hAnsi="Arial"/>
          <w:color w:val="1A1A1A"/>
          <w:sz w:val="22"/>
          <w:szCs w:val="22"/>
        </w:rPr>
        <w:t xml:space="preserve">This conversion has zero additional sales effort — the client relationship was established during the transaction. The due diligence service is the world's best trial experience for your ongoing compliance platform.</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 / Notes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Project Workspace</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PostgreSQL multi-tenant</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Isolated project workspaces per transaction. Strict data separation: target data not visible to acquirer until report delivery.</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Target Secure Portal</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Signed URL access (AWS S3 + Lambda authorizer)</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Time-limited, authenticated access for target organization. No full account required. Document uploads directly to encrypted S3.</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Document Analysis</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Combines Feature 3 (evidence) + Feature 6 (contracts)</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Reuses existing pipelines for maximum coverage. DD report aggregates outputs from multiple analysis engines.</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Report Generation</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Structured template + LLM synthesis</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Structured data from assessment populates report template. LLM generates executive summary and liability narrative. Output: PDF + DOCX.</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HHS Breach Check</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HHS breach portal API + organization name matching</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Automated check of target organization name against HHS breach database. Flags any prior reportable breaches.</w:t>
            </w:r>
          </w:p>
        </w:tc>
      </w:tr>
      <w:tr>
        <w:tc>
          <w:tcPr>
            <w:tcW w:type="dxa" w:w="22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Remediation Conversion</w:t>
            </w:r>
          </w:p>
        </w:tc>
        <w:tc>
          <w:tcPr>
            <w:tcW w:type="dxa" w:w="28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Project → Client migration Lambda</w:t>
            </w:r>
          </w:p>
        </w:tc>
        <w:tc>
          <w:tcPr>
            <w:tcW w:type="dxa" w:w="436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On deal close trigger, converts DD project data to full compliance client profile. Pre-populates gap backlog with priority scores.</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Concrete Use Case</w:t>
      </w:r>
    </w:p>
    <w:p>
      <w:pPr>
        <w:spacing w:before="80" w:after="80"/>
      </w:pPr>
      <w:r>
        <w:rPr>
          <w:rFonts w:ascii="Arial" w:cs="Arial" w:eastAsia="Arial" w:hAnsi="Arial"/>
          <w:color w:val="1A1A1A"/>
          <w:sz w:val="22"/>
          <w:szCs w:val="22"/>
        </w:rPr>
        <w:t xml:space="preserve">A regional hospital system is acquiring a 4-physician primary care practice for $3.2 million. Their M&amp;A attorney refers them to your platform for compliance due diligence. The hospital system (existing client) initiates a project. The practice receives a secure link and completes the assessment questionnaire over two days, uploading their policy documents and BAA portfolio.</w:t>
      </w:r>
    </w:p>
    <w:p>
      <w:pPr>
        <w:spacing w:before="60" w:after="0"/>
      </w:pPr>
      <w:r>
        <w:t xml:space="preserve"/>
      </w:r>
    </w:p>
    <w:p>
      <w:pPr>
        <w:spacing w:before="80" w:after="80"/>
      </w:pPr>
      <w:r>
        <w:rPr>
          <w:rFonts w:ascii="Arial" w:cs="Arial" w:eastAsia="Arial" w:hAnsi="Arial"/>
          <w:color w:val="1A1A1A"/>
          <w:sz w:val="22"/>
          <w:szCs w:val="22"/>
        </w:rPr>
        <w:t xml:space="preserve">72 hours later, the hospital system receives a 28-page due diligence report. Key findings:</w:t>
      </w:r>
    </w:p>
    <w:p>
      <w:pPr>
        <w:pStyle w:val="ListParagraph"/>
        <w:numPr>
          <w:ilvl w:val="0"/>
          <w:numId w:val="2"/>
        </w:numPr>
        <w:spacing w:before="55" w:after="55"/>
      </w:pPr>
      <w:r>
        <w:rPr>
          <w:rFonts w:ascii="Arial" w:cs="Arial" w:eastAsia="Arial" w:hAnsi="Arial"/>
          <w:color w:val="1A1A1A"/>
          <w:sz w:val="22"/>
          <w:szCs w:val="22"/>
        </w:rPr>
        <w:t xml:space="preserve">The practice had an unreported breach in 2022 — a stolen laptop — that met the reportable threshold but was never submitted to HHS. This is a significant pending liability: OCR can investigate back 6 years.</w:t>
      </w:r>
    </w:p>
    <w:p>
      <w:pPr>
        <w:pStyle w:val="ListParagraph"/>
        <w:numPr>
          <w:ilvl w:val="0"/>
          <w:numId w:val="2"/>
        </w:numPr>
        <w:spacing w:before="55" w:after="55"/>
      </w:pPr>
      <w:r>
        <w:rPr>
          <w:rFonts w:ascii="Arial" w:cs="Arial" w:eastAsia="Arial" w:hAnsi="Arial"/>
          <w:color w:val="1A1A1A"/>
          <w:sz w:val="22"/>
          <w:szCs w:val="22"/>
        </w:rPr>
        <w:t xml:space="preserve">14 of 16 business associate relationships lack current BAAs. Two BAAs on file are 8+ years old and do not meet current HIPAA requirements.</w:t>
      </w:r>
    </w:p>
    <w:p>
      <w:pPr>
        <w:pStyle w:val="ListParagraph"/>
        <w:numPr>
          <w:ilvl w:val="0"/>
          <w:numId w:val="2"/>
        </w:numPr>
        <w:spacing w:before="55" w:after="55"/>
      </w:pPr>
      <w:r>
        <w:rPr>
          <w:rFonts w:ascii="Arial" w:cs="Arial" w:eastAsia="Arial" w:hAnsi="Arial"/>
          <w:color w:val="1A1A1A"/>
          <w:sz w:val="22"/>
          <w:szCs w:val="22"/>
        </w:rPr>
        <w:t xml:space="preserve">No documented risk analysis has been performed in the past 5 years — a foundational HIPAA requirement.</w:t>
      </w:r>
    </w:p>
    <w:p>
      <w:pPr>
        <w:pStyle w:val="ListParagraph"/>
        <w:numPr>
          <w:ilvl w:val="0"/>
          <w:numId w:val="2"/>
        </w:numPr>
        <w:spacing w:before="55" w:after="55"/>
      </w:pPr>
      <w:r>
        <w:rPr>
          <w:rFonts w:ascii="Arial" w:cs="Arial" w:eastAsia="Arial" w:hAnsi="Arial"/>
          <w:color w:val="1A1A1A"/>
          <w:sz w:val="22"/>
          <w:szCs w:val="22"/>
        </w:rPr>
        <w:t xml:space="preserve">Estimated remediation cost to bring to compliant baseline: $18,000–28,000 in consultant/legal fees plus platform costs.</w:t>
      </w:r>
    </w:p>
    <w:p>
      <w:pPr>
        <w:pStyle w:val="ListParagraph"/>
        <w:numPr>
          <w:ilvl w:val="0"/>
          <w:numId w:val="2"/>
        </w:numPr>
        <w:spacing w:before="55" w:after="55"/>
      </w:pPr>
      <w:r>
        <w:rPr>
          <w:rFonts w:ascii="Arial" w:cs="Arial" w:eastAsia="Arial" w:hAnsi="Arial"/>
          <w:color w:val="1A1A1A"/>
          <w:sz w:val="22"/>
          <w:szCs w:val="22"/>
        </w:rPr>
        <w:t xml:space="preserve">Pending exposure from the 2022 unreported breach: $75,000–350,000 depending on OCR discovery and investigation outcome.</w:t>
      </w:r>
    </w:p>
    <w:p>
      <w:pPr>
        <w:spacing w:before="60" w:after="0"/>
      </w:pPr>
      <w:r>
        <w:t xml:space="preserve"/>
      </w:r>
    </w:p>
    <w:p>
      <w:pPr>
        <w:spacing w:before="80" w:after="80"/>
      </w:pPr>
      <w:r>
        <w:rPr>
          <w:rFonts w:ascii="Arial" w:cs="Arial" w:eastAsia="Arial" w:hAnsi="Arial"/>
          <w:color w:val="1A1A1A"/>
          <w:sz w:val="22"/>
          <w:szCs w:val="22"/>
        </w:rPr>
        <w:t xml:space="preserve">The deal team uses this report to negotiate a $200,000 escrow holdback for compliance remediation and potential OCR liability. The purchase price is adjusted by $150,000. The deal closes with the practice becoming an immediate compliance platform client for their integration period.</w:t>
      </w:r>
    </w:p>
    <w:p>
      <w:pPr>
        <w:spacing w:before="60" w:after="0"/>
      </w:pPr>
      <w:r>
        <w:t xml:space="preserve"/>
      </w:r>
    </w:p>
    <w:p>
      <w:pPr>
        <w:spacing w:before="80" w:after="80"/>
      </w:pPr>
      <w:r>
        <w:rPr>
          <w:rFonts w:ascii="Arial" w:cs="Arial" w:eastAsia="Arial" w:hAnsi="Arial"/>
          <w:color w:val="1A1A1A"/>
          <w:sz w:val="22"/>
          <w:szCs w:val="22"/>
        </w:rPr>
        <w:t xml:space="preserve">The due diligence fee was $4,500. The value delivered to the acquirer — identified and quantified liability that affected deal terms — was orders of magnitude larger.</w:t>
      </w:r>
    </w:p>
    <w:p>
      <w:pPr>
        <w:pBdr>
          <w:bottom w:val="single" w:color="D6E9F8" w:sz="4" w:space="1"/>
        </w:pBdr>
        <w:spacing w:before="180" w:after="180"/>
      </w:pPr>
      <w:r>
        <w:t xml:space="preserve"/>
      </w:r>
    </w:p>
    <w:p>
      <w:r>
        <w:br w:type="page"/>
      </w:r>
    </w:p>
    <w:p>
      <w:pPr>
        <w:pStyle w:val="Heading1"/>
        <w:spacing w:before="400" w:after="140"/>
      </w:pPr>
      <w:r>
        <w:rPr>
          <w:rFonts w:ascii="Arial" w:cs="Arial" w:eastAsia="Arial" w:hAnsi="Arial"/>
          <w:b/>
          <w:bCs/>
          <w:color w:val="1F3864"/>
          <w:sz w:val="38"/>
          <w:szCs w:val="38"/>
        </w:rPr>
        <w:t xml:space="preserve">Appendix A: Master Implementation Sequence</w:t>
      </w:r>
    </w:p>
    <w:p>
      <w:pPr>
        <w:spacing w:before="80" w:after="80"/>
      </w:pPr>
      <w:r>
        <w:rPr>
          <w:rFonts w:ascii="Arial" w:cs="Arial" w:eastAsia="Arial" w:hAnsi="Arial"/>
          <w:color w:val="1A1A1A"/>
          <w:sz w:val="22"/>
          <w:szCs w:val="22"/>
        </w:rPr>
        <w:t xml:space="preserve">The eight features described in this document are not equally complex to build, nor are they equally urgent for business value. The following sequence balances early revenue impact with technical dependency ordering.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3120"/>
        <w:gridCol w:w="2400"/>
      </w:tblGrid>
      <w:tr>
        <w:trPr>
          <w:tblHeader/>
        </w:trP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Deliverable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r>
      <w:tr>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Phase 1
Months 1-2</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Feature 3: Auto Evidence</w:t>
            </w:r>
          </w:p>
        </w:tc>
        <w:tc>
          <w:tcPr>
            <w:tcW w:type="dxa" w:w="312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Microsoft 365 + Google Workspace connectors live; MFA and training evidence auto-collected</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Core RAG + compliance engine (from Architecture Doc)</w:t>
            </w:r>
          </w:p>
        </w:tc>
      </w:tr>
      <w:tr>
        <w:tc>
          <w:tcPr>
            <w:tcW w:type="dxa" w:w="144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Phase 1
Months 2-3</w:t>
            </w:r>
          </w:p>
        </w:tc>
        <w:tc>
          <w:tcPr>
            <w:tcW w:type="dxa" w:w="24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Feature 6: Contract Intelligence</w:t>
            </w:r>
          </w:p>
        </w:tc>
        <w:tc>
          <w:tcPr>
            <w:tcW w:type="dxa" w:w="312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BAA review live; gap identification + template language generation</w:t>
            </w:r>
          </w:p>
        </w:tc>
        <w:tc>
          <w:tcPr>
            <w:tcW w:type="dxa" w:w="24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Knowledge graph with HIPAA provision nodes</w:t>
            </w:r>
          </w:p>
        </w:tc>
      </w:tr>
      <w:tr>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Phase 2
Months 3-4</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Feature 4: Penalty Calculator</w:t>
            </w:r>
          </w:p>
        </w:tc>
        <w:tc>
          <w:tcPr>
            <w:tcW w:type="dxa" w:w="312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Exposure calculator live; boardroom-ready reports generating</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Enforcement database loaded; gap assessment data</w:t>
            </w:r>
          </w:p>
        </w:tc>
      </w:tr>
      <w:tr>
        <w:tc>
          <w:tcPr>
            <w:tcW w:type="dxa" w:w="144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Phase 2
Months 4-5</w:t>
            </w:r>
          </w:p>
        </w:tc>
        <w:tc>
          <w:tcPr>
            <w:tcW w:type="dxa" w:w="24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Feature 1: Risk Prioritization</w:t>
            </w:r>
          </w:p>
        </w:tc>
        <w:tc>
          <w:tcPr>
            <w:tcW w:type="dxa" w:w="312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Risk-weighted gap ranking live; HHS breach data integrated</w:t>
            </w:r>
          </w:p>
        </w:tc>
        <w:tc>
          <w:tcPr>
            <w:tcW w:type="dxa" w:w="24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Penalty model + gap assessment + client configuration profile</w:t>
            </w:r>
          </w:p>
        </w:tc>
      </w:tr>
      <w:tr>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Phase 3
Months 5-7</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Feature 5: Vendor Intelligence</w:t>
            </w:r>
          </w:p>
        </w:tc>
        <w:tc>
          <w:tcPr>
            <w:tcW w:type="dxa" w:w="312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Vendor registry + HHS/SEC monitoring live; BAA coverage tracking</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Event stream (from Architecture Doc); vendor deduplication</w:t>
            </w:r>
          </w:p>
        </w:tc>
      </w:tr>
      <w:tr>
        <w:tc>
          <w:tcPr>
            <w:tcW w:type="dxa" w:w="144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Phase 3
Months 7-8</w:t>
            </w:r>
          </w:p>
        </w:tc>
        <w:tc>
          <w:tcPr>
            <w:tcW w:type="dxa" w:w="24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Feature 2: Breach Simulation</w:t>
            </w:r>
          </w:p>
        </w:tc>
        <w:tc>
          <w:tcPr>
            <w:tcW w:type="dxa" w:w="312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3 core scenarios live; breach narrative reports generating</w:t>
            </w:r>
          </w:p>
        </w:tc>
        <w:tc>
          <w:tcPr>
            <w:tcW w:type="dxa" w:w="24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Risk model + gap data + client configuration + penalty model</w:t>
            </w:r>
          </w:p>
        </w:tc>
      </w:tr>
      <w:tr>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Phase 4
Months 8-10</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Feature 7: Behavior Analytics</w:t>
            </w:r>
          </w:p>
        </w:tc>
        <w:tc>
          <w:tcPr>
            <w:tcW w:type="dxa" w:w="312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Log ingestion from 2 EHR integrations; anomaly detection baseline running</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1A"/>
                <w:sz w:val="16"/>
                <w:szCs w:val="16"/>
              </w:rPr>
              <w:t xml:space="preserve">Log pipeline infrastructure; EHR API access negotiated</w:t>
            </w:r>
          </w:p>
        </w:tc>
      </w:tr>
      <w:tr>
        <w:tc>
          <w:tcPr>
            <w:tcW w:type="dxa" w:w="144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Phase 4
Months 10-12</w:t>
            </w:r>
          </w:p>
        </w:tc>
        <w:tc>
          <w:tcPr>
            <w:tcW w:type="dxa" w:w="24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Feature 8: M&amp;A Due Diligence</w:t>
            </w:r>
          </w:p>
        </w:tc>
        <w:tc>
          <w:tcPr>
            <w:tcW w:type="dxa" w:w="312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Full DD workflow live; referral partner program launched</w:t>
            </w:r>
          </w:p>
        </w:tc>
        <w:tc>
          <w:tcPr>
            <w:tcW w:type="dxa" w:w="2400"/>
            <w:tcBorders>
              <w:top w:val="single" w:color="CCCCCC" w:sz="1"/>
              <w:left w:val="single" w:color="CCCCCC" w:sz="1"/>
              <w:bottom w:val="single" w:color="CCCCCC" w:sz="1"/>
              <w:right w:val="single" w:color="CCCCCC" w:sz="1"/>
            </w:tcBorders>
            <w:shd w:fill="F5F7FA" w:val="clear"/>
            <w:tcMar>
              <w:top w:type="dxa" w:w="75"/>
              <w:left w:type="dxa" w:w="120"/>
              <w:bottom w:type="dxa" w:w="75"/>
              <w:right w:type="dxa" w:w="120"/>
            </w:tcMar>
          </w:tcPr>
          <w:p>
            <w:r>
              <w:rPr>
                <w:rFonts w:ascii="Arial" w:cs="Arial" w:eastAsia="Arial" w:hAnsi="Arial"/>
                <w:color w:val="1A1A1A"/>
                <w:sz w:val="16"/>
                <w:szCs w:val="16"/>
              </w:rPr>
              <w:t xml:space="preserve">All prior features (DD report aggregates all analysis engines)</w:t>
            </w:r>
          </w:p>
        </w:tc>
      </w:tr>
    </w:tbl>
    <w:p>
      <w:pPr>
        <w:spacing w:before="120" w:after="0"/>
      </w:pPr>
      <w:r>
        <w:t xml:space="preserve"/>
      </w:r>
    </w:p>
    <w:p>
      <w:pPr>
        <w:spacing w:before="80" w:after="80"/>
      </w:pPr>
      <w:r>
        <w:rPr>
          <w:rFonts w:ascii="Arial" w:cs="Arial" w:eastAsia="Arial" w:hAnsi="Arial"/>
          <w:color w:val="1A1A1A"/>
          <w:sz w:val="22"/>
          <w:szCs w:val="22"/>
        </w:rPr>
        <w:t xml:space="preserve">Features 3 and 6 are prioritized first because they generate immediate, tangible client value (no more manual uploads; BAA review was previously expensive) and have moderate technical complexity. They also generate the evidence and contract data that every subsequent feature builds on.</w:t>
      </w:r>
    </w:p>
    <w:p>
      <w:pPr>
        <w:spacing w:before="60" w:after="0"/>
      </w:pPr>
      <w:r>
        <w:t xml:space="preserve"/>
      </w:r>
    </w:p>
    <w:p>
      <w:pPr>
        <w:spacing w:before="80" w:after="80"/>
      </w:pPr>
      <w:r>
        <w:rPr>
          <w:rFonts w:ascii="Arial" w:cs="Arial" w:eastAsia="Arial" w:hAnsi="Arial"/>
          <w:color w:val="1A1A1A"/>
          <w:sz w:val="22"/>
          <w:szCs w:val="22"/>
        </w:rPr>
        <w:t xml:space="preserve">Feature 8 is last not because it's least valuable — it's potentially the highest-revenue feature — but because it is most powerful when it can leverage all seven other features as analysis engines. A due diligence report backed by automated evidence collection, contract analysis, vendor intelligence, and behavioral analytics is a fundamentally superior product to one built on questionnaires alone.</w:t>
      </w:r>
    </w:p>
    <w:p>
      <w:r>
        <w:br w:type="page"/>
      </w:r>
    </w:p>
    <w:p>
      <w:pPr>
        <w:pStyle w:val="Heading1"/>
        <w:spacing w:before="400" w:after="140"/>
      </w:pPr>
      <w:r>
        <w:rPr>
          <w:rFonts w:ascii="Arial" w:cs="Arial" w:eastAsia="Arial" w:hAnsi="Arial"/>
          <w:b/>
          <w:bCs/>
          <w:color w:val="1F3864"/>
          <w:sz w:val="38"/>
          <w:szCs w:val="38"/>
        </w:rPr>
        <w:t xml:space="preserve">Appendix B: Integration Architecture Overview</w:t>
      </w:r>
    </w:p>
    <w:p>
      <w:pPr>
        <w:spacing w:before="80" w:after="80"/>
      </w:pPr>
      <w:r>
        <w:rPr>
          <w:rFonts w:ascii="Arial" w:cs="Arial" w:eastAsia="Arial" w:hAnsi="Arial"/>
          <w:color w:val="1A1A1A"/>
          <w:sz w:val="22"/>
          <w:szCs w:val="22"/>
        </w:rPr>
        <w:t xml:space="preserve">All eight features share common infrastructure components to avoid duplication and ensure consistent data quality. The following describes the shared layers that each feature builds on.</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Shared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9F8" w:val="clear"/>
            <w:tcMar>
              <w:top w:type="dxa" w:w="100"/>
              <w:left w:type="dxa" w:w="180"/>
              <w:bottom w:type="dxa" w:w="80"/>
              <w:right w:type="dxa" w:w="180"/>
            </w:tcMar>
          </w:tcPr>
          <w:p>
            <w:r>
              <w:rPr>
                <w:rFonts w:ascii="Arial" w:cs="Arial" w:eastAsia="Arial" w:hAnsi="Arial"/>
                <w:b/>
                <w:bCs/>
                <w:color w:val="1F3864"/>
                <w:sz w:val="24"/>
                <w:szCs w:val="24"/>
              </w:rPr>
              <w:t xml:space="preserve">Core Shared Databases</w:t>
            </w:r>
          </w:p>
        </w:tc>
      </w:tr>
      <w:tr>
        <w:tc>
          <w:tcPr>
            <w:tcW w:type="dxa" w:w="9360"/>
            <w:tcBorders>
              <w:top w:val="single" w:color="2E75B6" w:sz="1"/>
              <w:left w:val="single" w:color="2E75B6" w:sz="1"/>
              <w:bottom w:val="single" w:color="2E75B6" w:sz="1"/>
              <w:right w:val="single" w:color="2E75B6" w:sz="1"/>
            </w:tcBorders>
            <w:shd w:fill="FFFFFF" w:val="clear"/>
            <w:tcMar>
              <w:top w:type="dxa" w:w="70"/>
              <w:left w:type="dxa" w:w="180"/>
              <w:bottom w:type="dxa" w:w="70"/>
              <w:right w:type="dxa" w:w="180"/>
            </w:tcMar>
          </w:tcPr>
          <w:p>
            <w:r>
              <w:rPr>
                <w:rFonts w:ascii="Arial" w:cs="Arial" w:eastAsia="Arial" w:hAnsi="Arial"/>
                <w:b/>
                <w:bCs/>
                <w:color w:val="1A7F7F"/>
                <w:sz w:val="22"/>
                <w:szCs w:val="22"/>
              </w:rPr>
              <w:t xml:space="preserve">▸  </w:t>
            </w:r>
            <w:r>
              <w:rPr>
                <w:rFonts w:ascii="Arial" w:cs="Arial" w:eastAsia="Arial" w:hAnsi="Arial"/>
                <w:color w:val="1A1A1A"/>
                <w:sz w:val="22"/>
                <w:szCs w:val="22"/>
              </w:rPr>
              <w:t xml:space="preserve">client_profiles: master client record, configuration metadata, feature enrollment status</w:t>
            </w:r>
          </w:p>
        </w:tc>
      </w:tr>
      <w:tr>
        <w:tc>
          <w:tcPr>
            <w:tcW w:type="dxa" w:w="9360"/>
            <w:tcBorders>
              <w:top w:val="single" w:color="2E75B6" w:sz="1"/>
              <w:left w:val="single" w:color="2E75B6" w:sz="1"/>
              <w:bottom w:val="single" w:color="2E75B6" w:sz="1"/>
              <w:right w:val="single" w:color="2E75B6" w:sz="1"/>
            </w:tcBorders>
            <w:shd w:fill="FFFFFF" w:val="clear"/>
            <w:tcMar>
              <w:top w:type="dxa" w:w="70"/>
              <w:left w:type="dxa" w:w="180"/>
              <w:bottom w:type="dxa" w:w="70"/>
              <w:right w:type="dxa" w:w="180"/>
            </w:tcMar>
          </w:tcPr>
          <w:p>
            <w:r>
              <w:rPr>
                <w:rFonts w:ascii="Arial" w:cs="Arial" w:eastAsia="Arial" w:hAnsi="Arial"/>
                <w:b/>
                <w:bCs/>
                <w:color w:val="1A7F7F"/>
                <w:sz w:val="22"/>
                <w:szCs w:val="22"/>
              </w:rPr>
              <w:t xml:space="preserve">▸  </w:t>
            </w:r>
            <w:r>
              <w:rPr>
                <w:rFonts w:ascii="Arial" w:cs="Arial" w:eastAsia="Arial" w:hAnsi="Arial"/>
                <w:color w:val="1A1A1A"/>
                <w:sz w:val="22"/>
                <w:szCs w:val="22"/>
              </w:rPr>
              <w:t xml:space="preserve">gap_assessments: all identified gaps across all clients, shared by Features 1, 2, 4, 8</w:t>
            </w:r>
          </w:p>
        </w:tc>
      </w:tr>
      <w:tr>
        <w:tc>
          <w:tcPr>
            <w:tcW w:type="dxa" w:w="9360"/>
            <w:tcBorders>
              <w:top w:val="single" w:color="2E75B6" w:sz="1"/>
              <w:left w:val="single" w:color="2E75B6" w:sz="1"/>
              <w:bottom w:val="single" w:color="2E75B6" w:sz="1"/>
              <w:right w:val="single" w:color="2E75B6" w:sz="1"/>
            </w:tcBorders>
            <w:shd w:fill="FFFFFF" w:val="clear"/>
            <w:tcMar>
              <w:top w:type="dxa" w:w="70"/>
              <w:left w:type="dxa" w:w="180"/>
              <w:bottom w:type="dxa" w:w="70"/>
              <w:right w:type="dxa" w:w="180"/>
            </w:tcMar>
          </w:tcPr>
          <w:p>
            <w:r>
              <w:rPr>
                <w:rFonts w:ascii="Arial" w:cs="Arial" w:eastAsia="Arial" w:hAnsi="Arial"/>
                <w:b/>
                <w:bCs/>
                <w:color w:val="1A7F7F"/>
                <w:sz w:val="22"/>
                <w:szCs w:val="22"/>
              </w:rPr>
              <w:t xml:space="preserve">▸  </w:t>
            </w:r>
            <w:r>
              <w:rPr>
                <w:rFonts w:ascii="Arial" w:cs="Arial" w:eastAsia="Arial" w:hAnsi="Arial"/>
                <w:color w:val="1A1A1A"/>
                <w:sz w:val="22"/>
                <w:szCs w:val="22"/>
              </w:rPr>
              <w:t xml:space="preserve">evidence_records: all automatically and manually collected evidence, shared by Features 3, 7, 8</w:t>
            </w:r>
          </w:p>
        </w:tc>
      </w:tr>
      <w:tr>
        <w:tc>
          <w:tcPr>
            <w:tcW w:type="dxa" w:w="9360"/>
            <w:tcBorders>
              <w:top w:val="single" w:color="2E75B6" w:sz="1"/>
              <w:left w:val="single" w:color="2E75B6" w:sz="1"/>
              <w:bottom w:val="single" w:color="2E75B6" w:sz="1"/>
              <w:right w:val="single" w:color="2E75B6" w:sz="1"/>
            </w:tcBorders>
            <w:shd w:fill="FFFFFF" w:val="clear"/>
            <w:tcMar>
              <w:top w:type="dxa" w:w="70"/>
              <w:left w:type="dxa" w:w="180"/>
              <w:bottom w:type="dxa" w:w="70"/>
              <w:right w:type="dxa" w:w="180"/>
            </w:tcMar>
          </w:tcPr>
          <w:p>
            <w:r>
              <w:rPr>
                <w:rFonts w:ascii="Arial" w:cs="Arial" w:eastAsia="Arial" w:hAnsi="Arial"/>
                <w:b/>
                <w:bCs/>
                <w:color w:val="1A7F7F"/>
                <w:sz w:val="22"/>
                <w:szCs w:val="22"/>
              </w:rPr>
              <w:t xml:space="preserve">▸  </w:t>
            </w:r>
            <w:r>
              <w:rPr>
                <w:rFonts w:ascii="Arial" w:cs="Arial" w:eastAsia="Arial" w:hAnsi="Arial"/>
                <w:color w:val="1A1A1A"/>
                <w:sz w:val="22"/>
                <w:szCs w:val="22"/>
              </w:rPr>
              <w:t xml:space="preserve">vendor_registry: all vendor relationships across all clients, shared by Features 5, 6</w:t>
            </w:r>
          </w:p>
        </w:tc>
      </w:tr>
      <w:tr>
        <w:tc>
          <w:tcPr>
            <w:tcW w:type="dxa" w:w="9360"/>
            <w:tcBorders>
              <w:top w:val="single" w:color="2E75B6" w:sz="1"/>
              <w:left w:val="single" w:color="2E75B6" w:sz="1"/>
              <w:bottom w:val="single" w:color="2E75B6" w:sz="1"/>
              <w:right w:val="single" w:color="2E75B6" w:sz="1"/>
            </w:tcBorders>
            <w:shd w:fill="FFFFFF" w:val="clear"/>
            <w:tcMar>
              <w:top w:type="dxa" w:w="70"/>
              <w:left w:type="dxa" w:w="180"/>
              <w:bottom w:type="dxa" w:w="70"/>
              <w:right w:type="dxa" w:w="180"/>
            </w:tcMar>
          </w:tcPr>
          <w:p>
            <w:r>
              <w:rPr>
                <w:rFonts w:ascii="Arial" w:cs="Arial" w:eastAsia="Arial" w:hAnsi="Arial"/>
                <w:b/>
                <w:bCs/>
                <w:color w:val="1A7F7F"/>
                <w:sz w:val="22"/>
                <w:szCs w:val="22"/>
              </w:rPr>
              <w:t xml:space="preserve">▸  </w:t>
            </w:r>
            <w:r>
              <w:rPr>
                <w:rFonts w:ascii="Arial" w:cs="Arial" w:eastAsia="Arial" w:hAnsi="Arial"/>
                <w:color w:val="1A1A1A"/>
                <w:sz w:val="22"/>
                <w:szCs w:val="22"/>
              </w:rPr>
              <w:t xml:space="preserve">enforcement_database: HHS breaches, resolution agreements, state actions — shared by Features 1, 4, 5, 8</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Shared Event Stream</w:t>
      </w:r>
    </w:p>
    <w:p>
      <w:pPr>
        <w:spacing w:before="80" w:after="80"/>
      </w:pPr>
      <w:r>
        <w:rPr>
          <w:rFonts w:ascii="Arial" w:cs="Arial" w:eastAsia="Arial" w:hAnsi="Arial"/>
          <w:color w:val="1A1A1A"/>
          <w:sz w:val="22"/>
          <w:szCs w:val="22"/>
        </w:rPr>
        <w:t xml:space="preserve">All features publish and consume events via the same AWS EventBridge bus. Event schema is standardized with a type, source_feature, client_id, timestamp, and payload. This means a vendor intelligence event (Feature 5) can automatically trigger a contract review recommendation (Feature 6) and a penalty exposure recalculation (Feature 4) without any direct coupling between those feature codebases.</w:t>
      </w:r>
    </w:p>
    <w:p>
      <w:pPr>
        <w:spacing w:before="120" w:after="0"/>
      </w:pPr>
      <w:r>
        <w:t xml:space="preserve"/>
      </w:r>
    </w:p>
    <w:p>
      <w:pPr>
        <w:pStyle w:val="Heading2"/>
        <w:spacing w:before="300" w:after="100"/>
      </w:pPr>
      <w:r>
        <w:rPr>
          <w:rFonts w:ascii="Arial" w:cs="Arial" w:eastAsia="Arial" w:hAnsi="Arial"/>
          <w:b/>
          <w:bCs/>
          <w:color w:val="2E75B6"/>
          <w:sz w:val="28"/>
          <w:szCs w:val="28"/>
        </w:rPr>
        <w:t xml:space="preserve">Shared AI Pipeline</w:t>
      </w:r>
    </w:p>
    <w:p>
      <w:pPr>
        <w:spacing w:before="80" w:after="80"/>
      </w:pPr>
      <w:r>
        <w:rPr>
          <w:rFonts w:ascii="Arial" w:cs="Arial" w:eastAsia="Arial" w:hAnsi="Arial"/>
          <w:color w:val="1A1A1A"/>
          <w:sz w:val="22"/>
          <w:szCs w:val="22"/>
        </w:rPr>
        <w:t xml:space="preserve">All LLM calls across features route through a centralized AI gateway that handles prompt versioning, response logging, cost tracking, and fallback routing. This ensures every AI output is logged for the feedback loop (Feature 3 of the core architecture) regardless of which product feature triggered it. The corrections database accumulates signal from all eight features simultaneously.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4EFEF" w:val="clear"/>
            <w:tcMar>
              <w:top w:type="dxa" w:w="100"/>
              <w:left w:type="dxa" w:w="180"/>
              <w:bottom w:type="dxa" w:w="80"/>
              <w:right w:type="dxa" w:w="180"/>
            </w:tcMar>
          </w:tcPr>
          <w:p>
            <w:r>
              <w:rPr>
                <w:rFonts w:ascii="Arial" w:cs="Arial" w:eastAsia="Arial" w:hAnsi="Arial"/>
                <w:b/>
                <w:bCs/>
                <w:color w:val="1A7F7F"/>
                <w:sz w:val="24"/>
                <w:szCs w:val="24"/>
              </w:rPr>
              <w:t xml:space="preserve">Key Architectural Principle</w:t>
            </w:r>
          </w:p>
        </w:tc>
      </w:tr>
      <w:tr>
        <w:tc>
          <w:tcPr>
            <w:tcW w:type="dxa" w:w="9360"/>
            <w:tcBorders>
              <w:top w:val="single" w:color="2E75B6" w:sz="1"/>
              <w:left w:val="single" w:color="2E75B6" w:sz="1"/>
              <w:bottom w:val="single" w:color="2E75B6" w:sz="1"/>
              <w:right w:val="single" w:color="2E75B6" w:sz="1"/>
            </w:tcBorders>
            <w:shd w:fill="FFFFFF" w:val="clear"/>
            <w:tcMar>
              <w:top w:type="dxa" w:w="70"/>
              <w:left w:type="dxa" w:w="180"/>
              <w:bottom w:type="dxa" w:w="70"/>
              <w:right w:type="dxa" w:w="180"/>
            </w:tcMar>
          </w:tcPr>
          <w:p>
            <w:r>
              <w:rPr>
                <w:rFonts w:ascii="Arial" w:cs="Arial" w:eastAsia="Arial" w:hAnsi="Arial"/>
                <w:b/>
                <w:bCs/>
                <w:color w:val="1A7F7F"/>
                <w:sz w:val="22"/>
                <w:szCs w:val="22"/>
              </w:rPr>
              <w:t xml:space="preserve">▸  </w:t>
            </w:r>
            <w:r>
              <w:rPr>
                <w:rFonts w:ascii="Arial" w:cs="Arial" w:eastAsia="Arial" w:hAnsi="Arial"/>
                <w:color w:val="1A1A1A"/>
                <w:sz w:val="22"/>
                <w:szCs w:val="22"/>
              </w:rPr>
              <w:t xml:space="preserve">Each feature is an independent service with its own database tables and Lambda functions</w:t>
            </w:r>
          </w:p>
        </w:tc>
      </w:tr>
      <w:tr>
        <w:tc>
          <w:tcPr>
            <w:tcW w:type="dxa" w:w="9360"/>
            <w:tcBorders>
              <w:top w:val="single" w:color="2E75B6" w:sz="1"/>
              <w:left w:val="single" w:color="2E75B6" w:sz="1"/>
              <w:bottom w:val="single" w:color="2E75B6" w:sz="1"/>
              <w:right w:val="single" w:color="2E75B6" w:sz="1"/>
            </w:tcBorders>
            <w:shd w:fill="FFFFFF" w:val="clear"/>
            <w:tcMar>
              <w:top w:type="dxa" w:w="70"/>
              <w:left w:type="dxa" w:w="180"/>
              <w:bottom w:type="dxa" w:w="70"/>
              <w:right w:type="dxa" w:w="180"/>
            </w:tcMar>
          </w:tcPr>
          <w:p>
            <w:r>
              <w:rPr>
                <w:rFonts w:ascii="Arial" w:cs="Arial" w:eastAsia="Arial" w:hAnsi="Arial"/>
                <w:b/>
                <w:bCs/>
                <w:color w:val="1A7F7F"/>
                <w:sz w:val="22"/>
                <w:szCs w:val="22"/>
              </w:rPr>
              <w:t xml:space="preserve">▸  </w:t>
            </w:r>
            <w:r>
              <w:rPr>
                <w:rFonts w:ascii="Arial" w:cs="Arial" w:eastAsia="Arial" w:hAnsi="Arial"/>
                <w:color w:val="1A1A1A"/>
                <w:sz w:val="22"/>
                <w:szCs w:val="22"/>
              </w:rPr>
              <w:t xml:space="preserve">Features communicate only via the shared event stream — never via direct API calls between features</w:t>
            </w:r>
          </w:p>
        </w:tc>
      </w:tr>
      <w:tr>
        <w:tc>
          <w:tcPr>
            <w:tcW w:type="dxa" w:w="9360"/>
            <w:tcBorders>
              <w:top w:val="single" w:color="2E75B6" w:sz="1"/>
              <w:left w:val="single" w:color="2E75B6" w:sz="1"/>
              <w:bottom w:val="single" w:color="2E75B6" w:sz="1"/>
              <w:right w:val="single" w:color="2E75B6" w:sz="1"/>
            </w:tcBorders>
            <w:shd w:fill="FFFFFF" w:val="clear"/>
            <w:tcMar>
              <w:top w:type="dxa" w:w="70"/>
              <w:left w:type="dxa" w:w="180"/>
              <w:bottom w:type="dxa" w:w="70"/>
              <w:right w:type="dxa" w:w="180"/>
            </w:tcMar>
          </w:tcPr>
          <w:p>
            <w:r>
              <w:rPr>
                <w:rFonts w:ascii="Arial" w:cs="Arial" w:eastAsia="Arial" w:hAnsi="Arial"/>
                <w:b/>
                <w:bCs/>
                <w:color w:val="1A7F7F"/>
                <w:sz w:val="22"/>
                <w:szCs w:val="22"/>
              </w:rPr>
              <w:t xml:space="preserve">▸  </w:t>
            </w:r>
            <w:r>
              <w:rPr>
                <w:rFonts w:ascii="Arial" w:cs="Arial" w:eastAsia="Arial" w:hAnsi="Arial"/>
                <w:color w:val="1A1A1A"/>
                <w:sz w:val="22"/>
                <w:szCs w:val="22"/>
              </w:rPr>
              <w:t xml:space="preserve">All features read from shared data layers but write only to their own tables</w:t>
            </w:r>
          </w:p>
        </w:tc>
      </w:tr>
      <w:tr>
        <w:tc>
          <w:tcPr>
            <w:tcW w:type="dxa" w:w="9360"/>
            <w:tcBorders>
              <w:top w:val="single" w:color="2E75B6" w:sz="1"/>
              <w:left w:val="single" w:color="2E75B6" w:sz="1"/>
              <w:bottom w:val="single" w:color="2E75B6" w:sz="1"/>
              <w:right w:val="single" w:color="2E75B6" w:sz="1"/>
            </w:tcBorders>
            <w:shd w:fill="FFFFFF" w:val="clear"/>
            <w:tcMar>
              <w:top w:type="dxa" w:w="70"/>
              <w:left w:type="dxa" w:w="180"/>
              <w:bottom w:type="dxa" w:w="70"/>
              <w:right w:type="dxa" w:w="180"/>
            </w:tcMar>
          </w:tcPr>
          <w:p>
            <w:r>
              <w:rPr>
                <w:rFonts w:ascii="Arial" w:cs="Arial" w:eastAsia="Arial" w:hAnsi="Arial"/>
                <w:b/>
                <w:bCs/>
                <w:color w:val="1A7F7F"/>
                <w:sz w:val="22"/>
                <w:szCs w:val="22"/>
              </w:rPr>
              <w:t xml:space="preserve">▸  </w:t>
            </w:r>
            <w:r>
              <w:rPr>
                <w:rFonts w:ascii="Arial" w:cs="Arial" w:eastAsia="Arial" w:hAnsi="Arial"/>
                <w:color w:val="1A1A1A"/>
                <w:sz w:val="22"/>
                <w:szCs w:val="22"/>
              </w:rPr>
              <w:t xml:space="preserve">The AI gateway is the single point of LLM access — no feature calls LLM APIs directly</w:t>
            </w:r>
          </w:p>
        </w:tc>
      </w:tr>
      <w:tr>
        <w:tc>
          <w:tcPr>
            <w:tcW w:type="dxa" w:w="9360"/>
            <w:tcBorders>
              <w:top w:val="single" w:color="2E75B6" w:sz="1"/>
              <w:left w:val="single" w:color="2E75B6" w:sz="1"/>
              <w:bottom w:val="single" w:color="2E75B6" w:sz="1"/>
              <w:right w:val="single" w:color="2E75B6" w:sz="1"/>
            </w:tcBorders>
            <w:shd w:fill="FFFFFF" w:val="clear"/>
            <w:tcMar>
              <w:top w:type="dxa" w:w="70"/>
              <w:left w:type="dxa" w:w="180"/>
              <w:bottom w:type="dxa" w:w="70"/>
              <w:right w:type="dxa" w:w="180"/>
            </w:tcMar>
          </w:tcPr>
          <w:p>
            <w:r>
              <w:rPr>
                <w:rFonts w:ascii="Arial" w:cs="Arial" w:eastAsia="Arial" w:hAnsi="Arial"/>
                <w:b/>
                <w:bCs/>
                <w:color w:val="1A7F7F"/>
                <w:sz w:val="22"/>
                <w:szCs w:val="22"/>
              </w:rPr>
              <w:t xml:space="preserve">▸  </w:t>
            </w:r>
            <w:r>
              <w:rPr>
                <w:rFonts w:ascii="Arial" w:cs="Arial" w:eastAsia="Arial" w:hAnsi="Arial"/>
                <w:color w:val="1A1A1A"/>
                <w:sz w:val="22"/>
                <w:szCs w:val="22"/>
              </w:rPr>
              <w:t xml:space="preserve">This decoupling means features can be developed, deployed, and scaled independently</w:t>
            </w:r>
          </w:p>
        </w:tc>
      </w:tr>
    </w:tbl>
    <w:p>
      <w:pPr>
        <w:spacing w:before="120" w:after="0"/>
      </w:pPr>
      <w:r>
        <w:t xml:space="preserve"/>
      </w:r>
    </w:p>
    <w:p>
      <w:pPr>
        <w:spacing w:before="400" w:after="200"/>
        <w:jc w:val="center"/>
      </w:pPr>
      <w:r>
        <w:rPr>
          <w:rFonts w:ascii="Arial" w:cs="Arial" w:eastAsia="Arial" w:hAnsi="Arial"/>
          <w:i/>
          <w:iCs/>
          <w:color w:val="555555"/>
          <w:sz w:val="18"/>
          <w:szCs w:val="18"/>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9F8" w:sz="4" w:space="4"/>
      </w:pBdr>
      <w:spacing w:before="120" w:after="0"/>
    </w:pPr>
    <w:r>
      <w:rPr>
        <w:rFonts w:ascii="Arial" w:cs="Arial" w:eastAsia="Arial" w:hAnsi="Arial"/>
        <w:color w:val="555555"/>
        <w:sz w:val="18"/>
        <w:szCs w:val="18"/>
      </w:rPr>
      <w:t xml:space="preserve">February 2026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9F8" w:sz="4" w:space="4"/>
      </w:pBdr>
      <w:spacing w:before="0" w:after="120"/>
    </w:pPr>
    <w:r>
      <w:rPr>
        <w:rFonts w:ascii="Arial" w:cs="Arial" w:eastAsia="Arial" w:hAnsi="Arial"/>
        <w:color w:val="555555"/>
        <w:sz w:val="18"/>
        <w:szCs w:val="18"/>
      </w:rPr>
      <w:t xml:space="preserve">Compliance Intelligence Platform  ·  Advanced Feature Implementation Guide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F3864"/>
      <w:sz w:val="38"/>
      <w:szCs w:val="38"/>
    </w:rPr>
  </w:style>
  <w:style w:type="paragraph" w:styleId="Heading2">
    <w:name w:val="Heading 2"/>
    <w:basedOn w:val="Normal"/>
    <w:next w:val="Normal"/>
    <w:qFormat/>
    <w:pPr>
      <w:spacing w:before="3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20" w:after="80"/>
      <w:outlineLvl w:val="2"/>
    </w:pPr>
    <w:rPr>
      <w:rFonts w:ascii="Arial" w:cs="Arial" w:eastAsia="Arial" w:hAnsi="Arial"/>
      <w:b/>
      <w:bCs/>
      <w:color w:val="1A7F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2026-02-19T06:02:22.951Z</dcterms:created>
  <dcterms:modified xsi:type="dcterms:W3CDTF">2026-02-19T06:02:22.954Z</dcterms:modified>
</cp:coreProperties>
</file>

<file path=docProps/custom.xml><?xml version="1.0" encoding="utf-8"?>
<Properties xmlns="http://schemas.openxmlformats.org/officeDocument/2006/custom-properties" xmlns:vt="http://schemas.openxmlformats.org/officeDocument/2006/docPropsVTypes"/>
</file>