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pPr>
        <w:pStyle w:val="H1"/>
      </w:pPr>
      <w:r>
        <w:t xml:space="preserve">Руководство пользователя: блок «Vault PDM» в Bratsy DP</w:t>
      </w:r>
    </w:p>
    <w:p>
      <w:pPr>
        <w:spacing w:before="0" w:after="60"/>
      </w:pPr>
      <w:r>
        <w:rPr>
          <w:color w:val="5A5A5A"/>
        </w:rPr>
        <w:t xml:space="preserve">Приложение №2 к Договору №100225/ИТ · Версия 1.0 · 12.05.2026</w:t>
      </w:r>
    </w:p>
    <w:p>
      <w:pPr>
        <w:spacing w:after="60"/>
      </w:pPr>
    </w:p>
    <w:p>
      <w:pPr>
        <w:pStyle w:val="H2"/>
      </w:pPr>
      <w:r>
        <w:t xml:space="preserve">1. Что это и зачем</w:t>
      </w:r>
    </w:p>
    <w:p>
      <w:r>
        <w:t xml:space="preserve">Блок Vault PDM позволяет загрузить из системы хранения конструкторских данных (Autodesk Vault) актуальный состав изделия (BOM — Bill of Materials) непосредственно в приложение. Одним нажатием кнопки вы видите, какие детали и модули входят в изделие, в каком статусе согласования они находятся, и можете скачать связанные файлы (PDF-чертежи, DXF-раскрои).</w:t>
      </w:r>
    </w:p>
    <w:p>
      <w:pPr>
        <w:shd w:val="clear" w:color="auto" w:fill="EBF4FF"/>
        <w:ind w:left="240" w:right="240"/>
      </w:pPr>
      <w:r>
        <w:rPr>
          <w:b/>
          <w:color w:val="1761A5"/>
        </w:rPr>
        <w:t xml:space="preserve">Практический смысл:  </w:t>
      </w:r>
      <w:r>
        <w:t xml:space="preserve">не нужно открывать Vault вручную, искать изделие, экспортировать состав — нажал кнопку и получил структуру и файлы прямо в пайплайне.</w:t>
      </w:r>
    </w:p>
    <w:p>
      <w:pPr>
        <w:spacing w:after="60"/>
      </w:pPr>
    </w:p>
    <w:p>
      <w:pPr>
        <w:pStyle w:val="H2"/>
      </w:pPr>
      <w:r>
        <w:t xml:space="preserve">2. Что нужно перед началом работы</w:t>
      </w:r>
    </w:p>
    <w:p>
      <w:pPr>
        <w:pStyle w:val="H3"/>
      </w:pPr>
      <w:r>
        <w:t xml:space="preserve">2.1 Со стороны IT / администратора Vault</w:t>
      </w:r>
    </w:p>
    <w:p>
      <w:r>
        <w:t xml:space="preserve">Для работы интеграции на сервере Vault должен быть развёрнут HTTP API — веб-сервис, описанный в Технических требованиях к PDM (раздел 3.2 Приложения №2). Это отдельный компонент: без него приложение работает только в тестовом режиме (mock).</w:t>
      </w:r>
    </w:p>
    <w:p>
      <w:r>
        <w:rPr>
          <w:b/>
        </w:rPr>
        <w:t xml:space="preserve">Проверочный список для администратора:</w:t>
      </w:r>
    </w:p>
    <w:tbl>
      <w:tblPr>
        <w:tblW w:w="0" w:type="auto"/>
        <w:tblBorders>
          <w:top w:val="single" w:sz="4" w:space="0" w:color="BBBFC4"/>
          <w:left w:val="single" w:sz="4" w:space="0" w:color="BBBFC4"/>
          <w:bottom w:val="single" w:sz="4" w:space="0" w:color="BBBFC4"/>
          <w:right w:val="single" w:sz="4" w:space="0" w:color="BBBFC4"/>
          <w:insideH w:val="single" w:sz="4" w:space="0" w:color="BBBFC4"/>
          <w:insideV w:val="single" w:sz="4" w:space="0" w:color="BBBFC4"/>
        </w:tblBorders>
      </w:tblPr>
      <w:tr>
        <w:tc>
          <w:tcPr>
            <w:tcW w:w="3200" w:type="dxa"/>
            <w:shd w:val="clear" w:color="auto" w:fill="D5E8D4"/>
          </w:tcPr>
          <w:p>
            <w:pPr>
              <w:spacing w:before="60" w:after="60"/>
            </w:pPr>
            <w:r>
              <w:rPr>
                <w:b/>
                <w:sz w:val="20"/>
                <w:szCs w:val="20"/>
              </w:rPr>
              <w:t xml:space="preserve">Условие</w:t>
            </w:r>
          </w:p>
        </w:tc>
        <w:tc>
          <w:tcPr>
            <w:tcW w:w="6200" w:type="dxa"/>
            <w:shd w:val="clear" w:color="auto" w:fill="D5E8D4"/>
          </w:tcPr>
          <w:p>
            <w:pPr>
              <w:spacing w:before="60" w:after="60"/>
            </w:pPr>
            <w:r>
              <w:rPr>
                <w:b/>
                <w:sz w:val="20"/>
                <w:szCs w:val="20"/>
              </w:rPr>
              <w:t xml:space="preserve">Как проверить</w:t>
            </w:r>
          </w:p>
        </w:tc>
      </w:tr>
      <w:tr>
        <w:tc>
          <w:tcPr>
            <w:tcW w:w="3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API-сервис запущен</w:t>
            </w:r>
          </w:p>
        </w:tc>
        <w:tc>
          <w:tcPr>
            <w:tcW w:w="6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В браузере открывается http://[сервер]:[порт]/api/v1/item?partNumber=тест — нет ошибки подключения</w:t>
            </w:r>
          </w:p>
        </w:tc>
      </w:tr>
      <w:tr>
        <w:tc>
          <w:tcPr>
            <w:tcW w:w="32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Bearer-токен выдан</w:t>
            </w:r>
          </w:p>
        </w:tc>
        <w:tc>
          <w:tcPr>
            <w:tcW w:w="62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Есть строка токена для авторизации (выдаёт администратор Vault)</w:t>
            </w:r>
          </w:p>
        </w:tc>
      </w:tr>
      <w:tr>
        <w:tc>
          <w:tcPr>
            <w:tcW w:w="3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Изделие существует в Vault</w:t>
            </w:r>
          </w:p>
        </w:tc>
        <w:tc>
          <w:tcPr>
            <w:tcW w:w="6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Например МЧД-001 — элемент (Item) существует в системе</w:t>
            </w:r>
          </w:p>
        </w:tc>
      </w:tr>
      <w:tr>
        <w:tc>
          <w:tcPr>
            <w:tcW w:w="32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PDF и DXF прикреплены к позициям</w:t>
            </w:r>
          </w:p>
        </w:tc>
        <w:tc>
          <w:tcPr>
            <w:tcW w:w="62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Файлы присоединены как FileAttachment к элементам состава изделия</w:t>
            </w:r>
          </w:p>
        </w:tc>
      </w:tr>
      <w:tr>
        <w:tc>
          <w:tcPr>
            <w:tcW w:w="3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Стадия жизненного цикла актуальна</w:t>
            </w:r>
          </w:p>
        </w:tc>
        <w:tc>
          <w:tcPr>
            <w:tcW w:w="6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Документы со статусом «Утверждено» готовы к производству</w:t>
            </w:r>
          </w:p>
        </w:tc>
      </w:tr>
    </w:tbl>
    <w:p>
      <w:pPr>
        <w:spacing w:after="60"/>
      </w:pPr>
    </w:p>
    <w:p>
      <w:pPr>
        <w:pStyle w:val="H3"/>
      </w:pPr>
      <w:r>
        <w:t xml:space="preserve">2.2 Со стороны пользователя приложения</w:t>
      </w:r>
    </w:p>
    <w:p>
      <w:r>
        <w:t xml:space="preserve">Для настройки нужно знать три вещи:</w:t>
      </w:r>
    </w:p>
    <w:p>
      <w:pPr>
        <w:ind w:left="720" w:hanging="360"/>
        <w:spacing w:after="60"/>
      </w:pPr>
      <w:r>
        <w:t xml:space="preserve">•  Адрес сервера — например http://192.168.1.100:8080</w:t>
      </w:r>
    </w:p>
    <w:p>
      <w:pPr>
        <w:ind w:left="720" w:hanging="360"/>
        <w:spacing w:after="60"/>
      </w:pPr>
      <w:r>
        <w:t xml:space="preserve">•  Токен — строка для входа, выдаётся IT-администратором</w:t>
      </w:r>
    </w:p>
    <w:p>
      <w:pPr>
        <w:ind w:left="720" w:hanging="360"/>
        <w:spacing w:after="60"/>
      </w:pPr>
      <w:r>
        <w:t xml:space="preserve">•  Обозначение изделия — конструкторский номер, например МЧД-001</w:t>
      </w:r>
    </w:p>
    <w:p>
      <w:pPr>
        <w:spacing w:after="60"/>
      </w:pPr>
    </w:p>
    <w:p>
      <w:pPr>
        <w:pStyle w:val="H2"/>
      </w:pPr>
      <w:r>
        <w:t xml:space="preserve">3. Настройка в приложении</w:t>
      </w:r>
    </w:p>
    <w:p>
      <w:r>
        <w:t xml:space="preserve">Нажмите кнопку ⚙ (шестерёнка) в правом верхнем углу приложения. Прокрутите панель настроек вниз до раздела VAULT PDM API.</w:t>
      </w:r>
    </w:p>
    <w:p>
      <w:pPr>
        <w:spacing w:after="60"/>
      </w:pPr>
    </w:p>
    <w:p>
      <w:pPr>
        <w:pStyle w:val="H3"/>
      </w:pPr>
      <w:r>
        <w:t xml:space="preserve">3.1 URL сервера Vault</w:t>
      </w:r>
    </w:p>
    <w:p>
      <w:r>
        <w:t xml:space="preserve">Адрес сервера с API. Указывается вместе с портом, включая протокол: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http://192.168.1.100:8080</w:t>
      </w:r>
    </w:p>
    <w:p>
      <w:pPr>
        <w:ind w:left="720" w:hanging="360"/>
        <w:spacing w:after="60"/>
      </w:pPr>
      <w:r>
        <w:t xml:space="preserve">•  Обязательно указывать http:// или https://</w:t>
      </w:r>
    </w:p>
    <w:p>
      <w:pPr>
        <w:ind w:left="720" w:hanging="360"/>
        <w:spacing w:after="60"/>
      </w:pPr>
      <w:r>
        <w:t xml:space="preserve">•  Без слеша в конце адреса</w:t>
      </w:r>
    </w:p>
    <w:p>
      <w:pPr>
        <w:ind w:left="720" w:hanging="360"/>
        <w:spacing w:after="60"/>
      </w:pPr>
      <w:r>
        <w:t xml:space="preserve">•  Если оставить пустым — приложение работает в тестовом режиме (mock) без подключения к серверу</w:t>
      </w:r>
    </w:p>
    <w:p>
      <w:pPr>
        <w:spacing w:after="60"/>
      </w:pPr>
    </w:p>
    <w:p>
      <w:pPr>
        <w:pStyle w:val="H3"/>
      </w:pPr>
      <w:r>
        <w:t xml:space="preserve">3.2 Bearer-токен</w:t>
      </w:r>
    </w:p>
    <w:p>
      <w:r>
        <w:t xml:space="preserve">Ключ доступа к API Vault. Хранится на вашем компьютере в файле settings.json рядом с .exe. Поле скрыто символами ●●● при вводе — это нормально. При смене токена просто введите новый и нажмите «Сохранить».</w:t>
      </w:r>
    </w:p>
    <w:p>
      <w:pPr>
        <w:spacing w:after="60"/>
      </w:pPr>
    </w:p>
    <w:p>
      <w:pPr>
        <w:pStyle w:val="H3"/>
      </w:pPr>
      <w:r>
        <w:t xml:space="preserve">3.3 Обозначение изделия по умолчанию</w:t>
      </w:r>
    </w:p>
    <w:p>
      <w:r>
        <w:t xml:space="preserve">Конструкторский номер изделия, которое чаще всего нужно загружать:</w:t>
      </w:r>
    </w:p>
    <w:p>
      <w:pPr>
        <w:ind w:left="720" w:hanging="360"/>
        <w:spacing w:after="60"/>
      </w:pPr>
      <w:r>
        <w:t xml:space="preserve">•  Если заполнено — используется автоматически при каждом нажатии кнопки Vault PDM</w:t>
      </w:r>
    </w:p>
    <w:p>
      <w:pPr>
        <w:ind w:left="720" w:hanging="360"/>
        <w:spacing w:after="60"/>
      </w:pPr>
      <w:r>
        <w:t xml:space="preserve">•  Если пустое — приложение будет спрашивать через диалоговое окно каждый раз</w:t>
      </w:r>
    </w:p>
    <w:p>
      <w:pPr>
        <w:spacing w:after="60"/>
      </w:pPr>
    </w:p>
    <w:p>
      <w:r>
        <w:t xml:space="preserve">После заполнения нажмите кнопку Сохранить в нижней части панели настроек.</w:t>
      </w:r>
    </w:p>
    <w:p>
      <w:pPr>
        <w:spacing w:after="60"/>
      </w:pPr>
    </w:p>
    <w:p>
      <w:pPr>
        <w:pStyle w:val="H2"/>
      </w:pPr>
      <w:r>
        <w:t xml:space="preserve">4. Работа с блоком: пошаговая инструкция</w:t>
      </w:r>
    </w:p>
    <w:p>
      <w:pPr>
        <w:pStyle w:val="H3"/>
      </w:pPr>
      <w:r>
        <w:t xml:space="preserve">Шаг 1. Нажать на карточку «Vault PDM»</w:t>
      </w:r>
    </w:p>
    <w:p>
      <w:r>
        <w:t xml:space="preserve">В списке этапов пайплайна найдите карточку Vault PDM и кликните на неё. Карточка подсветится синей рамкой — запрос отправляется на сервер.</w:t>
      </w:r>
    </w:p>
    <w:p>
      <w:pPr>
        <w:spacing w:after="60"/>
      </w:pPr>
    </w:p>
    <w:p>
      <w:pPr>
        <w:pStyle w:val="H3"/>
      </w:pPr>
      <w:r>
        <w:t xml:space="preserve">Шаг 2. Ввести обозначение (если не задано в настройках)</w:t>
      </w:r>
    </w:p>
    <w:p>
      <w:r>
        <w:t xml:space="preserve">Если поле «Обозначение изделия» в настройках пустое, появится диалог с предложением ввести номер вручную. Нажмите Отмена — и запрос не будет выполнен.</w:t>
      </w:r>
    </w:p>
    <w:p>
      <w:pPr>
        <w:spacing w:after="60"/>
      </w:pPr>
    </w:p>
    <w:p>
      <w:pPr>
        <w:pStyle w:val="H3"/>
      </w:pPr>
      <w:r>
        <w:t xml:space="preserve">Шаг 3. Дождаться загрузки</w:t>
      </w:r>
    </w:p>
    <w:p>
      <w:r>
        <w:t xml:space="preserve">В нижней части экрана открывается лог-панель с ходом запроса: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14:23:01  Запрос BOM: МЧД-001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14:23:01  GET http://192.168.1.100:8080/api/v1/bom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14:23:02  Получено 7 элементов</w:t>
      </w:r>
    </w:p>
    <w:p>
      <w:r>
        <w:t xml:space="preserve">Статус карточки переключается: Ready → Запущен → Завершён.</w:t>
      </w:r>
    </w:p>
    <w:p>
      <w:pPr>
        <w:spacing w:after="60"/>
      </w:pPr>
    </w:p>
    <w:p>
      <w:pPr>
        <w:pStyle w:val="H3"/>
      </w:pPr>
      <w:r>
        <w:t xml:space="preserve">Шаг 4. Работа с панелью «Состав изделия»</w:t>
      </w:r>
    </w:p>
    <w:p>
      <w:r>
        <w:t xml:space="preserve">После загрузки под карточками этапов раскрывается панель СОСТАВ ИЗДЕЛИЯ с деревом всех позиций изделия: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▼ МЧД-001         Дом жилой модульный                Утверждено   PDF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  ▼ МЧД-001-01    Модуль 1 (жилая зона)    1 шт      Утверждено   PDF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      МЧД-001-01-001  Панель стеновая       4 шт      Утверждено   PDF DXF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      МЧД-001-01-002  Профиль 80×40        12 м.п.    Утверждено   PDF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  ▼ МЧД-001-02    Модуль 2 (санузел)       1 шт      Утверждено   PDF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      МЧД-001-02-001  Перекрытие            2 шт      Утверждено   PDF DXF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      МЧД-001-02-002  Крепёж (компл.)       1 компл.  Утверждено   PDF</w:t>
      </w:r>
    </w:p>
    <w:p>
      <w:r>
        <w:t xml:space="preserve">Клик на строку со стрелкой ▶ — сворачивает или разворачивает подуровень дерева.</w:t>
      </w:r>
    </w:p>
    <w:p>
      <w:r>
        <w:t xml:space="preserve">Кнопка PDF или DXF в строке позиции — скачивает файл и сохраняет в: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[Рабочий каталог]\vault\МЧД-001-01-001.pdf</w:t>
      </w:r>
    </w:p>
    <w:p>
      <w:r>
        <w:t xml:space="preserve">В правом нижнем углу экрана появляется уведомление об успехе или ошибке. Закрыть панель BOM: кнопка ✕ в её правом верхнем углу.</w:t>
      </w:r>
    </w:p>
    <w:p>
      <w:pPr>
        <w:spacing w:after="60"/>
      </w:pPr>
    </w:p>
    <w:p>
      <w:pPr>
        <w:pStyle w:val="H2"/>
      </w:pPr>
      <w:r>
        <w:t xml:space="preserve">5. Тестовый режим (mock) — без реального Vault</w:t>
      </w:r>
    </w:p>
    <w:p>
      <w:r>
        <w:t xml:space="preserve">Если поле URL сервера пустое, приложение работает в режиме демонстрации. В лог-панели появится сообщение: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[mock] Vault URL не задан — загружаю тестовые данные</w:t>
      </w:r>
    </w:p>
    <w:p>
      <w:r>
        <w:t xml:space="preserve">Будет показан заранее заготовленный состав из 7 позиций в двухмодульной структуре. Кнопки PDF/DXF в этом режиме создают файл-заглушку в папке vault/. Это удобно для знакомства с интерфейсом до того, как API настроен.</w:t>
      </w:r>
    </w:p>
    <w:p>
      <w:pPr>
        <w:spacing w:after="60"/>
      </w:pPr>
    </w:p>
    <w:p>
      <w:pPr>
        <w:pStyle w:val="H2"/>
      </w:pPr>
      <w:r>
        <w:t xml:space="preserve">6. Как приложение обращается к API</w:t>
      </w:r>
    </w:p>
    <w:p>
      <w:pPr>
        <w:pStyle w:val="H3"/>
      </w:pPr>
      <w:r>
        <w:t xml:space="preserve">6.1 Запрос состава изделия</w:t>
      </w:r>
    </w:p>
    <w:p>
      <w:r>
        <w:t xml:space="preserve">При нажатии кнопки Vault PDM приложение отправляет HTTP GET-запрос: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GET http://[сервер]:[порт]/api/v1/bom?partNumber=МЧД-001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Authorization: Bearer [токен]</w:t>
      </w:r>
    </w:p>
    <w:p>
      <w:r>
        <w:t xml:space="preserve">Сервер возвращает плоский список всех позиций изделия в формате JSON. Каждая позиция содержит:</w:t>
      </w:r>
    </w:p>
    <w:tbl>
      <w:tblPr>
        <w:tblW w:w="0" w:type="auto"/>
        <w:tblBorders>
          <w:top w:val="single" w:sz="4" w:space="0" w:color="BBBFC4"/>
          <w:left w:val="single" w:sz="4" w:space="0" w:color="BBBFC4"/>
          <w:bottom w:val="single" w:sz="4" w:space="0" w:color="BBBFC4"/>
          <w:right w:val="single" w:sz="4" w:space="0" w:color="BBBFC4"/>
          <w:insideH w:val="single" w:sz="4" w:space="0" w:color="BBBFC4"/>
          <w:insideV w:val="single" w:sz="4" w:space="0" w:color="BBBFC4"/>
        </w:tblBorders>
      </w:tblPr>
      <w:tr>
        <w:tc>
          <w:tcPr>
            <w:tcW w:w="2200" w:type="dxa"/>
            <w:shd w:val="clear" w:color="auto" w:fill="D5E8D4"/>
          </w:tcPr>
          <w:p>
            <w:pPr>
              <w:spacing w:before="60" w:after="60"/>
            </w:pPr>
            <w:r>
              <w:rPr>
                <w:b/>
                <w:sz w:val="20"/>
                <w:szCs w:val="20"/>
              </w:rPr>
              <w:t xml:space="preserve">Поле JSON</w:t>
            </w:r>
          </w:p>
        </w:tc>
        <w:tc>
          <w:tcPr>
            <w:tcW w:w="7200" w:type="dxa"/>
            <w:shd w:val="clear" w:color="auto" w:fill="D5E8D4"/>
          </w:tcPr>
          <w:p>
            <w:pPr>
              <w:spacing w:before="60" w:after="60"/>
            </w:pPr>
            <w:r>
              <w:rPr>
                <w:b/>
                <w:sz w:val="20"/>
                <w:szCs w:val="20"/>
              </w:rPr>
              <w:t xml:space="preserve">Что означает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PartNumber</w:t>
            </w:r>
          </w:p>
        </w:tc>
        <w:tc>
          <w:tcPr>
            <w:tcW w:w="7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Конструкторское обозначение позиции (МЧД-001-01-001)</w:t>
            </w:r>
          </w:p>
        </w:tc>
      </w:tr>
      <w:tr>
        <w:tc>
          <w:tcPr>
            <w:tcW w:w="22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w="72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Наименование детали или сборки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ParentId</w:t>
            </w:r>
          </w:p>
        </w:tc>
        <w:tc>
          <w:tcPr>
            <w:tcW w:w="7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ID родительской позиции — по нему строится дерево</w:t>
            </w:r>
          </w:p>
        </w:tc>
      </w:tr>
      <w:tr>
        <w:tc>
          <w:tcPr>
            <w:tcW w:w="22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Quant, Units</w:t>
            </w:r>
          </w:p>
        </w:tc>
        <w:tc>
          <w:tcPr>
            <w:tcW w:w="72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Количество и единица измерения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LfCycStateId</w:t>
            </w:r>
          </w:p>
        </w:tc>
        <w:tc>
          <w:tcPr>
            <w:tcW w:w="7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Стадия жизненного цикла (5 = Утверждено)</w:t>
            </w:r>
          </w:p>
        </w:tc>
      </w:tr>
      <w:tr>
        <w:tc>
          <w:tcPr>
            <w:tcW w:w="22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Files[]</w:t>
            </w:r>
          </w:p>
        </w:tc>
        <w:tc>
          <w:tcPr>
            <w:tcW w:w="72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Список прикреплённых файлов с их ID для скачивания</w:t>
            </w:r>
          </w:p>
        </w:tc>
      </w:tr>
    </w:tbl>
    <w:p>
      <w:pPr>
        <w:spacing w:after="60"/>
      </w:pPr>
    </w:p>
    <w:p>
      <w:pPr>
        <w:pStyle w:val="H3"/>
      </w:pPr>
      <w:r>
        <w:t xml:space="preserve">6.2 Скачивание файла</w:t>
      </w:r>
    </w:p>
    <w:p>
      <w:r>
        <w:t xml:space="preserve">При нажатии кнопки PDF или DXF в строке позиции: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GET http://[сервер]:[порт]/api/v1/file?id=2003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Authorization: Bearer [токен]</w:t>
      </w:r>
    </w:p>
    <w:p>
      <w:r>
        <w:t xml:space="preserve">Сервер возвращает бинарное содержимое файла. Приложение сохраняет его на диск в папку: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[Рабочий каталог]\vault\[ИмяФайла]</w:t>
      </w:r>
    </w:p>
    <w:p>
      <w:pPr>
        <w:spacing w:after="60"/>
      </w:pPr>
    </w:p>
    <w:p>
      <w:pPr>
        <w:pStyle w:val="H3"/>
      </w:pPr>
      <w:r>
        <w:t xml:space="preserve">6.3 Стадии жизненного цикла документа</w:t>
      </w:r>
    </w:p>
    <w:p>
      <w:r>
        <w:t xml:space="preserve">Цвет тега «Стадия» в таблице BOM отражает текущий статус в Vault:</w:t>
      </w:r>
    </w:p>
    <w:tbl>
      <w:tblPr>
        <w:tblW w:w="0" w:type="auto"/>
        <w:tblBorders>
          <w:top w:val="single" w:sz="4" w:space="0" w:color="BBBFC4"/>
          <w:left w:val="single" w:sz="4" w:space="0" w:color="BBBFC4"/>
          <w:bottom w:val="single" w:sz="4" w:space="0" w:color="BBBFC4"/>
          <w:right w:val="single" w:sz="4" w:space="0" w:color="BBBFC4"/>
          <w:insideH w:val="single" w:sz="4" w:space="0" w:color="BBBFC4"/>
          <w:insideV w:val="single" w:sz="4" w:space="0" w:color="BBBFC4"/>
        </w:tblBorders>
      </w:tblPr>
      <w:tr>
        <w:tc>
          <w:tcPr>
            <w:tcW w:w="2800" w:type="dxa"/>
            <w:shd w:val="clear" w:color="auto" w:fill="D5E8D4"/>
          </w:tcPr>
          <w:p>
            <w:pPr>
              <w:spacing w:before="60" w:after="60"/>
            </w:pPr>
            <w:r>
              <w:rPr>
                <w:b/>
                <w:sz w:val="20"/>
                <w:szCs w:val="20"/>
              </w:rPr>
              <w:t xml:space="preserve">Отображение</w:t>
            </w:r>
          </w:p>
        </w:tc>
        <w:tc>
          <w:tcPr>
            <w:tcW w:w="4800" w:type="dxa"/>
            <w:shd w:val="clear" w:color="auto" w:fill="D5E8D4"/>
          </w:tcPr>
          <w:p>
            <w:pPr>
              <w:spacing w:before="60" w:after="60"/>
            </w:pPr>
            <w:r>
              <w:rPr>
                <w:b/>
                <w:sz w:val="20"/>
                <w:szCs w:val="20"/>
              </w:rPr>
              <w:t xml:space="preserve">Значение</w:t>
            </w:r>
          </w:p>
        </w:tc>
        <w:tc>
          <w:tcPr>
            <w:tcW w:w="1800" w:type="dxa"/>
            <w:shd w:val="clear" w:color="auto" w:fill="D5E8D4"/>
          </w:tcPr>
          <w:p>
            <w:pPr>
              <w:spacing w:before="60" w:after="60"/>
            </w:pPr>
            <w:r>
              <w:rPr>
                <w:b/>
                <w:sz w:val="20"/>
                <w:szCs w:val="20"/>
              </w:rPr>
              <w:t xml:space="preserve">Цвет</w:t>
            </w:r>
          </w:p>
        </w:tc>
      </w:tr>
      <w:tr>
        <w:tc>
          <w:tcPr>
            <w:tcW w:w="28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Утверждено</w:t>
            </w:r>
          </w:p>
        </w:tc>
        <w:tc>
          <w:tcPr>
            <w:tcW w:w="48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Документ прошёл все согласования — готов к производству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Зелёный</w:t>
            </w:r>
          </w:p>
        </w:tc>
      </w:tr>
      <w:tr>
        <w:tc>
          <w:tcPr>
            <w:tcW w:w="28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Пров. КО / Пров. качества / …</w:t>
            </w:r>
          </w:p>
        </w:tc>
        <w:tc>
          <w:tcPr>
            <w:tcW w:w="48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Документ на стадии согласования</w:t>
            </w:r>
          </w:p>
        </w:tc>
        <w:tc>
          <w:tcPr>
            <w:tcW w:w="18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Серый</w:t>
            </w:r>
          </w:p>
        </w:tc>
      </w:tr>
      <w:tr>
        <w:tc>
          <w:tcPr>
            <w:tcW w:w="28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Доработка</w:t>
            </w:r>
          </w:p>
        </w:tc>
        <w:tc>
          <w:tcPr>
            <w:tcW w:w="48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Конструктор вносит правки по замечаниям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Серый</w:t>
            </w:r>
          </w:p>
        </w:tc>
      </w:tr>
      <w:tr>
        <w:tc>
          <w:tcPr>
            <w:tcW w:w="28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Архив</w:t>
            </w:r>
          </w:p>
        </w:tc>
        <w:tc>
          <w:tcPr>
            <w:tcW w:w="48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Документ устарел, в производство не идёт</w:t>
            </w:r>
          </w:p>
        </w:tc>
        <w:tc>
          <w:tcPr>
            <w:tcW w:w="18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Серый</w:t>
            </w:r>
          </w:p>
        </w:tc>
      </w:tr>
    </w:tbl>
    <w:p>
      <w:pPr>
        <w:shd w:val="clear" w:color="auto" w:fill="EBF4FF"/>
        <w:ind w:left="240" w:right="240"/>
      </w:pPr>
      <w:r>
        <w:rPr>
          <w:b/>
          <w:color w:val="1761A5"/>
        </w:rPr>
        <w:t xml:space="preserve">Важно:  </w:t>
      </w:r>
      <w:r>
        <w:t xml:space="preserve">на производство должны идти только позиции со статусом «Утверждено».</w:t>
      </w:r>
    </w:p>
    <w:p>
      <w:pPr>
        <w:spacing w:after="60"/>
      </w:pPr>
    </w:p>
    <w:p>
      <w:pPr>
        <w:pStyle w:val="H3"/>
      </w:pPr>
      <w:r>
        <w:t xml:space="preserve">6.4 Связь с процессом согласования в Vault</w:t>
      </w:r>
    </w:p>
    <w:p>
      <w:r>
        <w:t xml:space="preserve">Путь документа от разработки до появления в приложении: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Конструктор создаёт 3D-модель / РКД в Autodesk Inventor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        ↓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Отправляет на согласование (Проверка КО → Проверка качества → …)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        ↓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Руководитель КО утверждает (статус: Утверждено)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        ↓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Vault автоматически формирует PDF и DXF (через Job Processor)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        ↓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API возвращает LfCycStateId = 5  ←  приложение показывает зелёный «Утверждено»</w:t>
      </w:r>
    </w:p>
    <w:p>
      <w:pPr>
        <w:spacing w:after="60"/>
      </w:pPr>
    </w:p>
    <w:p>
      <w:pPr>
        <w:pStyle w:val="H2"/>
      </w:pPr>
      <w:r>
        <w:t xml:space="preserve">7. Возможные проблемы и решения</w:t>
      </w:r>
    </w:p>
    <w:tbl>
      <w:tblPr>
        <w:tblW w:w="0" w:type="auto"/>
        <w:tblBorders>
          <w:top w:val="single" w:sz="4" w:space="0" w:color="BBBFC4"/>
          <w:left w:val="single" w:sz="4" w:space="0" w:color="BBBFC4"/>
          <w:bottom w:val="single" w:sz="4" w:space="0" w:color="BBBFC4"/>
          <w:right w:val="single" w:sz="4" w:space="0" w:color="BBBFC4"/>
          <w:insideH w:val="single" w:sz="4" w:space="0" w:color="BBBFC4"/>
          <w:insideV w:val="single" w:sz="4" w:space="0" w:color="BBBFC4"/>
        </w:tblBorders>
      </w:tblPr>
      <w:tr>
        <w:tc>
          <w:tcPr>
            <w:tcW w:w="2500" w:type="dxa"/>
            <w:shd w:val="clear" w:color="auto" w:fill="D5E8D4"/>
          </w:tcPr>
          <w:p>
            <w:pPr>
              <w:spacing w:before="60" w:after="60"/>
            </w:pPr>
            <w:r>
              <w:rPr>
                <w:b/>
                <w:sz w:val="20"/>
                <w:szCs w:val="20"/>
              </w:rPr>
              <w:t xml:space="preserve">Проблема</w:t>
            </w:r>
          </w:p>
        </w:tc>
        <w:tc>
          <w:tcPr>
            <w:tcW w:w="3000" w:type="dxa"/>
            <w:shd w:val="clear" w:color="auto" w:fill="D5E8D4"/>
          </w:tcPr>
          <w:p>
            <w:pPr>
              <w:spacing w:before="60" w:after="60"/>
            </w:pPr>
            <w:r>
              <w:rPr>
                <w:b/>
                <w:sz w:val="20"/>
                <w:szCs w:val="20"/>
              </w:rPr>
              <w:t xml:space="preserve">Причина</w:t>
            </w:r>
          </w:p>
        </w:tc>
        <w:tc>
          <w:tcPr>
            <w:tcW w:w="4000" w:type="dxa"/>
            <w:shd w:val="clear" w:color="auto" w:fill="D5E8D4"/>
          </w:tcPr>
          <w:p>
            <w:pPr>
              <w:spacing w:before="60" w:after="60"/>
            </w:pPr>
            <w:r>
              <w:rPr>
                <w:b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w="25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Карточка Vault PDM показывает «Ошибка»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Нет сетевого подключения к серверу</w:t>
            </w:r>
          </w:p>
        </w:tc>
        <w:tc>
          <w:tcPr>
            <w:tcW w:w="4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Проверить URL в настройках; убедиться что сервер доступен (открыть URL в браузере)</w:t>
            </w:r>
          </w:p>
        </w:tc>
      </w:tr>
      <w:tr>
        <w:tc>
          <w:tcPr>
            <w:tcW w:w="25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Ошибка «Vault API 401»</w:t>
            </w:r>
          </w:p>
        </w:tc>
        <w:tc>
          <w:tcPr>
            <w:tcW w:w="30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Токен неверный или истёк</w:t>
            </w:r>
          </w:p>
        </w:tc>
        <w:tc>
          <w:tcPr>
            <w:tcW w:w="40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Запросить новый токен у IT-администратора</w:t>
            </w:r>
          </w:p>
        </w:tc>
      </w:tr>
      <w:tr>
        <w:tc>
          <w:tcPr>
            <w:tcW w:w="25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Ошибка «Vault API 404»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Изделие с таким обозначением не найдено в Vault</w:t>
            </w:r>
          </w:p>
        </w:tc>
        <w:tc>
          <w:tcPr>
            <w:tcW w:w="4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Уточнить точное написание обозначения в Vault</w:t>
            </w:r>
          </w:p>
        </w:tc>
      </w:tr>
      <w:tr>
        <w:tc>
          <w:tcPr>
            <w:tcW w:w="25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Ошибка при скачивании файла</w:t>
            </w:r>
          </w:p>
        </w:tc>
        <w:tc>
          <w:tcPr>
            <w:tcW w:w="30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Рабочий каталог не задан в настройках</w:t>
            </w:r>
          </w:p>
        </w:tc>
        <w:tc>
          <w:tcPr>
            <w:tcW w:w="40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Настройки ⚙ → «Рабочий каталог» → выбрать папку → Сохранить</w:t>
            </w:r>
          </w:p>
        </w:tc>
      </w:tr>
      <w:tr>
        <w:tc>
          <w:tcPr>
            <w:tcW w:w="25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Панель BOM пустая (0 позиций)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В Vault нет дочерних элементов у этого изделия</w:t>
            </w:r>
          </w:p>
        </w:tc>
        <w:tc>
          <w:tcPr>
            <w:tcW w:w="40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Уточнить у конструктора — BOM может ещё не быть заполнен в Vault</w:t>
            </w:r>
          </w:p>
        </w:tc>
      </w:tr>
      <w:tr>
        <w:tc>
          <w:tcPr>
            <w:tcW w:w="25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Файл скачался, но пустой</w:t>
            </w:r>
          </w:p>
        </w:tc>
        <w:tc>
          <w:tcPr>
            <w:tcW w:w="30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Приложение работает в mock-режиме</w:t>
            </w:r>
          </w:p>
        </w:tc>
        <w:tc>
          <w:tcPr>
            <w:tcW w:w="4000" w:type="dxa"/>
            <w:shd w:val="clear" w:color="auto" w:fill="F5F7F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Указать реальный URL сервера в настройках и сохранить</w:t>
            </w:r>
          </w:p>
        </w:tc>
      </w:tr>
    </w:tbl>
    <w:p>
      <w:pPr>
        <w:spacing w:after="60"/>
      </w:pPr>
    </w:p>
    <w:p>
      <w:pPr>
        <w:pStyle w:val="H2"/>
      </w:pPr>
      <w:r>
        <w:t xml:space="preserve">8. Быстрая памятка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1. Нажать ⚙ (шестерёнка) → прокрутить до раздела VAULT PDM API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   • URL:         http://192.168.1.100:8080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   • Токен:       получить у IT-администратора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   • Обозначение: МЧД-001  (или оставить пустым — будет спрашивать)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   → Нажать «Сохранить»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2. Кликнуть карточку «Vault PDM» в пайплайне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3. В панели BOM: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   • Клик на строку ▶  →  свернуть / развернуть ветку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   • Кнопка PDF / DXF  →  файл сохраняется в [рабочий каталог]\vault\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   • Кнопка ✕          →  закрыть панель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hd w:val="clear" w:color="auto" w:fill="F2F2F2"/>
        <w:ind w:left="360" w:right="360"/>
        <w:spacing w:before="20" w:after="20" w:line="240" w:lineRule="auto"/>
      </w:pPr>
      <w:r>
        <w:rPr>
          <w:rFonts w:ascii="Consolas" w:hAnsi="Consolas" w:cs="Consolas"/>
          <w:sz w:val="18"/>
          <w:szCs w:val="18"/>
        </w:rPr>
        <w:t xml:space="preserve">4. Если URL пустой — работает тестовый mock без подключения к серверу</w:t>
      </w:r>
    </w:p>
    <w:p>
      <w:pPr>
        <w:spacing w:after="60"/>
      </w:pPr>
    </w:p>
    <w:sectPr>
      <w:pgSz w:w="11906" w:h="16838" w:orient="portrait"/>
      <w:pgMar w:top="1134" w:right="850" w:bottom="1134" w:left="1701" w:header="709" w:footer="709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Calibri" w:hAnsi="Calibri" w:cs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pPr>
      <w:spacing w:after="120"/>
    </w:pPr>
    <w:rPr>
      <w:sz w:val="22"/>
      <w:szCs w:val="22"/>
    </w:rPr>
  </w:style>
  <w:style w:type="paragraph" w:styleId="H1">
    <w:name w:val="heading 1"/>
    <w:basedOn w:val="Normal"/>
    <w:pPr>
      <w:spacing w:before="400" w:after="160"/>
      <w:jc w:val="left"/>
    </w:pPr>
    <w:rPr>
      <w:b/>
      <w:color w:val="1F3864"/>
      <w:sz w:val="40"/>
      <w:szCs w:val="40"/>
    </w:rPr>
  </w:style>
  <w:style w:type="paragraph" w:styleId="H2">
    <w:name w:val="heading 2"/>
    <w:basedOn w:val="Normal"/>
    <w:pPr>
      <w:spacing w:before="320" w:after="120"/>
      <w:pBdr>
        <w:bottom w:val="single" w:sz="6" w:space="4" w:color="1761A5"/>
      </w:pBdr>
    </w:pPr>
    <w:rPr>
      <w:b/>
      <w:color w:val="1761A5"/>
      <w:sz w:val="28"/>
      <w:szCs w:val="28"/>
    </w:rPr>
  </w:style>
  <w:style w:type="paragraph" w:styleId="H3">
    <w:name w:val="heading 3"/>
    <w:basedOn w:val="Normal"/>
    <w:pPr>
      <w:spacing w:before="200" w:after="80"/>
    </w:pPr>
    <w:rPr>
      <w:b/>
      <w:color w:val="2E75B6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