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2F3E9E"/>
          <w:spacing w:val="40"/>
          <w:sz w:val="20"/>
          <w:szCs w:val="20"/>
        </w:rPr>
        <w:t xml:space="preserve">PSPS CONTROL SQA</w:t>
      </w:r>
    </w:p>
    <w:p>
      <w:pPr>
        <w:pBdr>
          <w:bottom w:val="single" w:color="2F3E9E" w:sz="12" w:space="6"/>
        </w:pBdr>
        <w:spacing w:after="80"/>
      </w:pPr>
      <w:r>
        <w:rPr>
          <w:rFonts w:ascii="Calibri" w:cs="Calibri" w:eastAsia="Calibri" w:hAnsi="Calibri"/>
          <w:b/>
          <w:bCs/>
          <w:color w:val="1B2440"/>
          <w:sz w:val="44"/>
          <w:szCs w:val="44"/>
        </w:rPr>
        <w:t xml:space="preserve">Especificación de requisitos</w:t>
      </w:r>
    </w:p>
    <w:p>
      <w:pPr>
        <w:spacing w:after="160" w:before="80"/>
      </w:pPr>
      <w:r>
        <w:rPr>
          <w:rFonts w:ascii="Calibri" w:cs="Calibri" w:eastAsia="Calibri" w:hAnsi="Calibri"/>
          <w:color w:val="5B6784"/>
          <w:sz w:val="24"/>
          <w:szCs w:val="24"/>
        </w:rPr>
        <w:t xml:space="preserve">Qué debe hacer el sistema y cómo se comprueba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Universidad Autónoma de Zacatecas · Campus UAZ Siglo XXI · Ingeniería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Materia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PSPS: Pablo Valentín Varela Rivera, Sebastián Guerra Hernández, Francisco Valdez García, Alan Maximiliano Montoya Lara, Luis Obed Aranda Robles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 · 17 de octubre de 2026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requisito funcional (RF) detalla uno de los requisitos generales del cliente (RG) del documento de alcance y tiene un criterio que se puede comprobar con una prueba. La columna «Prueba» indica dónde se verifica (ver documento 05).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Requisitos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3960"/>
        <w:gridCol w:w="3800"/>
      </w:tblGrid>
      <w:tr>
        <w:trPr>
          <w:cantSplit/>
          <w:tblHeader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ID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Del RG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Requisito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Criterio verificable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RG-01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un proyecto con nombre, descripción, responsable, fecha de inicio, fecha de fin y duración.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 no se da fecha de fin, se calcula inicio + duración. Fin anterior al inicio se rechaza.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RG-01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duplicar un proyecto del mismo intervalo y conservar los anteriores al abrir otro.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Mismo nombre + misma fecha de inicio se rechaza. «Abrir nuevo intervalo» crea otro proyecto sin tocar el anterior.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RG-02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actividades SQA (revisión, inspección, prueba) con responsable, fecha prevista, estado y evidencia.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evidencia no se guarda. Identificador único dentro del proyecto. Lista filtrable por estado y texto.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RG-03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casos de prueba con versión, pasos y resultado esperado, y registrar resultados de ejecución.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resultado exige evidencia. La lista muestra el último resultado de cada caso.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RG-04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defectos con severidad, estado, fecha de reporte y evidencia; cerrar con verificación.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Cerrado exige fecha de cierre y quién verificó; el cierre no puede ser anterior al reporte.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RG-05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Importar actividades, casos, resultados y defectos desde CSV con plantillas del sistema.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valida todo el archivo antes de guardar; un error impide guardar cualquier fila. Se informa fila, campo y problema.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RG-05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Rechazar duplicados e importaciones repetidas.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 repetido en el archivo o ya registrado en el proyecto se rechaza.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RG-06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Calcular los cinco indicadores a una fecha de corte con su semáforo.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Límites exactos de verde, amarillo y rojo; división entre cero = «Sin datos», nunca 0%.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RG-06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Calcular el estado general con prioridad rojo → gris → amarillo → verde.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indicadores «No aplica» se excluyen y muestran su motivo.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RG-06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Guardar cada medición con su fecha de corte y umbrales; no recalcular el historial.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corte anterior no cambia al registrar datos nuevos.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RG-06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Recalcular automáticamente al guardar o importar datos válidos.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 guardar un registro existe el corte del día actualizado.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RG-06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Mostrar un dashboard con estado general, indicadores, pendientes y evolución por corte.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Gráfica con al menos dos cortes; pendientes visibles.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RG-07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Generar el reporte a una fecha de corte con resultados, umbrales, pendientes y evidencias.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y reporte muestran los mismos valores al mismo corte; reporte imprimible.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RG-06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Exigir confirmación del registro de defectos para reportar cero críticos.</w:t>
            </w:r>
          </w:p>
        </w:tc>
        <w:tc>
          <w:tcPr>
            <w:tcW w:type="dxa" w:w="3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defectos y sin confirmación, el indicador queda gris («Sin datos»).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2. Reglas de cálculo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Corte:</w:t>
      </w:r>
      <w:r>
        <w:rPr>
          <w:rFonts w:ascii="Calibri" w:cs="Calibri" w:eastAsia="Calibri" w:hAnsi="Calibri"/>
          <w:sz w:val="22"/>
          <w:szCs w:val="22"/>
        </w:rPr>
        <w:t xml:space="preserve"> solo cuentan registros con fecha igual o anterior a la fecha de corte.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Último resultado:</w:t>
      </w:r>
      <w:r>
        <w:rPr>
          <w:rFonts w:ascii="Calibri" w:cs="Calibri" w:eastAsia="Calibri" w:hAnsi="Calibri"/>
          <w:sz w:val="22"/>
          <w:szCs w:val="22"/>
        </w:rPr>
        <w:t xml:space="preserve"> para cada caso se usa su resultado más reciente al corte.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Mismo conjunto exigible:</w:t>
      </w:r>
      <w:r>
        <w:rPr>
          <w:rFonts w:ascii="Calibri" w:cs="Calibri" w:eastAsia="Calibri" w:hAnsi="Calibri"/>
          <w:sz w:val="22"/>
          <w:szCs w:val="22"/>
        </w:rPr>
        <w:t xml:space="preserve"> numerador y denominador del cumplimiento SQA salen de las mismas actividades (las de fecha prevista ≤ corte).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Defecto abierto al corte:</w:t>
      </w:r>
      <w:r>
        <w:rPr>
          <w:rFonts w:ascii="Calibri" w:cs="Calibri" w:eastAsia="Calibri" w:hAnsi="Calibri"/>
          <w:sz w:val="22"/>
          <w:szCs w:val="22"/>
        </w:rPr>
        <w:t xml:space="preserve"> reportado antes del corte y no cerrado (con verificación) antes del corte.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aplica:</w:t>
      </w:r>
      <w:r>
        <w:rPr>
          <w:rFonts w:ascii="Calibri" w:cs="Calibri" w:eastAsia="Calibri" w:hAnsi="Calibri"/>
          <w:sz w:val="22"/>
          <w:szCs w:val="22"/>
        </w:rPr>
        <w:t xml:space="preserve"> sin pruebas previstas al corte, sin actividades exigibles o sin defectos con registro confirmado (tiempo de resolución).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 datos:</w:t>
      </w:r>
      <w:r>
        <w:rPr>
          <w:rFonts w:ascii="Calibri" w:cs="Calibri" w:eastAsia="Calibri" w:hAnsi="Calibri"/>
          <w:sz w:val="22"/>
          <w:szCs w:val="22"/>
        </w:rPr>
        <w:t xml:space="preserve"> no hay base para calcular; el indicador se muestra gris con el motivo.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960"/>
        <w:gridCol w:w="3000"/>
      </w:tblGrid>
      <w:tr>
        <w:trPr>
          <w:cantSplit/>
          <w:tblHeader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Tema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Requisito</w:t>
            </w:r>
          </w:p>
        </w:tc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1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Exactitud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cálculos y semáforos son correctos en los límites.</w:t>
            </w:r>
          </w:p>
        </w:tc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automáticas de límites exactos.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1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Integridad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archivo CSV con errores no escribe nada; el identificador es único por proyecto.</w:t>
            </w:r>
          </w:p>
        </w:tc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de importación; restricciones únicas en la base.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1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medición guarda corte y umbrales; cada registro guarda responsable, fecha y evidencia.</w:t>
            </w:r>
          </w:p>
        </w:tc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Revisión del modelo de datos y de cortes guardados.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1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Capas separadas: las vistas no calculan; el dominio no usa HTML; solo la capa de datos toca la BD.</w:t>
            </w:r>
          </w:p>
        </w:tc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Revisión de código en cada solicitud de integración.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1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Usabilidad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Listas filtrables, mensajes claros de error y semáforos con color y texto.</w:t>
            </w:r>
          </w:p>
        </w:tc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 manual de recorrido (documento 05).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RNF-06</w:t>
            </w:r>
          </w:p>
        </w:tc>
        <w:tc>
          <w:tcPr>
            <w:tcW w:type="dxa" w:w="1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Seguridad básica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Protección CSRF de Django, escape automático de plantillas, límite de 2 MB por CSV y consultas por ORM.</w:t>
            </w:r>
          </w:p>
        </w:tc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Revisión de código y prueba manual.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RNF-07</w:t>
            </w:r>
          </w:p>
        </w:tc>
        <w:tc>
          <w:tcPr>
            <w:tcW w:type="dxa" w:w="1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Portabilidad</w:t>
            </w:r>
          </w:p>
        </w:tc>
        <w:tc>
          <w:tcPr>
            <w:tcW w:type="dxa" w:w="3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Ejecuta en Windows con Python 3.11+ y PostgreSQL.</w:t>
            </w:r>
          </w:p>
        </w:tc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Guía de instalación probada en la computadora de la demo.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0A030" w:sz="24"/>
              <w:bottom w:val="none" w:color="FFFFFF" w:sz="0"/>
              <w:right w:val="none" w:color="FFFFFF" w:sz="0"/>
            </w:tcBorders>
            <w:shd w:fill="FFF4D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Importante.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 sistema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tiene inicio de sesión ni roles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el cliente no los pidió. Si la maestra los requiere, se agregaría con el sistema de usuarios de Django y se documentaría como cambio de alcance.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84"/>
        <w:sz w:val="17"/>
        <w:szCs w:val="17"/>
      </w:rPr>
      <w:t xml:space="preserve">Calidad de Software · Versión 1.1 · 17 de octubre de 2026 · Página </w:t>
    </w:r>
    <w:r>
      <w:rPr>
        <w:rFonts w:ascii="Calibri" w:cs="Calibri" w:eastAsia="Calibri" w:hAnsi="Calibri"/>
        <w:color w:val="5B6784"/>
        <w:sz w:val="17"/>
        <w:szCs w:val="17"/>
      </w:rPr>
      <w:fldChar w:fldCharType="begin"/>
    </w:r>
    <w:r>
      <w:rPr>
        <w:rFonts w:ascii="Calibri" w:cs="Calibri" w:eastAsia="Calibri" w:hAnsi="Calibri"/>
        <w:color w:val="5B6784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784"/>
        <w:sz w:val="17"/>
        <w:szCs w:val="17"/>
      </w:rPr>
      <w:fldChar w:fldCharType="separate"/>
    </w:r>
    <w:r>
      <w:rPr>
        <w:rFonts w:ascii="Calibri" w:cs="Calibri" w:eastAsia="Calibri" w:hAnsi="Calibri"/>
        <w:color w:val="5B678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84"/>
        <w:sz w:val="17"/>
        <w:szCs w:val="17"/>
      </w:rPr>
      <w:t xml:space="preserve">PSPS Control SQA · Requisitos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2F3E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B24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B678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</dc:title>
  <dc:creator>Equipo PSPS</dc:creator>
  <cp:lastModifiedBy>Un-named</cp:lastModifiedBy>
  <cp:revision>1</cp:revision>
  <dcterms:created xsi:type="dcterms:W3CDTF">2026-10-18T01:01:19.738Z</dcterms:created>
  <dcterms:modified xsi:type="dcterms:W3CDTF">2026-10-18T01:01:19.738Z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