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0"/>
      </w:pPr>
      <w:r>
        <w:rPr>
          <w:rFonts w:ascii="Calibri" w:cs="Calibri" w:eastAsia="Calibri" w:hAnsi="Calibri"/>
          <w:b/>
          <w:bCs/>
          <w:color w:val="2F3E9E"/>
          <w:spacing w:val="40"/>
          <w:sz w:val="20"/>
          <w:szCs w:val="20"/>
        </w:rPr>
        <w:t xml:space="preserve">PSPS CONTROL SQA</w:t>
      </w:r>
    </w:p>
    <w:p>
      <w:pPr>
        <w:pBdr>
          <w:bottom w:val="single" w:color="2F3E9E" w:sz="12" w:space="6"/>
        </w:pBdr>
        <w:spacing w:after="80"/>
      </w:pPr>
      <w:r>
        <w:rPr>
          <w:rFonts w:ascii="Calibri" w:cs="Calibri" w:eastAsia="Calibri" w:hAnsi="Calibri"/>
          <w:b/>
          <w:bCs/>
          <w:color w:val="1B2440"/>
          <w:sz w:val="44"/>
          <w:szCs w:val="44"/>
        </w:rPr>
        <w:t xml:space="preserve">Arquitectura y pantallas</w:t>
      </w:r>
    </w:p>
    <w:p>
      <w:pPr>
        <w:spacing w:after="160" w:before="80"/>
      </w:pPr>
      <w:r>
        <w:rPr>
          <w:rFonts w:ascii="Calibri" w:cs="Calibri" w:eastAsia="Calibri" w:hAnsi="Calibri"/>
          <w:color w:val="5B6784"/>
          <w:sz w:val="24"/>
          <w:szCs w:val="24"/>
        </w:rPr>
        <w:t xml:space="preserve">Monolito modular en capas con Django (patrón MVT)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rPr>
          <w:cantSplit/>
          <w:tblHeader/>
        </w:trPr>
        <w:tc>
          <w:tcPr>
            <w:tcW w:type="dxa" w:w="2200"/>
            <w:tcBorders>
              <w:top w:val="single" w:color="D5DAE8" w:sz="4"/>
              <w:left w:val="single" w:color="D5DAE8" w:sz="4"/>
              <w:bottom w:val="single" w:color="D5DAE8" w:sz="4"/>
              <w:right w:val="single" w:color="D5DAE8" w:sz="4"/>
            </w:tcBorders>
            <w:shd w:fill="E8ECF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1B2440"/>
                <w:sz w:val="19"/>
                <w:szCs w:val="19"/>
              </w:rPr>
              <w:t xml:space="preserve">Campo</w:t>
            </w:r>
          </w:p>
        </w:tc>
        <w:tc>
          <w:tcPr>
            <w:tcW w:type="dxa" w:w="7160"/>
            <w:tcBorders>
              <w:top w:val="single" w:color="D5DAE8" w:sz="4"/>
              <w:left w:val="single" w:color="D5DAE8" w:sz="4"/>
              <w:bottom w:val="single" w:color="D5DAE8" w:sz="4"/>
              <w:right w:val="single" w:color="D5DAE8" w:sz="4"/>
            </w:tcBorders>
            <w:shd w:fill="E8ECF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1B2440"/>
                <w:sz w:val="19"/>
                <w:szCs w:val="19"/>
              </w:rPr>
              <w:t xml:space="preserve">Detalle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D5DAE8" w:sz="4"/>
              <w:left w:val="single" w:color="D5DAE8" w:sz="4"/>
              <w:bottom w:val="single" w:color="D5DAE8" w:sz="4"/>
              <w:right w:val="single" w:color="D5DAE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Institución</w:t>
            </w:r>
          </w:p>
        </w:tc>
        <w:tc>
          <w:tcPr>
            <w:tcW w:type="dxa" w:w="7160"/>
            <w:tcBorders>
              <w:top w:val="single" w:color="D5DAE8" w:sz="4"/>
              <w:left w:val="single" w:color="D5DAE8" w:sz="4"/>
              <w:bottom w:val="single" w:color="D5DAE8" w:sz="4"/>
              <w:right w:val="single" w:color="D5DAE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Universidad Autónoma de Zacatecas · Campus UAZ Siglo XXI · Ingeniería de Software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D5DAE8" w:sz="4"/>
              <w:left w:val="single" w:color="D5DAE8" w:sz="4"/>
              <w:bottom w:val="single" w:color="D5DAE8" w:sz="4"/>
              <w:right w:val="single" w:color="D5DAE8" w:sz="4"/>
            </w:tcBorders>
            <w:shd w:fill="F6F8FD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Materia</w:t>
            </w:r>
          </w:p>
        </w:tc>
        <w:tc>
          <w:tcPr>
            <w:tcW w:type="dxa" w:w="7160"/>
            <w:tcBorders>
              <w:top w:val="single" w:color="D5DAE8" w:sz="4"/>
              <w:left w:val="single" w:color="D5DAE8" w:sz="4"/>
              <w:bottom w:val="single" w:color="D5DAE8" w:sz="4"/>
              <w:right w:val="single" w:color="D5DAE8" w:sz="4"/>
            </w:tcBorders>
            <w:shd w:fill="F6F8FD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Calidad de Software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D5DAE8" w:sz="4"/>
              <w:left w:val="single" w:color="D5DAE8" w:sz="4"/>
              <w:bottom w:val="single" w:color="D5DAE8" w:sz="4"/>
              <w:right w:val="single" w:color="D5DAE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Equipo</w:t>
            </w:r>
          </w:p>
        </w:tc>
        <w:tc>
          <w:tcPr>
            <w:tcW w:type="dxa" w:w="7160"/>
            <w:tcBorders>
              <w:top w:val="single" w:color="D5DAE8" w:sz="4"/>
              <w:left w:val="single" w:color="D5DAE8" w:sz="4"/>
              <w:bottom w:val="single" w:color="D5DAE8" w:sz="4"/>
              <w:right w:val="single" w:color="D5DAE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PSPS: Pablo Valentín Varela Rivera, Sebastián Guerra Hernández, Francisco Valdez García, Alan Maximiliano Montoya Lara, Luis Obed Aranda Robles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D5DAE8" w:sz="4"/>
              <w:left w:val="single" w:color="D5DAE8" w:sz="4"/>
              <w:bottom w:val="single" w:color="D5DAE8" w:sz="4"/>
              <w:right w:val="single" w:color="D5DAE8" w:sz="4"/>
            </w:tcBorders>
            <w:shd w:fill="F6F8FD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Versión / fecha</w:t>
            </w:r>
          </w:p>
        </w:tc>
        <w:tc>
          <w:tcPr>
            <w:tcW w:type="dxa" w:w="7160"/>
            <w:tcBorders>
              <w:top w:val="single" w:color="D5DAE8" w:sz="4"/>
              <w:left w:val="single" w:color="D5DAE8" w:sz="4"/>
              <w:bottom w:val="single" w:color="D5DAE8" w:sz="4"/>
              <w:right w:val="single" w:color="D5DAE8" w:sz="4"/>
            </w:tcBorders>
            <w:shd w:fill="F6F8FD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1.1 · 17 de octubre de 2026</w:t>
            </w:r>
          </w:p>
        </w:tc>
      </w:tr>
    </w:tbl>
    <w:p>
      <w:pPr>
        <w:spacing w:after="200"/>
      </w:pPr>
    </w:p>
    <w:p>
      <w:pPr>
        <w:pStyle w:val="Heading1"/>
        <w:keepNext/>
      </w:pPr>
      <w:r>
        <w:rPr>
          <w:rFonts w:ascii="Calibri" w:cs="Calibri" w:eastAsia="Calibri" w:hAnsi="Calibri"/>
        </w:rPr>
        <w:t xml:space="preserve">1. Decisión de arquitectura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300"/>
        <w:gridCol w:w="5060"/>
      </w:tblGrid>
      <w:tr>
        <w:trPr>
          <w:cantSplit/>
          <w:tblHeader/>
        </w:trPr>
        <w:tc>
          <w:tcPr>
            <w:tcW w:type="dxa" w:w="3000"/>
            <w:tcBorders>
              <w:top w:val="single" w:color="D5DAE8" w:sz="4"/>
              <w:left w:val="single" w:color="D5DAE8" w:sz="4"/>
              <w:bottom w:val="single" w:color="D5DAE8" w:sz="4"/>
              <w:right w:val="single" w:color="D5DAE8" w:sz="4"/>
            </w:tcBorders>
            <w:shd w:fill="E8ECF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1B2440"/>
                <w:sz w:val="19"/>
                <w:szCs w:val="19"/>
              </w:rPr>
              <w:t xml:space="preserve">Opción considerada</w:t>
            </w:r>
          </w:p>
        </w:tc>
        <w:tc>
          <w:tcPr>
            <w:tcW w:type="dxa" w:w="1300"/>
            <w:tcBorders>
              <w:top w:val="single" w:color="D5DAE8" w:sz="4"/>
              <w:left w:val="single" w:color="D5DAE8" w:sz="4"/>
              <w:bottom w:val="single" w:color="D5DAE8" w:sz="4"/>
              <w:right w:val="single" w:color="D5DAE8" w:sz="4"/>
            </w:tcBorders>
            <w:shd w:fill="E8ECF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1B2440"/>
                <w:sz w:val="19"/>
                <w:szCs w:val="19"/>
              </w:rPr>
              <w:t xml:space="preserve">Decisión</w:t>
            </w:r>
          </w:p>
        </w:tc>
        <w:tc>
          <w:tcPr>
            <w:tcW w:type="dxa" w:w="5060"/>
            <w:tcBorders>
              <w:top w:val="single" w:color="D5DAE8" w:sz="4"/>
              <w:left w:val="single" w:color="D5DAE8" w:sz="4"/>
              <w:bottom w:val="single" w:color="D5DAE8" w:sz="4"/>
              <w:right w:val="single" w:color="D5DAE8" w:sz="4"/>
            </w:tcBorders>
            <w:shd w:fill="E8ECF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1B2440"/>
                <w:sz w:val="19"/>
                <w:szCs w:val="19"/>
              </w:rPr>
              <w:t xml:space="preserve">Motivo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D5DAE8" w:sz="4"/>
              <w:left w:val="single" w:color="D5DAE8" w:sz="4"/>
              <w:bottom w:val="single" w:color="D5DAE8" w:sz="4"/>
              <w:right w:val="single" w:color="D5DAE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Monolito modular en capas (MVT de Django)</w:t>
            </w:r>
          </w:p>
        </w:tc>
        <w:tc>
          <w:tcPr>
            <w:tcW w:type="dxa" w:w="1300"/>
            <w:tcBorders>
              <w:top w:val="single" w:color="D5DAE8" w:sz="4"/>
              <w:left w:val="single" w:color="D5DAE8" w:sz="4"/>
              <w:bottom w:val="single" w:color="D5DAE8" w:sz="4"/>
              <w:right w:val="single" w:color="D5DAE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Elegida</w:t>
            </w:r>
          </w:p>
        </w:tc>
        <w:tc>
          <w:tcPr>
            <w:tcW w:type="dxa" w:w="5060"/>
            <w:tcBorders>
              <w:top w:val="single" w:color="D5DAE8" w:sz="4"/>
              <w:left w:val="single" w:color="D5DAE8" w:sz="4"/>
              <w:bottom w:val="single" w:color="D5DAE8" w:sz="4"/>
              <w:right w:val="single" w:color="D5DAE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Una sola aplicación desplegable, como pide la propuesta; equipo de 5 personas y 7 semanas; las pruebas integradas de Django cubren cada capa por separado.</w:t>
            </w:r>
          </w:p>
        </w:tc>
      </w:tr>
    </w:tbl>
    <w:p>
      <w:pPr>
        <w:spacing w:after="120"/>
      </w:pPr>
    </w:p>
    <w:p>
      <w:pPr>
        <w:spacing w:after="120" w:line="276"/>
      </w:pPr>
      <w:r>
        <w:rPr>
          <w:rFonts w:ascii="Calibri" w:cs="Calibri" w:eastAsia="Calibri" w:hAnsi="Calibri"/>
          <w:sz w:val="22"/>
          <w:szCs w:val="22"/>
        </w:rPr>
        <w:t xml:space="preserve">El navegador es el cliente y PostgreSQL es la base externa. Dentro hay tres capas: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presentación</w:t>
      </w:r>
      <w:r>
        <w:rPr>
          <w:rFonts w:ascii="Calibri" w:cs="Calibri" w:eastAsia="Calibri" w:hAnsi="Calibri"/>
          <w:sz w:val="22"/>
          <w:szCs w:val="22"/>
        </w:rPr>
        <w:t xml:space="preserve">,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dominio</w:t>
      </w:r>
      <w:r>
        <w:rPr>
          <w:rFonts w:ascii="Calibri" w:cs="Calibri" w:eastAsia="Calibri" w:hAnsi="Calibri"/>
          <w:sz w:val="22"/>
          <w:szCs w:val="22"/>
        </w:rPr>
        <w:t xml:space="preserve"> y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datos</w:t>
      </w:r>
      <w:r>
        <w:rPr>
          <w:rFonts w:ascii="Calibri" w:cs="Calibri" w:eastAsia="Calibri" w:hAnsi="Calibri"/>
          <w:sz w:val="22"/>
          <w:szCs w:val="22"/>
        </w:rPr>
        <w:t xml:space="preserve">.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5715000" cy="3333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33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Calibri" w:cs="Calibri" w:eastAsia="Calibri" w:hAnsi="Calibri"/>
          <w:i/>
          <w:iCs/>
          <w:color w:val="5B6784"/>
          <w:sz w:val="18"/>
          <w:szCs w:val="18"/>
        </w:rPr>
        <w:t xml:space="preserve">Figura 1. Capas del sistema</w:t>
      </w:r>
    </w:p>
    <w:p>
      <w:pPr>
        <w:pStyle w:val="Heading2"/>
        <w:keepNext/>
      </w:pPr>
      <w:r>
        <w:rPr>
          <w:rFonts w:ascii="Calibri" w:cs="Calibri" w:eastAsia="Calibri" w:hAnsi="Calibri"/>
        </w:rPr>
        <w:t xml:space="preserve">Reglas de la arquitectura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sz w:val="22"/>
          <w:szCs w:val="22"/>
        </w:rPr>
        <w:t xml:space="preserve">Cada módulo es una app de Django con sus modelos, formularios, vistas, plantillas y pruebas: </w:t>
      </w:r>
      <w:r>
        <w:rPr>
          <w:rFonts w:ascii="Consolas" w:cs="Consolas" w:eastAsia="Consolas" w:hAnsi="Consolas"/>
          <w:color w:val="8A2B5C"/>
          <w:sz w:val="22"/>
          <w:szCs w:val="22"/>
        </w:rPr>
        <w:t xml:space="preserve">proyectos</w:t>
      </w:r>
      <w:r>
        <w:rPr>
          <w:rFonts w:ascii="Calibri" w:cs="Calibri" w:eastAsia="Calibri" w:hAnsi="Calibri"/>
          <w:sz w:val="22"/>
          <w:szCs w:val="22"/>
        </w:rPr>
        <w:t xml:space="preserve">, </w:t>
      </w:r>
      <w:r>
        <w:rPr>
          <w:rFonts w:ascii="Consolas" w:cs="Consolas" w:eastAsia="Consolas" w:hAnsi="Consolas"/>
          <w:color w:val="8A2B5C"/>
          <w:sz w:val="22"/>
          <w:szCs w:val="22"/>
        </w:rPr>
        <w:t xml:space="preserve">actividades</w:t>
      </w:r>
      <w:r>
        <w:rPr>
          <w:rFonts w:ascii="Calibri" w:cs="Calibri" w:eastAsia="Calibri" w:hAnsi="Calibri"/>
          <w:sz w:val="22"/>
          <w:szCs w:val="22"/>
        </w:rPr>
        <w:t xml:space="preserve">, </w:t>
      </w:r>
      <w:r>
        <w:rPr>
          <w:rFonts w:ascii="Consolas" w:cs="Consolas" w:eastAsia="Consolas" w:hAnsi="Consolas"/>
          <w:color w:val="8A2B5C"/>
          <w:sz w:val="22"/>
          <w:szCs w:val="22"/>
        </w:rPr>
        <w:t xml:space="preserve">pruebas</w:t>
      </w:r>
      <w:r>
        <w:rPr>
          <w:rFonts w:ascii="Calibri" w:cs="Calibri" w:eastAsia="Calibri" w:hAnsi="Calibri"/>
          <w:sz w:val="22"/>
          <w:szCs w:val="22"/>
        </w:rPr>
        <w:t xml:space="preserve">, </w:t>
      </w:r>
      <w:r>
        <w:rPr>
          <w:rFonts w:ascii="Consolas" w:cs="Consolas" w:eastAsia="Consolas" w:hAnsi="Consolas"/>
          <w:color w:val="8A2B5C"/>
          <w:sz w:val="22"/>
          <w:szCs w:val="22"/>
        </w:rPr>
        <w:t xml:space="preserve">defectos</w:t>
      </w:r>
      <w:r>
        <w:rPr>
          <w:rFonts w:ascii="Calibri" w:cs="Calibri" w:eastAsia="Calibri" w:hAnsi="Calibri"/>
          <w:sz w:val="22"/>
          <w:szCs w:val="22"/>
        </w:rPr>
        <w:t xml:space="preserve">, </w:t>
      </w:r>
      <w:r>
        <w:rPr>
          <w:rFonts w:ascii="Consolas" w:cs="Consolas" w:eastAsia="Consolas" w:hAnsi="Consolas"/>
          <w:color w:val="8A2B5C"/>
          <w:sz w:val="22"/>
          <w:szCs w:val="22"/>
        </w:rPr>
        <w:t xml:space="preserve">importacion</w:t>
      </w:r>
      <w:r>
        <w:rPr>
          <w:rFonts w:ascii="Calibri" w:cs="Calibri" w:eastAsia="Calibri" w:hAnsi="Calibri"/>
          <w:sz w:val="22"/>
          <w:szCs w:val="22"/>
        </w:rPr>
        <w:t xml:space="preserve">, </w:t>
      </w:r>
      <w:r>
        <w:rPr>
          <w:rFonts w:ascii="Consolas" w:cs="Consolas" w:eastAsia="Consolas" w:hAnsi="Consolas"/>
          <w:color w:val="8A2B5C"/>
          <w:sz w:val="22"/>
          <w:szCs w:val="22"/>
        </w:rPr>
        <w:t xml:space="preserve">metricas</w:t>
      </w:r>
      <w:r>
        <w:rPr>
          <w:rFonts w:ascii="Calibri" w:cs="Calibri" w:eastAsia="Calibri" w:hAnsi="Calibri"/>
          <w:sz w:val="22"/>
          <w:szCs w:val="22"/>
        </w:rPr>
        <w:t xml:space="preserve"> y </w:t>
      </w:r>
      <w:r>
        <w:rPr>
          <w:rFonts w:ascii="Consolas" w:cs="Consolas" w:eastAsia="Consolas" w:hAnsi="Consolas"/>
          <w:color w:val="8A2B5C"/>
          <w:sz w:val="22"/>
          <w:szCs w:val="22"/>
        </w:rPr>
        <w:t xml:space="preserve">reportes</w:t>
      </w:r>
      <w:r>
        <w:rPr>
          <w:rFonts w:ascii="Calibri" w:cs="Calibri" w:eastAsia="Calibri" w:hAnsi="Calibri"/>
          <w:sz w:val="22"/>
          <w:szCs w:val="22"/>
        </w:rPr>
        <w:t xml:space="preserve">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sz w:val="22"/>
          <w:szCs w:val="22"/>
        </w:rPr>
        <w:t xml:space="preserve">Las vistas no calculan ni escriben SQL; el dominio no depende de HTML; solo la capa de datos accede a PostgreSQL.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sz w:val="22"/>
          <w:szCs w:val="22"/>
        </w:rPr>
        <w:t xml:space="preserve">Los indicadores, semáforos y estado general viven en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un único servicio</w:t>
      </w:r>
      <w:r>
        <w:rPr>
          <w:rFonts w:ascii="Calibri" w:cs="Calibri" w:eastAsia="Calibri" w:hAnsi="Calibri"/>
          <w:sz w:val="22"/>
          <w:szCs w:val="22"/>
        </w:rPr>
        <w:t xml:space="preserve"> (</w:t>
      </w:r>
      <w:r>
        <w:rPr>
          <w:rFonts w:ascii="Consolas" w:cs="Consolas" w:eastAsia="Consolas" w:hAnsi="Consolas"/>
          <w:color w:val="8A2B5C"/>
          <w:sz w:val="22"/>
          <w:szCs w:val="22"/>
        </w:rPr>
        <w:t xml:space="preserve">metricas/servicio.py</w:t>
      </w:r>
      <w:r>
        <w:rPr>
          <w:rFonts w:ascii="Calibri" w:cs="Calibri" w:eastAsia="Calibri" w:hAnsi="Calibri"/>
          <w:sz w:val="22"/>
          <w:szCs w:val="22"/>
        </w:rPr>
        <w:t xml:space="preserve">) que usan el dashboard y el reporte; por eso muestran los mismos valores al mismo corte.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sz w:val="22"/>
          <w:szCs w:val="22"/>
        </w:rPr>
        <w:t xml:space="preserve">La importación CSV valida antes de guardar (</w:t>
      </w:r>
      <w:r>
        <w:rPr>
          <w:rFonts w:ascii="Consolas" w:cs="Consolas" w:eastAsia="Consolas" w:hAnsi="Consolas"/>
          <w:color w:val="8A2B5C"/>
          <w:sz w:val="22"/>
          <w:szCs w:val="22"/>
        </w:rPr>
        <w:t xml:space="preserve">importacion/validacion.py</w:t>
      </w:r>
      <w:r>
        <w:rPr>
          <w:rFonts w:ascii="Calibri" w:cs="Calibri" w:eastAsia="Calibri" w:hAnsi="Calibri"/>
          <w:sz w:val="22"/>
          <w:szCs w:val="22"/>
        </w:rPr>
        <w:t xml:space="preserve">); un archivo con errores no escribe nada.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sz w:val="22"/>
          <w:szCs w:val="22"/>
        </w:rPr>
        <w:t xml:space="preserve">Toda medición se guarda con su fecha de corte y los umbrales usados; el historial no se recalcula.</w:t>
      </w:r>
    </w:p>
    <w:p>
      <w:pPr>
        <w:pStyle w:val="Heading1"/>
        <w:keepNext/>
      </w:pPr>
      <w:r>
        <w:rPr>
          <w:rFonts w:ascii="Calibri" w:cs="Calibri" w:eastAsia="Calibri" w:hAnsi="Calibri"/>
        </w:rPr>
        <w:t xml:space="preserve">2. Qué hace cada módulo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4660"/>
        <w:gridCol w:w="2900"/>
      </w:tblGrid>
      <w:tr>
        <w:trPr>
          <w:cantSplit/>
          <w:tblHeader/>
        </w:trPr>
        <w:tc>
          <w:tcPr>
            <w:tcW w:type="dxa" w:w="1800"/>
            <w:tcBorders>
              <w:top w:val="single" w:color="D5DAE8" w:sz="4"/>
              <w:left w:val="single" w:color="D5DAE8" w:sz="4"/>
              <w:bottom w:val="single" w:color="D5DAE8" w:sz="4"/>
              <w:right w:val="single" w:color="D5DAE8" w:sz="4"/>
            </w:tcBorders>
            <w:shd w:fill="E8ECF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1B2440"/>
                <w:sz w:val="19"/>
                <w:szCs w:val="19"/>
              </w:rPr>
              <w:t xml:space="preserve">Módulo (app)</w:t>
            </w:r>
          </w:p>
        </w:tc>
        <w:tc>
          <w:tcPr>
            <w:tcW w:type="dxa" w:w="4660"/>
            <w:tcBorders>
              <w:top w:val="single" w:color="D5DAE8" w:sz="4"/>
              <w:left w:val="single" w:color="D5DAE8" w:sz="4"/>
              <w:bottom w:val="single" w:color="D5DAE8" w:sz="4"/>
              <w:right w:val="single" w:color="D5DAE8" w:sz="4"/>
            </w:tcBorders>
            <w:shd w:fill="E8ECF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1B2440"/>
                <w:sz w:val="19"/>
                <w:szCs w:val="19"/>
              </w:rPr>
              <w:t xml:space="preserve">Responsabilidad</w:t>
            </w:r>
          </w:p>
        </w:tc>
        <w:tc>
          <w:tcPr>
            <w:tcW w:type="dxa" w:w="2900"/>
            <w:tcBorders>
              <w:top w:val="single" w:color="D5DAE8" w:sz="4"/>
              <w:left w:val="single" w:color="D5DAE8" w:sz="4"/>
              <w:bottom w:val="single" w:color="D5DAE8" w:sz="4"/>
              <w:right w:val="single" w:color="D5DAE8" w:sz="4"/>
            </w:tcBorders>
            <w:shd w:fill="E8ECF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1B2440"/>
                <w:sz w:val="19"/>
                <w:szCs w:val="19"/>
              </w:rPr>
              <w:t xml:space="preserve">Archivos clave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D5DAE8" w:sz="4"/>
              <w:left w:val="single" w:color="D5DAE8" w:sz="4"/>
              <w:bottom w:val="single" w:color="D5DAE8" w:sz="4"/>
              <w:right w:val="single" w:color="D5DAE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proyectos</w:t>
            </w:r>
          </w:p>
        </w:tc>
        <w:tc>
          <w:tcPr>
            <w:tcW w:type="dxa" w:w="4660"/>
            <w:tcBorders>
              <w:top w:val="single" w:color="D5DAE8" w:sz="4"/>
              <w:left w:val="single" w:color="D5DAE8" w:sz="4"/>
              <w:bottom w:val="single" w:color="D5DAE8" w:sz="4"/>
              <w:right w:val="single" w:color="D5DAE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Alta, edición y lista de proyectos por intervalo; confirmar registro de defectos.</w:t>
            </w:r>
          </w:p>
        </w:tc>
        <w:tc>
          <w:tcPr>
            <w:tcW w:type="dxa" w:w="2900"/>
            <w:tcBorders>
              <w:top w:val="single" w:color="D5DAE8" w:sz="4"/>
              <w:left w:val="single" w:color="D5DAE8" w:sz="4"/>
              <w:bottom w:val="single" w:color="D5DAE8" w:sz="4"/>
              <w:right w:val="single" w:color="D5DAE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models.py, forms.py, views.py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D5DAE8" w:sz="4"/>
              <w:left w:val="single" w:color="D5DAE8" w:sz="4"/>
              <w:bottom w:val="single" w:color="D5DAE8" w:sz="4"/>
              <w:right w:val="single" w:color="D5DAE8" w:sz="4"/>
            </w:tcBorders>
            <w:shd w:fill="F6F8FD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actividades</w:t>
            </w:r>
          </w:p>
        </w:tc>
        <w:tc>
          <w:tcPr>
            <w:tcW w:type="dxa" w:w="4660"/>
            <w:tcBorders>
              <w:top w:val="single" w:color="D5DAE8" w:sz="4"/>
              <w:left w:val="single" w:color="D5DAE8" w:sz="4"/>
              <w:bottom w:val="single" w:color="D5DAE8" w:sz="4"/>
              <w:right w:val="single" w:color="D5DAE8" w:sz="4"/>
            </w:tcBorders>
            <w:shd w:fill="F6F8FD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Actividades SQA con evidencia, estado y fecha de terminación.</w:t>
            </w:r>
          </w:p>
        </w:tc>
        <w:tc>
          <w:tcPr>
            <w:tcW w:type="dxa" w:w="2900"/>
            <w:tcBorders>
              <w:top w:val="single" w:color="D5DAE8" w:sz="4"/>
              <w:left w:val="single" w:color="D5DAE8" w:sz="4"/>
              <w:bottom w:val="single" w:color="D5DAE8" w:sz="4"/>
              <w:right w:val="single" w:color="D5DAE8" w:sz="4"/>
            </w:tcBorders>
            <w:shd w:fill="F6F8FD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models.py, forms.py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D5DAE8" w:sz="4"/>
              <w:left w:val="single" w:color="D5DAE8" w:sz="4"/>
              <w:bottom w:val="single" w:color="D5DAE8" w:sz="4"/>
              <w:right w:val="single" w:color="D5DAE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pruebas</w:t>
            </w:r>
          </w:p>
        </w:tc>
        <w:tc>
          <w:tcPr>
            <w:tcW w:type="dxa" w:w="4660"/>
            <w:tcBorders>
              <w:top w:val="single" w:color="D5DAE8" w:sz="4"/>
              <w:left w:val="single" w:color="D5DAE8" w:sz="4"/>
              <w:bottom w:val="single" w:color="D5DAE8" w:sz="4"/>
              <w:right w:val="single" w:color="D5DAE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Casos por versión y sus resultados.</w:t>
            </w:r>
          </w:p>
        </w:tc>
        <w:tc>
          <w:tcPr>
            <w:tcW w:type="dxa" w:w="2900"/>
            <w:tcBorders>
              <w:top w:val="single" w:color="D5DAE8" w:sz="4"/>
              <w:left w:val="single" w:color="D5DAE8" w:sz="4"/>
              <w:bottom w:val="single" w:color="D5DAE8" w:sz="4"/>
              <w:right w:val="single" w:color="D5DAE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models.py (CasoPrueba, ResultadoPrueba)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D5DAE8" w:sz="4"/>
              <w:left w:val="single" w:color="D5DAE8" w:sz="4"/>
              <w:bottom w:val="single" w:color="D5DAE8" w:sz="4"/>
              <w:right w:val="single" w:color="D5DAE8" w:sz="4"/>
            </w:tcBorders>
            <w:shd w:fill="F6F8FD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defectos</w:t>
            </w:r>
          </w:p>
        </w:tc>
        <w:tc>
          <w:tcPr>
            <w:tcW w:type="dxa" w:w="4660"/>
            <w:tcBorders>
              <w:top w:val="single" w:color="D5DAE8" w:sz="4"/>
              <w:left w:val="single" w:color="D5DAE8" w:sz="4"/>
              <w:bottom w:val="single" w:color="D5DAE8" w:sz="4"/>
              <w:right w:val="single" w:color="D5DAE8" w:sz="4"/>
            </w:tcBorders>
            <w:shd w:fill="F6F8FD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Defectos, severidad y cierre verificado.</w:t>
            </w:r>
          </w:p>
        </w:tc>
        <w:tc>
          <w:tcPr>
            <w:tcW w:type="dxa" w:w="2900"/>
            <w:tcBorders>
              <w:top w:val="single" w:color="D5DAE8" w:sz="4"/>
              <w:left w:val="single" w:color="D5DAE8" w:sz="4"/>
              <w:bottom w:val="single" w:color="D5DAE8" w:sz="4"/>
              <w:right w:val="single" w:color="D5DAE8" w:sz="4"/>
            </w:tcBorders>
            <w:shd w:fill="F6F8FD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models.py, forms.py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D5DAE8" w:sz="4"/>
              <w:left w:val="single" w:color="D5DAE8" w:sz="4"/>
              <w:bottom w:val="single" w:color="D5DAE8" w:sz="4"/>
              <w:right w:val="single" w:color="D5DAE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importacion</w:t>
            </w:r>
          </w:p>
        </w:tc>
        <w:tc>
          <w:tcPr>
            <w:tcW w:type="dxa" w:w="4660"/>
            <w:tcBorders>
              <w:top w:val="single" w:color="D5DAE8" w:sz="4"/>
              <w:left w:val="single" w:color="D5DAE8" w:sz="4"/>
              <w:bottom w:val="single" w:color="D5DAE8" w:sz="4"/>
              <w:right w:val="single" w:color="D5DAE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Plantillas CSV y validación fila por fila.</w:t>
            </w:r>
          </w:p>
        </w:tc>
        <w:tc>
          <w:tcPr>
            <w:tcW w:type="dxa" w:w="2900"/>
            <w:tcBorders>
              <w:top w:val="single" w:color="D5DAE8" w:sz="4"/>
              <w:left w:val="single" w:color="D5DAE8" w:sz="4"/>
              <w:bottom w:val="single" w:color="D5DAE8" w:sz="4"/>
              <w:right w:val="single" w:color="D5DAE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validacion.py, views.py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D5DAE8" w:sz="4"/>
              <w:left w:val="single" w:color="D5DAE8" w:sz="4"/>
              <w:bottom w:val="single" w:color="D5DAE8" w:sz="4"/>
              <w:right w:val="single" w:color="D5DAE8" w:sz="4"/>
            </w:tcBorders>
            <w:shd w:fill="F6F8FD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metricas</w:t>
            </w:r>
          </w:p>
        </w:tc>
        <w:tc>
          <w:tcPr>
            <w:tcW w:type="dxa" w:w="4660"/>
            <w:tcBorders>
              <w:top w:val="single" w:color="D5DAE8" w:sz="4"/>
              <w:left w:val="single" w:color="D5DAE8" w:sz="4"/>
              <w:bottom w:val="single" w:color="D5DAE8" w:sz="4"/>
              <w:right w:val="single" w:color="D5DAE8" w:sz="4"/>
            </w:tcBorders>
            <w:shd w:fill="F6F8FD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Cálculo de indicadores, cortes y dashboard.</w:t>
            </w:r>
          </w:p>
        </w:tc>
        <w:tc>
          <w:tcPr>
            <w:tcW w:type="dxa" w:w="2900"/>
            <w:tcBorders>
              <w:top w:val="single" w:color="D5DAE8" w:sz="4"/>
              <w:left w:val="single" w:color="D5DAE8" w:sz="4"/>
              <w:bottom w:val="single" w:color="D5DAE8" w:sz="4"/>
              <w:right w:val="single" w:color="D5DAE8" w:sz="4"/>
            </w:tcBorders>
            <w:shd w:fill="F6F8FD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servicio.py, models.py (Corte, Medicion)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D5DAE8" w:sz="4"/>
              <w:left w:val="single" w:color="D5DAE8" w:sz="4"/>
              <w:bottom w:val="single" w:color="D5DAE8" w:sz="4"/>
              <w:right w:val="single" w:color="D5DAE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reportes</w:t>
            </w:r>
          </w:p>
        </w:tc>
        <w:tc>
          <w:tcPr>
            <w:tcW w:type="dxa" w:w="4660"/>
            <w:tcBorders>
              <w:top w:val="single" w:color="D5DAE8" w:sz="4"/>
              <w:left w:val="single" w:color="D5DAE8" w:sz="4"/>
              <w:bottom w:val="single" w:color="D5DAE8" w:sz="4"/>
              <w:right w:val="single" w:color="D5DAE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Reporte a fecha de corte imprimible.</w:t>
            </w:r>
          </w:p>
        </w:tc>
        <w:tc>
          <w:tcPr>
            <w:tcW w:type="dxa" w:w="2900"/>
            <w:tcBorders>
              <w:top w:val="single" w:color="D5DAE8" w:sz="4"/>
              <w:left w:val="single" w:color="D5DAE8" w:sz="4"/>
              <w:bottom w:val="single" w:color="D5DAE8" w:sz="4"/>
              <w:right w:val="single" w:color="D5DAE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views.py, plantilla reporte.html</w:t>
            </w:r>
          </w:p>
        </w:tc>
      </w:tr>
    </w:tbl>
    <w:p>
      <w:pPr>
        <w:pStyle w:val="Heading1"/>
        <w:keepNext/>
      </w:pPr>
      <w:r>
        <w:rPr>
          <w:rFonts w:ascii="Calibri" w:cs="Calibri" w:eastAsia="Calibri" w:hAnsi="Calibri"/>
        </w:rPr>
        <w:t xml:space="preserve">3. Modelo de datos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5905500" cy="2266950"/>
            <wp:effectExtent t="0" r="0" b="0" l="0"/>
            <wp:docPr id="2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2266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Calibri" w:cs="Calibri" w:eastAsia="Calibri" w:hAnsi="Calibri"/>
          <w:i/>
          <w:iCs/>
          <w:color w:val="5B6784"/>
          <w:sz w:val="18"/>
          <w:szCs w:val="18"/>
        </w:rPr>
        <w:t xml:space="preserve">Figura 2. Tablas principales (Corte y Medicion guardan el historial)</w:t>
      </w:r>
    </w:p>
    <w:p>
      <w:pPr>
        <w:spacing w:after="120" w:line="276"/>
      </w:pPr>
      <w:r>
        <w:rPr>
          <w:rFonts w:ascii="Calibri" w:cs="Calibri" w:eastAsia="Calibri" w:hAnsi="Calibri"/>
          <w:sz w:val="22"/>
          <w:szCs w:val="22"/>
        </w:rPr>
        <w:t xml:space="preserve">Un proyecto tiene muchas actividades, casos de prueba, defectos y cortes. Un caso tiene muchos resultados. Un corte tiene cinco mediciones. El identificador de actividades, casos y defectos es único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dentro de cada proyecto</w:t>
      </w:r>
      <w:r>
        <w:rPr>
          <w:rFonts w:ascii="Calibri" w:cs="Calibri" w:eastAsia="Calibri" w:hAnsi="Calibri"/>
          <w:sz w:val="22"/>
          <w:szCs w:val="22"/>
        </w:rPr>
        <w:t xml:space="preserve">. Borrar un proyecto borra sus registros (CASCADE).</w:t>
      </w:r>
    </w:p>
    <w:p>
      <w:pPr>
        <w:pStyle w:val="Heading1"/>
        <w:keepNext/>
      </w:pPr>
      <w:r>
        <w:rPr>
          <w:rFonts w:ascii="Calibri" w:cs="Calibri" w:eastAsia="Calibri" w:hAnsi="Calibri"/>
        </w:rPr>
        <w:t xml:space="preserve">4. Flujo de una medición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rPr>
          <w:rFonts w:ascii="Calibri" w:cs="Calibri" w:eastAsia="Calibri" w:hAnsi="Calibri"/>
          <w:sz w:val="22"/>
          <w:szCs w:val="22"/>
        </w:rPr>
        <w:t xml:space="preserve">El usuario guarda una actividad, prueba o defecto (formulario) o importa un CSV.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rPr>
          <w:rFonts w:ascii="Calibri" w:cs="Calibri" w:eastAsia="Calibri" w:hAnsi="Calibri"/>
          <w:sz w:val="22"/>
          <w:szCs w:val="22"/>
        </w:rPr>
        <w:t xml:space="preserve">El formulario o la validación comprueba los datos y exige evidencia.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rPr>
          <w:rFonts w:ascii="Calibri" w:cs="Calibri" w:eastAsia="Calibri" w:hAnsi="Calibri"/>
          <w:sz w:val="22"/>
          <w:szCs w:val="22"/>
        </w:rPr>
        <w:t xml:space="preserve">Se guarda el registro en PostgreSQL.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rPr>
          <w:rFonts w:ascii="Calibri" w:cs="Calibri" w:eastAsia="Calibri" w:hAnsi="Calibri"/>
          <w:sz w:val="22"/>
          <w:szCs w:val="22"/>
        </w:rPr>
        <w:t xml:space="preserve">El servicio de métricas calcula los cinco indicadores a la fecha de hoy y guarda el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corte</w:t>
      </w:r>
      <w:r>
        <w:rPr>
          <w:rFonts w:ascii="Calibri" w:cs="Calibri" w:eastAsia="Calibri" w:hAnsi="Calibri"/>
          <w:sz w:val="22"/>
          <w:szCs w:val="22"/>
        </w:rPr>
        <w:t xml:space="preserve"> con sus umbrales.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rPr>
          <w:rFonts w:ascii="Calibri" w:cs="Calibri" w:eastAsia="Calibri" w:hAnsi="Calibri"/>
          <w:sz w:val="22"/>
          <w:szCs w:val="22"/>
        </w:rPr>
        <w:t xml:space="preserve">El dashboard y el reporte leen ese corte guardado.</w:t>
      </w:r>
    </w:p>
    <w:p>
      <w:pPr>
        <w:pStyle w:val="Heading1"/>
        <w:keepNext/>
      </w:pPr>
      <w:r>
        <w:rPr>
          <w:rFonts w:ascii="Calibri" w:cs="Calibri" w:eastAsia="Calibri" w:hAnsi="Calibri"/>
        </w:rPr>
        <w:t xml:space="preserve">5. Pantallas</w:t>
      </w:r>
    </w:p>
    <w:p>
      <w:pPr>
        <w:spacing w:after="120" w:line="276"/>
      </w:pPr>
      <w:r>
        <w:rPr>
          <w:rFonts w:ascii="Calibri" w:cs="Calibri" w:eastAsia="Calibri" w:hAnsi="Calibri"/>
          <w:sz w:val="22"/>
          <w:szCs w:val="22"/>
        </w:rPr>
        <w:t xml:space="preserve">La interfaz tiene siete pantallas con una misma barra de navegación. Todas las listas comparten el patrón lista filtrable + formulario con evidencia obligatoria. Las capturas usan datos ficticios del proyecto «PSPS Academy (DEMO)».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800"/>
        <w:gridCol w:w="5160"/>
      </w:tblGrid>
      <w:tr>
        <w:trPr>
          <w:cantSplit/>
          <w:tblHeader/>
        </w:trPr>
        <w:tc>
          <w:tcPr>
            <w:tcW w:type="dxa" w:w="2400"/>
            <w:tcBorders>
              <w:top w:val="single" w:color="D5DAE8" w:sz="4"/>
              <w:left w:val="single" w:color="D5DAE8" w:sz="4"/>
              <w:bottom w:val="single" w:color="D5DAE8" w:sz="4"/>
              <w:right w:val="single" w:color="D5DAE8" w:sz="4"/>
            </w:tcBorders>
            <w:shd w:fill="E8ECF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1B2440"/>
                <w:sz w:val="19"/>
                <w:szCs w:val="19"/>
              </w:rPr>
              <w:t xml:space="preserve">Pantalla</w:t>
            </w:r>
          </w:p>
        </w:tc>
        <w:tc>
          <w:tcPr>
            <w:tcW w:type="dxa" w:w="1800"/>
            <w:tcBorders>
              <w:top w:val="single" w:color="D5DAE8" w:sz="4"/>
              <w:left w:val="single" w:color="D5DAE8" w:sz="4"/>
              <w:bottom w:val="single" w:color="D5DAE8" w:sz="4"/>
              <w:right w:val="single" w:color="D5DAE8" w:sz="4"/>
            </w:tcBorders>
            <w:shd w:fill="E8ECF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1B2440"/>
                <w:sz w:val="19"/>
                <w:szCs w:val="19"/>
              </w:rPr>
              <w:t xml:space="preserve">Módulo</w:t>
            </w:r>
          </w:p>
        </w:tc>
        <w:tc>
          <w:tcPr>
            <w:tcW w:type="dxa" w:w="5160"/>
            <w:tcBorders>
              <w:top w:val="single" w:color="D5DAE8" w:sz="4"/>
              <w:left w:val="single" w:color="D5DAE8" w:sz="4"/>
              <w:bottom w:val="single" w:color="D5DAE8" w:sz="4"/>
              <w:right w:val="single" w:color="D5DAE8" w:sz="4"/>
            </w:tcBorders>
            <w:shd w:fill="E8ECF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1B2440"/>
                <w:sz w:val="19"/>
                <w:szCs w:val="19"/>
              </w:rPr>
              <w:t xml:space="preserve">Qué muestra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D5DAE8" w:sz="4"/>
              <w:left w:val="single" w:color="D5DAE8" w:sz="4"/>
              <w:bottom w:val="single" w:color="D5DAE8" w:sz="4"/>
              <w:right w:val="single" w:color="D5DAE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Dashboard</w:t>
            </w:r>
          </w:p>
        </w:tc>
        <w:tc>
          <w:tcPr>
            <w:tcW w:type="dxa" w:w="1800"/>
            <w:tcBorders>
              <w:top w:val="single" w:color="D5DAE8" w:sz="4"/>
              <w:left w:val="single" w:color="D5DAE8" w:sz="4"/>
              <w:bottom w:val="single" w:color="D5DAE8" w:sz="4"/>
              <w:right w:val="single" w:color="D5DAE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Métricas</w:t>
            </w:r>
          </w:p>
        </w:tc>
        <w:tc>
          <w:tcPr>
            <w:tcW w:type="dxa" w:w="5160"/>
            <w:tcBorders>
              <w:top w:val="single" w:color="D5DAE8" w:sz="4"/>
              <w:left w:val="single" w:color="D5DAE8" w:sz="4"/>
              <w:bottom w:val="single" w:color="D5DAE8" w:sz="4"/>
              <w:right w:val="single" w:color="D5DAE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Estado general, cinco indicadores con semáforo, pendientes y evolución por corte.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D5DAE8" w:sz="4"/>
              <w:left w:val="single" w:color="D5DAE8" w:sz="4"/>
              <w:bottom w:val="single" w:color="D5DAE8" w:sz="4"/>
              <w:right w:val="single" w:color="D5DAE8" w:sz="4"/>
            </w:tcBorders>
            <w:shd w:fill="F6F8FD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Reporte de calidad</w:t>
            </w:r>
          </w:p>
        </w:tc>
        <w:tc>
          <w:tcPr>
            <w:tcW w:type="dxa" w:w="1800"/>
            <w:tcBorders>
              <w:top w:val="single" w:color="D5DAE8" w:sz="4"/>
              <w:left w:val="single" w:color="D5DAE8" w:sz="4"/>
              <w:bottom w:val="single" w:color="D5DAE8" w:sz="4"/>
              <w:right w:val="single" w:color="D5DAE8" w:sz="4"/>
            </w:tcBorders>
            <w:shd w:fill="F6F8FD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Reportes</w:t>
            </w:r>
          </w:p>
        </w:tc>
        <w:tc>
          <w:tcPr>
            <w:tcW w:type="dxa" w:w="5160"/>
            <w:tcBorders>
              <w:top w:val="single" w:color="D5DAE8" w:sz="4"/>
              <w:left w:val="single" w:color="D5DAE8" w:sz="4"/>
              <w:bottom w:val="single" w:color="D5DAE8" w:sz="4"/>
              <w:right w:val="single" w:color="D5DAE8" w:sz="4"/>
            </w:tcBorders>
            <w:shd w:fill="F6F8FD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Indicadores al corte con umbrales, pendientes y evidencias; imprimible.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D5DAE8" w:sz="4"/>
              <w:left w:val="single" w:color="D5DAE8" w:sz="4"/>
              <w:bottom w:val="single" w:color="D5DAE8" w:sz="4"/>
              <w:right w:val="single" w:color="D5DAE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Proyectos</w:t>
            </w:r>
          </w:p>
        </w:tc>
        <w:tc>
          <w:tcPr>
            <w:tcW w:type="dxa" w:w="1800"/>
            <w:tcBorders>
              <w:top w:val="single" w:color="D5DAE8" w:sz="4"/>
              <w:left w:val="single" w:color="D5DAE8" w:sz="4"/>
              <w:bottom w:val="single" w:color="D5DAE8" w:sz="4"/>
              <w:right w:val="single" w:color="D5DAE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Proyectos</w:t>
            </w:r>
          </w:p>
        </w:tc>
        <w:tc>
          <w:tcPr>
            <w:tcW w:type="dxa" w:w="5160"/>
            <w:tcBorders>
              <w:top w:val="single" w:color="D5DAE8" w:sz="4"/>
              <w:left w:val="single" w:color="D5DAE8" w:sz="4"/>
              <w:bottom w:val="single" w:color="D5DAE8" w:sz="4"/>
              <w:right w:val="single" w:color="D5DAE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Lista por intervalo y alta de nuevo intervalo.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D5DAE8" w:sz="4"/>
              <w:left w:val="single" w:color="D5DAE8" w:sz="4"/>
              <w:bottom w:val="single" w:color="D5DAE8" w:sz="4"/>
              <w:right w:val="single" w:color="D5DAE8" w:sz="4"/>
            </w:tcBorders>
            <w:shd w:fill="F6F8FD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Formulario de defecto</w:t>
            </w:r>
          </w:p>
        </w:tc>
        <w:tc>
          <w:tcPr>
            <w:tcW w:type="dxa" w:w="1800"/>
            <w:tcBorders>
              <w:top w:val="single" w:color="D5DAE8" w:sz="4"/>
              <w:left w:val="single" w:color="D5DAE8" w:sz="4"/>
              <w:bottom w:val="single" w:color="D5DAE8" w:sz="4"/>
              <w:right w:val="single" w:color="D5DAE8" w:sz="4"/>
            </w:tcBorders>
            <w:shd w:fill="F6F8FD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Defectos</w:t>
            </w:r>
          </w:p>
        </w:tc>
        <w:tc>
          <w:tcPr>
            <w:tcW w:type="dxa" w:w="5160"/>
            <w:tcBorders>
              <w:top w:val="single" w:color="D5DAE8" w:sz="4"/>
              <w:left w:val="single" w:color="D5DAE8" w:sz="4"/>
              <w:bottom w:val="single" w:color="D5DAE8" w:sz="4"/>
              <w:right w:val="single" w:color="D5DAE8" w:sz="4"/>
            </w:tcBorders>
            <w:shd w:fill="F6F8FD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Descripción, severidad, estado, fechas, responsable, evidencia y cierre verificado.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D5DAE8" w:sz="4"/>
              <w:left w:val="single" w:color="D5DAE8" w:sz="4"/>
              <w:bottom w:val="single" w:color="D5DAE8" w:sz="4"/>
              <w:right w:val="single" w:color="D5DAE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Importar CSV</w:t>
            </w:r>
          </w:p>
        </w:tc>
        <w:tc>
          <w:tcPr>
            <w:tcW w:type="dxa" w:w="1800"/>
            <w:tcBorders>
              <w:top w:val="single" w:color="D5DAE8" w:sz="4"/>
              <w:left w:val="single" w:color="D5DAE8" w:sz="4"/>
              <w:bottom w:val="single" w:color="D5DAE8" w:sz="4"/>
              <w:right w:val="single" w:color="D5DAE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Importación</w:t>
            </w:r>
          </w:p>
        </w:tc>
        <w:tc>
          <w:tcPr>
            <w:tcW w:type="dxa" w:w="5160"/>
            <w:tcBorders>
              <w:top w:val="single" w:color="D5DAE8" w:sz="4"/>
              <w:left w:val="single" w:color="D5DAE8" w:sz="4"/>
              <w:bottom w:val="single" w:color="D5DAE8" w:sz="4"/>
              <w:right w:val="single" w:color="D5DAE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Plantillas, tipo de registro, archivo y errores por fila.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D5DAE8" w:sz="4"/>
              <w:left w:val="single" w:color="D5DAE8" w:sz="4"/>
              <w:bottom w:val="single" w:color="D5DAE8" w:sz="4"/>
              <w:right w:val="single" w:color="D5DAE8" w:sz="4"/>
            </w:tcBorders>
            <w:shd w:fill="F6F8FD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Actividades SQA</w:t>
            </w:r>
          </w:p>
        </w:tc>
        <w:tc>
          <w:tcPr>
            <w:tcW w:type="dxa" w:w="1800"/>
            <w:tcBorders>
              <w:top w:val="single" w:color="D5DAE8" w:sz="4"/>
              <w:left w:val="single" w:color="D5DAE8" w:sz="4"/>
              <w:bottom w:val="single" w:color="D5DAE8" w:sz="4"/>
              <w:right w:val="single" w:color="D5DAE8" w:sz="4"/>
            </w:tcBorders>
            <w:shd w:fill="F6F8FD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Actividades</w:t>
            </w:r>
          </w:p>
        </w:tc>
        <w:tc>
          <w:tcPr>
            <w:tcW w:type="dxa" w:w="5160"/>
            <w:tcBorders>
              <w:top w:val="single" w:color="D5DAE8" w:sz="4"/>
              <w:left w:val="single" w:color="D5DAE8" w:sz="4"/>
              <w:bottom w:val="single" w:color="D5DAE8" w:sz="4"/>
              <w:right w:val="single" w:color="D5DAE8" w:sz="4"/>
            </w:tcBorders>
            <w:shd w:fill="F6F8FD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Lista con responsable, fecha prevista, estado y evidencia.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D5DAE8" w:sz="4"/>
              <w:left w:val="single" w:color="D5DAE8" w:sz="4"/>
              <w:bottom w:val="single" w:color="D5DAE8" w:sz="4"/>
              <w:right w:val="single" w:color="D5DAE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Pruebas</w:t>
            </w:r>
          </w:p>
        </w:tc>
        <w:tc>
          <w:tcPr>
            <w:tcW w:type="dxa" w:w="1800"/>
            <w:tcBorders>
              <w:top w:val="single" w:color="D5DAE8" w:sz="4"/>
              <w:left w:val="single" w:color="D5DAE8" w:sz="4"/>
              <w:bottom w:val="single" w:color="D5DAE8" w:sz="4"/>
              <w:right w:val="single" w:color="D5DAE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Pruebas</w:t>
            </w:r>
          </w:p>
        </w:tc>
        <w:tc>
          <w:tcPr>
            <w:tcW w:type="dxa" w:w="5160"/>
            <w:tcBorders>
              <w:top w:val="single" w:color="D5DAE8" w:sz="4"/>
              <w:left w:val="single" w:color="D5DAE8" w:sz="4"/>
              <w:bottom w:val="single" w:color="D5DAE8" w:sz="4"/>
              <w:right w:val="single" w:color="D5DAE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Casos por versión y último resultado.</w:t>
            </w:r>
          </w:p>
        </w:tc>
      </w:tr>
    </w:tbl>
    <w:p>
      <w:pPr>
        <w:keepNext/>
        <w:spacing w:after="60" w:before="120"/>
        <w:jc w:val="center"/>
      </w:pPr>
      <w:r>
        <w:drawing>
          <wp:inline distT="0" distB="0" distL="0" distR="0">
            <wp:extent cx="5334000" cy="5553075"/>
            <wp:effectExtent t="0" r="0" b="0" l="0"/>
            <wp:docPr id="3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553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Calibri" w:cs="Calibri" w:eastAsia="Calibri" w:hAnsi="Calibri"/>
          <w:i/>
          <w:iCs/>
          <w:color w:val="5B6784"/>
          <w:sz w:val="18"/>
          <w:szCs w:val="18"/>
        </w:rPr>
        <w:t xml:space="preserve">Figura 3. Dashboard (datos DEMO)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4572000" cy="4762500"/>
            <wp:effectExtent t="0" r="0" b="0" l="0"/>
            <wp:docPr id="4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476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Calibri" w:cs="Calibri" w:eastAsia="Calibri" w:hAnsi="Calibri"/>
          <w:i/>
          <w:iCs/>
          <w:color w:val="5B6784"/>
          <w:sz w:val="18"/>
          <w:szCs w:val="18"/>
        </w:rPr>
        <w:t xml:space="preserve">Figura 4. Reporte a fecha de corte (datos DEMO)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4953000" cy="2409825"/>
            <wp:effectExtent t="0" r="0" b="0" l="0"/>
            <wp:docPr id="5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2409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Calibri" w:cs="Calibri" w:eastAsia="Calibri" w:hAnsi="Calibri"/>
          <w:i/>
          <w:iCs/>
          <w:color w:val="5B6784"/>
          <w:sz w:val="18"/>
          <w:szCs w:val="18"/>
        </w:rPr>
        <w:t xml:space="preserve">Figura 5. Importación CSV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4953000" cy="2409825"/>
            <wp:effectExtent t="0" r="0" b="0" l="0"/>
            <wp:docPr id="6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2409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Calibri" w:cs="Calibri" w:eastAsia="Calibri" w:hAnsi="Calibri"/>
          <w:i/>
          <w:iCs/>
          <w:color w:val="5B6784"/>
          <w:sz w:val="18"/>
          <w:szCs w:val="18"/>
        </w:rPr>
        <w:t xml:space="preserve">Figura 6. Lista de actividades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4191000" cy="2914650"/>
            <wp:effectExtent t="0" r="0" b="0" l="0"/>
            <wp:docPr id="7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91000" cy="2914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Calibri" w:cs="Calibri" w:eastAsia="Calibri" w:hAnsi="Calibri"/>
          <w:i/>
          <w:iCs/>
          <w:color w:val="5B6784"/>
          <w:sz w:val="18"/>
          <w:szCs w:val="18"/>
        </w:rPr>
        <w:t xml:space="preserve">Figura 7. Formulario de defecto</w:t>
      </w:r>
    </w:p>
    <w:sectPr>
      <w:headerReference w:type="default" r:id="rId6"/>
      <w:footerReference w:type="default" r:id="rId7"/>
      <w:pgSz w:w="12240" w:h="15840" w:orient="portrait"/>
      <w:pgMar w:top="1300" w:right="1440" w:bottom="120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5B6784"/>
        <w:sz w:val="17"/>
        <w:szCs w:val="17"/>
      </w:rPr>
      <w:t xml:space="preserve">Calidad de Software · Versión 1.1 · 17 de octubre de 2026 · Página </w:t>
    </w:r>
    <w:r>
      <w:rPr>
        <w:rFonts w:ascii="Calibri" w:cs="Calibri" w:eastAsia="Calibri" w:hAnsi="Calibri"/>
        <w:color w:val="5B6784"/>
        <w:sz w:val="17"/>
        <w:szCs w:val="17"/>
      </w:rPr>
      <w:fldChar w:fldCharType="begin"/>
    </w:r>
    <w:r>
      <w:rPr>
        <w:rFonts w:ascii="Calibri" w:cs="Calibri" w:eastAsia="Calibri" w:hAnsi="Calibri"/>
        <w:color w:val="5B6784"/>
        <w:sz w:val="17"/>
        <w:szCs w:val="17"/>
      </w:rPr>
      <w:instrText xml:space="preserve">PAGE</w:instrText>
    </w:r>
    <w:r>
      <w:rPr>
        <w:rFonts w:ascii="Calibri" w:cs="Calibri" w:eastAsia="Calibri" w:hAnsi="Calibri"/>
        <w:color w:val="5B6784"/>
        <w:sz w:val="17"/>
        <w:szCs w:val="17"/>
      </w:rPr>
      <w:fldChar w:fldCharType="separate"/>
    </w:r>
    <w:r>
      <w:rPr>
        <w:rFonts w:ascii="Calibri" w:cs="Calibri" w:eastAsia="Calibri" w:hAnsi="Calibri"/>
        <w:color w:val="5B6784"/>
        <w:sz w:val="17"/>
        <w:szCs w:val="17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Calibri" w:cs="Calibri" w:eastAsia="Calibri" w:hAnsi="Calibri"/>
        <w:color w:val="5B6784"/>
        <w:sz w:val="17"/>
        <w:szCs w:val="17"/>
      </w:rPr>
      <w:t xml:space="preserve">PSPS Control SQA · Arquitectura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540" w:hanging="270"/>
      </w:pPr>
    </w:lvl>
  </w:abstractNum>
  <w:abstractNum w:abstractNumId="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20"/>
      </w:pPr>
    </w:lvl>
  </w:abstractNum>
  <w:abstractNum w:abstractNumId="4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20"/>
      </w:pPr>
    </w:lvl>
  </w:abstractNum>
  <w:abstractNum w:abstractNumId="5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20"/>
      </w:pPr>
    </w:lvl>
  </w:abstractNum>
  <w:abstractNum w:abstractNumId="6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20"/>
      </w:pPr>
    </w:lvl>
  </w:abstractNum>
  <w:abstractNum w:abstractNumId="7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20"/>
      </w:pPr>
    </w:lvl>
  </w:abstractNum>
  <w:abstractNum w:abstractNumId="8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20"/>
      </w:pPr>
    </w:lvl>
  </w:abstractNum>
  <w:abstractNum w:abstractNumId="9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20"/>
      </w:pPr>
    </w:lvl>
  </w:abstractNum>
  <w:abstractNum w:abstractNumId="10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20"/>
      </w:pPr>
    </w:lvl>
  </w:abstractNum>
  <w:abstractNum w:abstractNumId="11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20"/>
      </w:pPr>
    </w:lvl>
  </w:abstractNum>
  <w:abstractNum w:abstractNumId="12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20"/>
      </w:pPr>
    </w:lvl>
  </w:abstractNum>
  <w:abstractNum w:abstractNumId="1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20"/>
      </w:pPr>
    </w:lvl>
  </w:abstractNum>
  <w:abstractNum w:abstractNumId="14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2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40" w:before="360"/>
      <w:outlineLvl w:val="0"/>
    </w:pPr>
    <w:rPr>
      <w:rFonts w:ascii="Calibri" w:cs="Calibri" w:eastAsia="Calibri" w:hAnsi="Calibri"/>
      <w:b/>
      <w:bCs/>
      <w:color w:val="2F3E9E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00" w:before="260"/>
      <w:outlineLvl w:val="1"/>
    </w:pPr>
    <w:rPr>
      <w:rFonts w:ascii="Calibri" w:cs="Calibri" w:eastAsia="Calibri" w:hAnsi="Calibri"/>
      <w:b/>
      <w:bCs/>
      <w:color w:val="1B2440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Calibri" w:cs="Calibri" w:eastAsia="Calibri" w:hAnsi="Calibri"/>
      <w:b/>
      <w:bCs/>
      <w:color w:val="5B6784"/>
      <w:sz w:val="23"/>
      <w:szCs w:val="23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Relationship Id="rId9" Type="http://schemas.openxmlformats.org/officeDocument/2006/relationships/image" Target="media/de771e7f97e2217f332dda61221ffd6f2d52328e.png"/><Relationship Id="rId10" Type="http://schemas.openxmlformats.org/officeDocument/2006/relationships/image" Target="media/60cca766e0c76bb180932fce6c7e05d415143864.png"/><Relationship Id="rId11" Type="http://schemas.openxmlformats.org/officeDocument/2006/relationships/image" Target="media/072d9626375da578798b5cdbb6a53a01b1deca67.png"/><Relationship Id="rId12" Type="http://schemas.openxmlformats.org/officeDocument/2006/relationships/image" Target="media/173995c63fe4e06bba9247799ea12866551e9f7f.png"/><Relationship Id="rId13" Type="http://schemas.openxmlformats.org/officeDocument/2006/relationships/image" Target="media/c50f89deb30f0efda3421529809c7338f40d72be.png"/><Relationship Id="rId14" Type="http://schemas.openxmlformats.org/officeDocument/2006/relationships/image" Target="media/d0dcf60e8c97cafc7988b69cf8ebb0e0344efd3f.png"/><Relationship Id="rId15" Type="http://schemas.openxmlformats.org/officeDocument/2006/relationships/image" Target="media/07ec5c71715d26ca3586bec2c0e50c7d64626366.png"/><Relationship Id="rId16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Arquitectura y pantallas</dc:title>
  <dc:creator>Equipo PSPS</dc:creator>
  <cp:lastModifiedBy>Un-named</cp:lastModifiedBy>
  <cp:revision>1</cp:revision>
  <dcterms:created xsi:type="dcterms:W3CDTF">2026-10-18T01:01:19.758Z</dcterms:created>
  <dcterms:modified xsi:type="dcterms:W3CDTF">2026-10-18T01:01:19.758Z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