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F3E9E"/>
          <w:spacing w:val="40"/>
          <w:sz w:val="20"/>
          <w:szCs w:val="20"/>
        </w:rPr>
        <w:t xml:space="preserve">PSPS CONTROL SQA</w:t>
      </w:r>
    </w:p>
    <w:p>
      <w:pPr>
        <w:pBdr>
          <w:bottom w:val="single" w:color="2F3E9E" w:sz="12" w:space="6"/>
        </w:pBdr>
        <w:spacing w:after="80"/>
      </w:pPr>
      <w:r>
        <w:rPr>
          <w:rFonts w:ascii="Calibri" w:cs="Calibri" w:eastAsia="Calibri" w:hAnsi="Calibri"/>
          <w:b/>
          <w:bCs/>
          <w:color w:val="1B2440"/>
          <w:sz w:val="44"/>
          <w:szCs w:val="44"/>
        </w:rPr>
        <w:t xml:space="preserve">Estrategia y plan de SQA</w:t>
      </w:r>
    </w:p>
    <w:p>
      <w:pPr>
        <w:spacing w:after="160" w:before="80"/>
      </w:pPr>
      <w:r>
        <w:rPr>
          <w:rFonts w:ascii="Calibri" w:cs="Calibri" w:eastAsia="Calibri" w:hAnsi="Calibri"/>
          <w:color w:val="5B6784"/>
          <w:sz w:val="24"/>
          <w:szCs w:val="24"/>
        </w:rPr>
        <w:t xml:space="preserve">Cómo aseguramos la calidad al construir la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Universidad Autónoma de Zacatecas · Campus UAZ Siglo XXI · Ingeniería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PSPS: Pablo Valentín Varela Rivera, Sebastián Guerra Hernández, Francisco Valdez García, Alan Maximiliano Montoya Lara, Luis Obed Aranda Robles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· 17 de octubre de 2026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Aplicamos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tres prácticas</w:t>
      </w:r>
      <w:r>
        <w:rPr>
          <w:rFonts w:ascii="Calibri" w:cs="Calibri" w:eastAsia="Calibri" w:hAnsi="Calibri"/>
          <w:sz w:val="22"/>
          <w:szCs w:val="22"/>
        </w:rPr>
        <w:t xml:space="preserve"> sobre la propia plataforma durante toda su construcción: revisión entre compañeros, pruebas priorizadas por riesgo y una bitácora con evidencia verificable.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Ninguna entrega sale</w:t>
      </w:r>
      <w:r>
        <w:rPr>
          <w:rFonts w:ascii="Calibri" w:cs="Calibri" w:eastAsia="Calibri" w:hAnsi="Calibri"/>
          <w:sz w:val="22"/>
          <w:szCs w:val="22"/>
        </w:rPr>
        <w:t xml:space="preserve"> sin que el responsable de calidad confirme que se hicieron las revisiones y pruebas previstas y que los defectos que impiden usar las funciones comprometidas están corregidos y verificados.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Práctica 1 · Regla de «dos pares de ojos»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Otro integrante revisa requisitos, wireframes, arquitectura y cada cambio relevante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antes</w:t>
      </w:r>
      <w:r>
        <w:rPr>
          <w:rFonts w:ascii="Calibri" w:cs="Calibri" w:eastAsia="Calibri" w:hAnsi="Calibri"/>
          <w:sz w:val="22"/>
          <w:szCs w:val="22"/>
        </w:rPr>
        <w:t xml:space="preserve"> de incorporarlo. Cada cambio de código se desarrolla en una rama y se integra a </w:t>
      </w:r>
      <w:r>
        <w:rPr>
          <w:rFonts w:ascii="Consolas" w:cs="Consolas" w:eastAsia="Consolas" w:hAnsi="Consolas"/>
          <w:sz w:val="22"/>
          <w:szCs w:val="22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con una solicitud de integración (Pull Request).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 autor nunca aprueba su propio cambio.</w:t>
      </w:r>
    </w:p>
    <w:p>
      <w:pPr>
        <w:keepNext/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revisor comprueba esta lista: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60"/>
        <w:gridCol w:w="2300"/>
      </w:tblGrid>
      <w:tr>
        <w:trPr>
          <w:cantSplit/>
          <w:tblHeader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Pregunta de revisión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Sí / No / Observación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5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¿El cambio responde a un requisito (RF) o a un defecto registrado?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¿Incluye las validaciones necesarias (campos, fechas, valores, evidencia obligatoria)?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5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¿Respeta las capas? (vistas sin cálculos ni SQL; dominio sin HTML)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5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¿Los indicadores solo se calculan en el servicio de métricas?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5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¿Hay pruebas nuevas o actualizadas, y pasan todas?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5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¿Se conserva el funcionamiento de las partes relacionadas?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5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¿Los hallazgos bloqueantes están atendidos?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5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¿La revisión y su aprobación quedaron registradas en la solicitud de integración?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Práctica 2 · Pruebas priorizadas por riesgo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prueba con datos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válidos, inválidos y casos límite</w:t>
      </w:r>
      <w:r>
        <w:rPr>
          <w:rFonts w:ascii="Calibri" w:cs="Calibri" w:eastAsia="Calibri" w:hAnsi="Calibri"/>
          <w:sz w:val="22"/>
          <w:szCs w:val="22"/>
        </w:rPr>
        <w:t xml:space="preserve">, dando prioridad a lo que más daño haría si falla: cálculos, importaciones y reglas del estado general. Hay dos tipos: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Automáticas</w:t>
      </w:r>
      <w:r>
        <w:rPr>
          <w:rFonts w:ascii="Calibri" w:cs="Calibri" w:eastAsia="Calibri" w:hAnsi="Calibri"/>
          <w:sz w:val="22"/>
          <w:szCs w:val="22"/>
        </w:rPr>
        <w:t xml:space="preserve"> (herramientas de Django): cálculos, semáforos, validaciones y CSV. Se ejecutan en cada cambio con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python manage.py test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Manuales:</w:t>
      </w:r>
      <w:r>
        <w:rPr>
          <w:rFonts w:ascii="Calibri" w:cs="Calibri" w:eastAsia="Calibri" w:hAnsi="Calibri"/>
          <w:sz w:val="22"/>
          <w:szCs w:val="22"/>
        </w:rPr>
        <w:t xml:space="preserve"> recorrido completo por las pantallas y la presentación (documento 05).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prueba tiene entradas o pasos, resultado esperado y resultado obtenido. Tras una corrección se repite la prueba que detectó el defecto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 las relacionadas</w:t>
      </w:r>
      <w:r>
        <w:rPr>
          <w:rFonts w:ascii="Calibri" w:cs="Calibri" w:eastAsia="Calibri" w:hAnsi="Calibri"/>
          <w:sz w:val="22"/>
          <w:szCs w:val="22"/>
        </w:rPr>
        <w:t xml:space="preserve"> antes de cerrarlo.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Qué se verifica y dónde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Área probada</w:t>
            </w:r>
          </w:p>
        </w:tc>
        <w:tc>
          <w:tcPr>
            <w:tcW w:type="dxa" w:w="6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Qué se verifica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</w:t>
            </w:r>
          </w:p>
        </w:tc>
        <w:tc>
          <w:tcPr>
            <w:tcW w:type="dxa" w:w="6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proyecto por intervalo y conservación de los anteriores.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Actividades, pruebas y defectos</w:t>
            </w:r>
          </w:p>
        </w:tc>
        <w:tc>
          <w:tcPr>
            <w:tcW w:type="dxa" w:w="6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Guardado con validaciones y evidencias obligatorias.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Importación CSV</w:t>
            </w:r>
          </w:p>
        </w:tc>
        <w:tc>
          <w:tcPr>
            <w:tcW w:type="dxa" w:w="6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Archivos válidos; rechazo de campos vacíos, fechas inválidas, valores no permitidos, identificadores duplicados e importaciones repetidas.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Indicadores</w:t>
            </w:r>
          </w:p>
        </w:tc>
        <w:tc>
          <w:tcPr>
            <w:tcW w:type="dxa" w:w="6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Exactitud de los cinco, límites exactos de semáforos, divisiones entre cero y estados «Sin datos» y «No aplica».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de corte</w:t>
            </w:r>
          </w:p>
        </w:tc>
        <w:tc>
          <w:tcPr>
            <w:tcW w:type="dxa" w:w="6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Exclusión de registros posteriores, último resultado por caso y mismo conjunto exigible en numerador y denominador.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general</w:t>
            </w:r>
          </w:p>
        </w:tc>
        <w:tc>
          <w:tcPr>
            <w:tcW w:type="dxa" w:w="6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rojo → gris → amarillo → verde; confirmación del registro para reportar cero críticos; exclusión justificada de no aplicables.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y reporte</w:t>
            </w:r>
          </w:p>
        </w:tc>
        <w:tc>
          <w:tcPr>
            <w:tcW w:type="dxa" w:w="6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Mismos valores al mismo corte; conservación de mediciones y umbrales anteriores; impresión del reporte.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Correcciones</w:t>
            </w:r>
          </w:p>
        </w:tc>
        <w:tc>
          <w:tcPr>
            <w:tcW w:type="dxa" w:w="6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Repetir la prueba que falló y las funciones relacionadas.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Práctica 3 · Bitácora de calidad y evidencia verificable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lleva en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hoja de cálculo compartida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Bitacora_SQA.xlsx</w:t>
      </w:r>
      <w:r>
        <w:rPr>
          <w:rFonts w:ascii="Calibri" w:cs="Calibri" w:eastAsia="Calibri" w:hAnsi="Calibri"/>
          <w:sz w:val="22"/>
          <w:szCs w:val="22"/>
        </w:rPr>
        <w:t xml:space="preserve"> es el formato). El responsable de calidad guarda una copia en el repositorio antes de cada entrega. Se registran revisiones y pruebas,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tanto satisfactorias como con hallazgos</w:t>
      </w:r>
      <w:r>
        <w:rPr>
          <w:rFonts w:ascii="Calibri" w:cs="Calibri" w:eastAsia="Calibri" w:hAnsi="Calibri"/>
          <w:sz w:val="22"/>
          <w:szCs w:val="22"/>
        </w:rPr>
        <w:t xml:space="preserve">. La evidencia de una corrección incluye su verificación posterior; si participan personas distintas o la verificación ocurre otro día, se registran actividades relacionadas para saber quién hizo cada acción y cuándo.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Hoja</w:t>
            </w:r>
          </w:p>
        </w:tc>
        <w:tc>
          <w:tcPr>
            <w:tcW w:type="dxa" w:w="7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Qué se anota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Bitácora</w:t>
            </w:r>
          </w:p>
        </w:tc>
        <w:tc>
          <w:tcPr>
            <w:tcW w:type="dxa" w:w="7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evento de calidad: fecha, quién, qué se revisó o probó, resultado, evidencia y acción.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Revisiones</w:t>
            </w:r>
          </w:p>
        </w:tc>
        <w:tc>
          <w:tcPr>
            <w:tcW w:type="dxa" w:w="7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solicitud de integración: autor, revisor, hallazgos, decisión.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manuales</w:t>
            </w:r>
          </w:p>
        </w:tc>
        <w:tc>
          <w:tcPr>
            <w:tcW w:type="dxa" w:w="7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Casos PM-01…: fecha, quién, versión, resultado obtenido y evidencia.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</w:t>
            </w:r>
          </w:p>
        </w:tc>
        <w:tc>
          <w:tcPr>
            <w:tcW w:type="dxa" w:w="7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Hallazgos con severidad, pasos, responsable, corrección y reprueba.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Entregas</w:t>
            </w:r>
          </w:p>
        </w:tc>
        <w:tc>
          <w:tcPr>
            <w:tcW w:type="dxa" w:w="7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lo entregado en cada punto de control.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Severidad de defectos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  <w:gridCol w:w="2760"/>
      </w:tblGrid>
      <w:tr>
        <w:trPr>
          <w:cantSplit/>
          <w:tblHeader/>
        </w:trPr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Severidad</w:t>
            </w:r>
          </w:p>
        </w:tc>
        <w:tc>
          <w:tcPr>
            <w:tcW w:type="dxa" w:w="5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Cuándo se usa</w:t>
            </w:r>
          </w:p>
        </w:tc>
        <w:tc>
          <w:tcPr>
            <w:tcW w:type="dxa" w:w="2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Efecto en la entrega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Crítica</w:t>
            </w:r>
          </w:p>
        </w:tc>
        <w:tc>
          <w:tcPr>
            <w:tcW w:type="dxa" w:w="5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Impide usar una función comprometida, destruye datos o rompe la demo.</w:t>
            </w:r>
          </w:p>
        </w:tc>
        <w:tc>
          <w:tcPr>
            <w:tcW w:type="dxa" w:w="2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Bloquea la entrega hasta corregir y verificar.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Falla funcional importante con alternativa limitada.</w:t>
            </w:r>
          </w:p>
        </w:tc>
        <w:tc>
          <w:tcPr>
            <w:tcW w:type="dxa" w:w="2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corrige antes de la entrega si es posible.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Falla en un caso secundario, mensaje o visualización.</w:t>
            </w:r>
          </w:p>
        </w:tc>
        <w:tc>
          <w:tcPr>
            <w:tcW w:type="dxa" w:w="2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planifica.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51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Detalle menor o cosmético.</w:t>
            </w:r>
          </w:p>
        </w:tc>
        <w:tc>
          <w:tcPr>
            <w:tcW w:type="dxa" w:w="2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Cuando haya tiempo.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Criterios para entregar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Entrega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Condición mínima (confirma el responsable de calidad)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oct · Prototipo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automáticas pasan; recorrido manual de la demo ejecutado en la computadora de exposición; sin defectos críticos abiertos; repositorio con commits y revisiones reales.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nov · Beta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 los RF implementados; pruebas manuales PM completas; bitácora con resultados y defectos; cada cambio con revisión registrada.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 nov · Final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desplegado y probado en el entorno final; defectos críticos y altos cerrados y verificados; bitácora consolidada en el repositorio.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Qué medimos del proceso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Son indicadores de apoyo para el equipo (no son los cinco indicadores del producto):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Cambios integrados con revisión de otro integrante / cambios integrados (meta: 100%).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Pruebas automáticas aprobadas / ejecutadas (meta: 100% antes de cada entrega).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Defectos críticos abiertos al momento de entregar (meta: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265EE" w:sz="24"/>
              <w:bottom w:val="none" w:color="FFFFFF" w:sz="0"/>
              <w:right w:val="none" w:color="FFFFFF" w:sz="0"/>
            </w:tcBorders>
            <w:shd w:fill="EEF1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Las metas son de planificación. Los resultados se anotan en la bitácora cuando ocurren; no se llenan por adelantado.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84"/>
        <w:sz w:val="17"/>
        <w:szCs w:val="17"/>
      </w:rPr>
      <w:t xml:space="preserve">Calidad de Software · Versión 1.1 · 17 de octubre de 2026 · Página </w:t>
    </w:r>
    <w:r>
      <w:rPr>
        <w:rFonts w:ascii="Calibri" w:cs="Calibri" w:eastAsia="Calibri" w:hAnsi="Calibri"/>
        <w:color w:val="5B6784"/>
        <w:sz w:val="17"/>
        <w:szCs w:val="17"/>
      </w:rPr>
      <w:fldChar w:fldCharType="begin"/>
    </w:r>
    <w:r>
      <w:rPr>
        <w:rFonts w:ascii="Calibri" w:cs="Calibri" w:eastAsia="Calibri" w:hAnsi="Calibri"/>
        <w:color w:val="5B6784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784"/>
        <w:sz w:val="17"/>
        <w:szCs w:val="17"/>
      </w:rPr>
      <w:fldChar w:fldCharType="separate"/>
    </w:r>
    <w:r>
      <w:rPr>
        <w:rFonts w:ascii="Calibri" w:cs="Calibri" w:eastAsia="Calibri" w:hAnsi="Calibri"/>
        <w:color w:val="5B678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84"/>
        <w:sz w:val="17"/>
        <w:szCs w:val="17"/>
      </w:rPr>
      <w:t xml:space="preserve">PSPS Control SQA · Estrategia SQA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2F3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24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678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Estrategia y plan de SQA</dc:title>
  <dc:creator>Equipo PSPS</dc:creator>
  <cp:lastModifiedBy>Un-named</cp:lastModifiedBy>
  <cp:revision>1</cp:revision>
  <dcterms:created xsi:type="dcterms:W3CDTF">2026-10-18T01:01:19.803Z</dcterms:created>
  <dcterms:modified xsi:type="dcterms:W3CDTF">2026-10-18T01:01:19.803Z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